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2F" w:rsidRPr="005A50B4" w:rsidRDefault="00534E0D" w:rsidP="005A5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b/>
          <w:sz w:val="24"/>
          <w:szCs w:val="24"/>
          <w:lang w:val="en-US"/>
        </w:rPr>
        <w:t>Additional file 2</w:t>
      </w:r>
      <w:r w:rsidR="0023472F" w:rsidRPr="005A50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Transfection of HEK293T cells with chicken IL-13 for scrutiny of the IL-13 mRNA </w:t>
      </w:r>
      <w:proofErr w:type="spellStart"/>
      <w:r w:rsidR="0023472F" w:rsidRPr="005A50B4">
        <w:rPr>
          <w:rFonts w:ascii="Times New Roman" w:hAnsi="Times New Roman" w:cs="Times New Roman"/>
          <w:b/>
          <w:sz w:val="24"/>
          <w:szCs w:val="24"/>
          <w:lang w:val="en-US"/>
        </w:rPr>
        <w:t>PrimeFlow</w:t>
      </w:r>
      <w:proofErr w:type="spellEnd"/>
      <w:r w:rsidR="00870D1C" w:rsidRPr="005A50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RNA A</w:t>
      </w:r>
      <w:r w:rsidR="0023472F" w:rsidRPr="005A50B4">
        <w:rPr>
          <w:rFonts w:ascii="Times New Roman" w:hAnsi="Times New Roman" w:cs="Times New Roman"/>
          <w:b/>
          <w:sz w:val="24"/>
          <w:szCs w:val="24"/>
          <w:lang w:val="en-US"/>
        </w:rPr>
        <w:t>ssay</w:t>
      </w:r>
    </w:p>
    <w:p w:rsidR="0023472F" w:rsidRPr="005A50B4" w:rsidRDefault="0023472F" w:rsidP="005A5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For extraction of chicken IL-13 mRNA, PMA (50 ng/mL) and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ionomycin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(500 ng/mL; both Sigma-Aldrich) stimulated (2 h at 41</w:t>
      </w:r>
      <w:r w:rsidR="005A50B4" w:rsidRP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 in 5% CO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splenocytes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isolated from a 72-week-old chicken were used. Lymphocyte isolation and stimulation was performed as in Material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Methods. After harvest of stimulated cells, total RNA was extracted by using the Direct-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zol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MiniPrep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Kit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Zymo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Research Corp., CA, USA) according to the manufacturer’s instructions, followed by RNA concentration measurement on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NanoDrop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2000c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Scientific). Subsequently, 500 ng total RNA were subjected to oligo-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primed cDNA synthesis using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SuperScript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II Reverse Transcriptase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according to the manufacturer’s instructions. For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subcloning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IL-13 into the pFLAG-CMV2 vector, appropriate restriction sites had to be introduced by proof-reading RT-PCR reactions using </w:t>
      </w:r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-tagged forward primer together wit</w:t>
      </w:r>
      <w:r w:rsidR="008447E4"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h a </w:t>
      </w:r>
      <w:proofErr w:type="spellStart"/>
      <w:r w:rsidR="008447E4" w:rsidRPr="005A50B4">
        <w:rPr>
          <w:rFonts w:ascii="Times New Roman" w:hAnsi="Times New Roman" w:cs="Times New Roman"/>
          <w:sz w:val="24"/>
          <w:szCs w:val="24"/>
          <w:lang w:val="en-US"/>
        </w:rPr>
        <w:t>XbaI</w:t>
      </w:r>
      <w:proofErr w:type="spellEnd"/>
      <w:r w:rsidR="008447E4" w:rsidRPr="005A50B4">
        <w:rPr>
          <w:rFonts w:ascii="Times New Roman" w:hAnsi="Times New Roman" w:cs="Times New Roman"/>
          <w:sz w:val="24"/>
          <w:szCs w:val="24"/>
          <w:lang w:val="en-US"/>
        </w:rPr>
        <w:t>-tagged reverse primer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. Therefore, RT-PCR reactions were set-up in a total volume</w:t>
      </w:r>
      <w:r w:rsidRPr="005A50B4" w:rsidDel="00176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of 50 µ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by combining 2 µ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cDNA, 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of each primer (Eurofins Genomics GmbH,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Ebersberg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Germany), 1.25 U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KAPAHiFi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Polymerase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Scientific), 10 µ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5x PCR buffer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KAPAHiFi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High Fidelity Buffer containing MgCl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5A50B4">
        <w:rPr>
          <w:rFonts w:ascii="Times New Roman" w:eastAsia="Futura" w:hAnsi="Times New Roman" w:cs="Times New Roman"/>
          <w:sz w:val="24"/>
          <w:szCs w:val="24"/>
          <w:lang w:val="en-US"/>
        </w:rPr>
        <w:t xml:space="preserve">a 1x concentration of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2.0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hermo</w:t>
      </w:r>
      <w:proofErr w:type="spellEnd"/>
      <w:r w:rsid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Scientific), 1.5 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dNTP mix (10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each dNTP;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and 5 µ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CoralLoad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GmbH, Hilden, Germany). PCR cycling conditions were 2 min at 95 °C, followed by 20 s at 94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°C, 15 s at 60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°C, 30 s at 72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°C, for 35 cycles, followed by a final extension step for 3 min at 72 °C, using a T-gradient thermal cycler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Biometra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Göttingen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, Germany)</w:t>
      </w:r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Obtained IL-13 PCR products were run on 1.5% standard agarose gels and further gel purified using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QIAquick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Gel Cleanup Kit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) according to the manufacturer’s instructions. Note: DNA concentrations of consecutive samples were measured on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NanoDrop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2000c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Scientific). Purified PCR products were ligated into the pJET1.2/blunt cloning vector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GeneJET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PCR cloning kit;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by comb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ining in a total volume of 20 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, 14.4 ng of purified PCR product (= vector to insert molar r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atio of 1:3), 10 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2x Rapid Ligation buffer, 50 ng pJET1.2/blunt cloning vector and 5 U T4 DNA Ligase. Next, 4 µ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ligated IL-13 products were transformed into 50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competent </w:t>
      </w:r>
      <w:r w:rsidRPr="005A50B4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cells (JM109;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Promega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, Madison, WI, USA) and incubated on ice for 20 min. Thereafter, samples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 xml:space="preserve"> were incubated for 1 min at 42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 and put back on ice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 xml:space="preserve"> for ≥2 min. After adding 500 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SOC medium (2%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tryptone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0.5% yeast extract, 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2.5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MgCl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MgSO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and 20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glucose; Sigma-Aldrich) they were incubated for 60 min at 37 °C with shaking at 700 rpm. Finally, 150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each were plated onto two LB/Amp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100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plates (2%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tryptone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0.5% yeast extract, 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, 15 g/L bacterial agar) being supplemented with Ampicillin (100 µg/mL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) and incubated overnight at 37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°C. </w:t>
      </w:r>
    </w:p>
    <w:p w:rsidR="0023472F" w:rsidRPr="005A50B4" w:rsidRDefault="0023472F" w:rsidP="005A5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Successful ligation and transformation of the tagged IL-13 inserts was confirmed by gene-specific PCR reactions on randomly selected </w:t>
      </w:r>
      <w:r w:rsidR="008447E4" w:rsidRPr="005A50B4">
        <w:rPr>
          <w:rFonts w:ascii="Times New Roman" w:hAnsi="Times New Roman" w:cs="Times New Roman"/>
          <w:i/>
          <w:sz w:val="24"/>
          <w:szCs w:val="24"/>
          <w:lang w:val="en-US"/>
        </w:rPr>
        <w:t>E. </w:t>
      </w:r>
      <w:r w:rsidRPr="005A50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coli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colonies. Therefore, 6.25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2x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TopTaq</w:t>
      </w:r>
      <w:proofErr w:type="spellEnd"/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HotStart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DNA Polymerase Master Mix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), 2.5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each of the tagged IL-13 primer and 1.25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CoralLoad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were added</w:t>
      </w:r>
      <w:r w:rsidRPr="005A50B4" w:rsidDel="00EA1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to 4.5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447E4" w:rsidRPr="005A50B4">
        <w:rPr>
          <w:rFonts w:ascii="Times New Roman" w:hAnsi="Times New Roman" w:cs="Times New Roman"/>
          <w:i/>
          <w:sz w:val="24"/>
          <w:szCs w:val="24"/>
          <w:lang w:val="en-US"/>
        </w:rPr>
        <w:t>E. </w:t>
      </w:r>
      <w:r w:rsidRPr="005A50B4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colonies being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resuspended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in 100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PCR-grade water. Cycling conditions were 5 min at 95 °C, followed by 30 cycles of 30 s at 95 °C, 30 s at 60 °C, 30 s at 72 °C, followed by a final extension step of 5 min at 72 °C using a T-Gradient thermal cycler. Colony PCR reactions were screened on 1.5% standard agarose gels and positively identified cell suspensions were inoculated into 3 mL LB/Amp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100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medium (2%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tryptone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0.5% yeast extract, 10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, 100 µg/mL Ampicillin) and incubated overnight at 37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 with shaking at 250 rpm. Following overnight incubation, pJET1.2-IL-13 plasmid DNA was extracted according to the protocol of the Plasmid Mini-Prep classic kit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Zymo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Research Corp.). Purified plasmids were analyzed for correct insert size by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BglII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digest by combining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200 ng plasmid DNA, 1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BglII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buffer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Scientific), 1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CoralLoad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) and 10 U of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BglII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in a total volume of 10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. After 1 h</w:t>
      </w:r>
      <w:r w:rsidR="008447E4" w:rsidRPr="005A50B4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r incubation at 37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°C, samples were run on 1.5% standard agarose gels and positive clones were sent for bidirectional sequencing (Eurofins Genomics) for further confirmation.</w:t>
      </w:r>
    </w:p>
    <w:p w:rsidR="0023472F" w:rsidRPr="005A50B4" w:rsidRDefault="0023472F" w:rsidP="005A5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For generating IL-13 expression constructs, the IL-13 insert was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subcloned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via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XbaI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restrictions sites into the pFLAG-CMV2 vector. In separate reactions, the IL-13 insert was retrieved from positive pJET1.2-IL-13 plasmids and compatible pFLAG-CMV2 vector overhangs were generated by restriction digest with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XbaI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. Therefore, in a total volume of 20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500 ng plasmid DNA, 6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Tango buffer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Scientific), 2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CoralLoad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10 U of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and 20 U of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XbaI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(both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were combined and incubated overnight at 37 °C. On the next day, samples were run on 1.5% standard agarose gels to further gel purify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XbaI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tagged IL-13 insert and the pFLAG-CMV2 vector by using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QIAquick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Gel Cleanup Kit according to the manufacturer’s instructions. Next, IL-13 inserts were ligated into the pFLAG-CMV2 vector at a vector to insert molar ratio of 1:3. Therefore, in a total volume of 20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10x T4 DNA Ligase buffer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Scientific), 50 ng pFLAG-CMV2 vector, 19 ng of purified IL-13 insert and 10 U T4 DNA Ligase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were combined and incubated overnight at 4 °C. Transformation of ligated pFLAG-CMV2-IL-13 expression constructs, subsequent screening and sequence confirmation of positive clones were performed as described above. To obtain sufficient DNA of the IL-13-expression constructs for the subsequent transfection experiments, 200 mL of transformed </w:t>
      </w:r>
      <w:r w:rsidRPr="005A50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coli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cell culture were grown overnight (16-21 h until OD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600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= 2-4) and subjected to Plasmid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Midiprep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PureYield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™ Plasmid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Midiprep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System;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Promega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) following the manufacturer’s instructions. Finally, correct orientation and intact reading-frame of pFLAG-IL-13-CMV expression constructs were performed by bidirectional sequencing being followed by generating bacterial glycerol stocks of the plasmids for long-term storage.</w:t>
      </w:r>
    </w:p>
    <w:p w:rsidR="0023472F" w:rsidRPr="005A50B4" w:rsidRDefault="0023472F" w:rsidP="005A5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3472F" w:rsidRPr="005A50B4" w:rsidSect="005A50B4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Prior to transfection, HEK293T cells were cultivated in T75 cell culture flasks with DMEM supplemented with 1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sodium pyruvate, 100 U/mL penicillin, 0.1 mg/mL streptomycin (all PAN-Biotech) and 10% heat-inact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ivated FCS (Sigma-Aldrich). 2.8 ×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cells were seeded and incubated at 37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 in 5% CO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for 48 h</w:t>
      </w:r>
      <w:r w:rsidR="008447E4" w:rsidRPr="005A50B4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rs.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At a confluence of 80% cells were transfected with pFLAG-CMV2-IL-13 or as control with an irrelevant porcine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insert in a pFLAG-CMV2 expression vector using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PolyFect</w:t>
      </w:r>
      <w:proofErr w:type="spellEnd"/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transfection reagent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) according to the manufacturer’s instructions. In brief, 15 µg of DNA (pFLAG-CMV2-IL-13 or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pFLAG-IgE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) were incubated with 130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PolyFect</w:t>
      </w:r>
      <w:proofErr w:type="spellEnd"/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reagent for 10 min at room temperature. Subsequently, 280 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of the DNA complex mix was added to the cells and incubated for 24 h at 37 °C with 5% CO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. After adding 5 mL pre-warmed trypsin (PAN-Biotech) for 10 min at 37 °C with 5% CO</w:t>
      </w:r>
      <w:r w:rsidRPr="005A50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, cells were washed and subjected to intracellular IL-13 mRNA staining using the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PrimeFlow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RNA assay according to manufacturer’s instructions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Scientific). Briefly, cells were stained with Fixable Viability Dye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eFluor</w:t>
      </w:r>
      <w:proofErr w:type="spellEnd"/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506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for 20 min at 4 °C. After incubations for fixation and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permeabilization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the chicken IL-13 target probe was added to the cells for two hours at 41</w:t>
      </w:r>
      <w:r w:rsidR="005A5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°C. Two amplification steps were followed by an incubation with the fluorescence labelled probe. Cells were subsequently analyzed by flow cytometry.</w:t>
      </w:r>
    </w:p>
    <w:p w:rsidR="0023472F" w:rsidRPr="005A50B4" w:rsidRDefault="0023472F" w:rsidP="005A5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Primers used in this study</w:t>
      </w:r>
    </w:p>
    <w:p w:rsidR="0023472F" w:rsidRPr="005A50B4" w:rsidRDefault="0023472F" w:rsidP="005A50B4">
      <w:pPr>
        <w:pBdr>
          <w:top w:val="single" w:sz="4" w:space="1" w:color="auto"/>
          <w:bottom w:val="single" w:sz="4" w:space="1" w:color="auto"/>
        </w:pBdr>
        <w:tabs>
          <w:tab w:val="left" w:pos="1418"/>
          <w:tab w:val="left" w:pos="6663"/>
          <w:tab w:val="left" w:pos="978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>Primer name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Primer sequence (5’→ 3’)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Primer position (5’→ 3’)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Accession Number or web resource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  <w:tab w:val="left" w:pos="992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>EcoRI-IL-13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0B4">
        <w:rPr>
          <w:rFonts w:ascii="Times New Roman" w:hAnsi="Times New Roman" w:cs="Times New Roman"/>
          <w:i/>
          <w:sz w:val="24"/>
          <w:szCs w:val="24"/>
          <w:lang w:val="en-US"/>
        </w:rPr>
        <w:t>GAA TTC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5A50B4">
        <w:rPr>
          <w:rFonts w:ascii="Times New Roman" w:hAnsi="Times New Roman" w:cs="Times New Roman"/>
          <w:b/>
          <w:sz w:val="24"/>
          <w:szCs w:val="24"/>
          <w:lang w:val="en-US"/>
        </w:rPr>
        <w:t>AT G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CA CCG CAC ACT GAA GGC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 to 20 (forward primer)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NM_001007085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  <w:tab w:val="left" w:pos="992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>IL-13-XbaI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50B4">
        <w:rPr>
          <w:rFonts w:ascii="Times New Roman" w:hAnsi="Times New Roman" w:cs="Times New Roman"/>
          <w:i/>
          <w:sz w:val="24"/>
          <w:szCs w:val="24"/>
          <w:lang w:val="en-US"/>
        </w:rPr>
        <w:t>TCT AGA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0B4">
        <w:rPr>
          <w:rFonts w:ascii="Times New Roman" w:hAnsi="Times New Roman" w:cs="Times New Roman"/>
          <w:b/>
          <w:sz w:val="24"/>
          <w:szCs w:val="24"/>
          <w:lang w:val="en-US"/>
        </w:rPr>
        <w:t>TCA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GTT TGC AGC TGT GGC CGA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397 to 417 (reverse primer)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NM_001007085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  <w:tab w:val="left" w:pos="992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pJET1.2-fw</w:t>
      </w:r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CGA CTC ACT ATA GGG AGA GCG GC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310 to 332 (forward primer)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CloneJET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™ PCR Cloning Kit Manual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  <w:tab w:val="left" w:pos="992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pJET1.2-rev</w:t>
      </w:r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AAG AAC ATC GAT TTT CCA TGG CAG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428 to 405 (reverse primer)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CloneJET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>™ PCR Cloning Kit Manual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  <w:tab w:val="left" w:pos="992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>N-CMV-30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AAT GTC GTA ATA ACC CCG CCC CGT TGA CGC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825 to 854 (forward primer)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E7398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Adgene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Vector Database</w:t>
      </w:r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</w:p>
    <w:p w:rsidR="0023472F" w:rsidRPr="005A50B4" w:rsidRDefault="0023472F" w:rsidP="005A50B4">
      <w:pPr>
        <w:pBdr>
          <w:bottom w:val="single" w:sz="4" w:space="1" w:color="auto"/>
        </w:pBdr>
        <w:tabs>
          <w:tab w:val="left" w:pos="1418"/>
          <w:tab w:val="left" w:pos="6663"/>
          <w:tab w:val="left" w:pos="978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>C-CMV-24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TAT TAG GAC AAG GCT GGT GGG CAC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A50B4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proofErr w:type="gram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1080 to 1103 (reverse primer)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ab/>
        <w:t>E7398 (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Adgene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Vector Database)</w:t>
      </w: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EcoRI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A50B4">
        <w:rPr>
          <w:rFonts w:ascii="Times New Roman" w:hAnsi="Times New Roman" w:cs="Times New Roman"/>
          <w:sz w:val="24"/>
          <w:szCs w:val="24"/>
          <w:lang w:val="en-US"/>
        </w:rPr>
        <w:t>XbaI</w:t>
      </w:r>
      <w:proofErr w:type="spellEnd"/>
      <w:r w:rsidRPr="005A50B4">
        <w:rPr>
          <w:rFonts w:ascii="Times New Roman" w:hAnsi="Times New Roman" w:cs="Times New Roman"/>
          <w:sz w:val="24"/>
          <w:szCs w:val="24"/>
          <w:lang w:val="en-US"/>
        </w:rPr>
        <w:t xml:space="preserve"> restriction sites are in italics.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lang w:val="en-US"/>
        </w:rPr>
        <w:t>ATG start and TGA stop codons are indicated by bold letters.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57C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A50B4">
        <w:rPr>
          <w:rFonts w:ascii="Times New Roman" w:hAnsi="Times New Roman" w:cs="Times New Roman"/>
          <w:sz w:val="24"/>
          <w:szCs w:val="24"/>
          <w:lang w:val="en-US"/>
        </w:rPr>
        <w:t>https://www.thermofisher.com/</w:t>
      </w:r>
    </w:p>
    <w:p w:rsidR="0023472F" w:rsidRPr="005A50B4" w:rsidRDefault="0023472F" w:rsidP="005A50B4">
      <w:pPr>
        <w:tabs>
          <w:tab w:val="left" w:pos="1418"/>
          <w:tab w:val="left" w:pos="6663"/>
          <w:tab w:val="left" w:pos="978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0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57C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bookmarkStart w:id="0" w:name="_GoBack"/>
      <w:bookmarkEnd w:id="0"/>
      <w:r w:rsidRPr="005A50B4">
        <w:rPr>
          <w:rFonts w:ascii="Times New Roman" w:hAnsi="Times New Roman" w:cs="Times New Roman"/>
          <w:sz w:val="24"/>
          <w:szCs w:val="24"/>
          <w:lang w:val="en-US"/>
        </w:rPr>
        <w:t>https://www.addgene.org/vector-database/2770/</w:t>
      </w:r>
    </w:p>
    <w:p w:rsidR="00504BFD" w:rsidRDefault="00504BFD" w:rsidP="005A50B4">
      <w:pPr>
        <w:spacing w:before="100" w:beforeAutospacing="1" w:after="100" w:afterAutospacing="1" w:line="240" w:lineRule="auto"/>
        <w:jc w:val="both"/>
      </w:pPr>
    </w:p>
    <w:sectPr w:rsidR="00504BFD" w:rsidSect="005A50B4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2F"/>
    <w:rsid w:val="0023472F"/>
    <w:rsid w:val="002B5D8C"/>
    <w:rsid w:val="00504BFD"/>
    <w:rsid w:val="00534E0D"/>
    <w:rsid w:val="005A50B4"/>
    <w:rsid w:val="008447E4"/>
    <w:rsid w:val="00870D1C"/>
    <w:rsid w:val="00B57C15"/>
    <w:rsid w:val="00BB1B1C"/>
    <w:rsid w:val="00CF2EEA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1369-FF9F-4A95-B7F9-1A3DBEE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2F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23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Vetmeduni Vienna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Lagler Julia</dc:creator>
  <cp:keywords/>
  <dc:description/>
  <cp:lastModifiedBy>ecoulamy</cp:lastModifiedBy>
  <cp:revision>2</cp:revision>
  <dcterms:created xsi:type="dcterms:W3CDTF">2019-11-20T14:21:00Z</dcterms:created>
  <dcterms:modified xsi:type="dcterms:W3CDTF">2019-11-20T14:21:00Z</dcterms:modified>
</cp:coreProperties>
</file>