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90" w:rsidRPr="00FA0890" w:rsidRDefault="00FA0890" w:rsidP="00067C70">
      <w:pPr>
        <w:rPr>
          <w:b/>
          <w:lang w:val="en-US"/>
        </w:rPr>
      </w:pPr>
      <w:r w:rsidRPr="00FA0890">
        <w:rPr>
          <w:b/>
          <w:lang w:val="en-US"/>
        </w:rPr>
        <w:t>The human oral cavity microbiota composition during acute tonsillitis</w:t>
      </w:r>
      <w:r w:rsidR="00067C70">
        <w:rPr>
          <w:b/>
          <w:lang w:val="en-US"/>
        </w:rPr>
        <w:t>: a cross-sectional survey</w:t>
      </w:r>
      <w:r w:rsidRPr="00FA0890">
        <w:rPr>
          <w:b/>
          <w:lang w:val="en-US"/>
        </w:rPr>
        <w:t xml:space="preserve"> </w:t>
      </w:r>
    </w:p>
    <w:p w:rsidR="00FA0890" w:rsidRDefault="00FA0890" w:rsidP="00FA0890">
      <w:pPr>
        <w:rPr>
          <w:vertAlign w:val="superscript"/>
          <w:lang w:val="en-US"/>
        </w:rPr>
      </w:pPr>
      <w:r w:rsidRPr="00BB245A">
        <w:rPr>
          <w:lang w:val="en-US"/>
        </w:rPr>
        <w:t>Yun Kit Yeoh</w:t>
      </w:r>
      <w:r w:rsidRPr="002250CB">
        <w:rPr>
          <w:lang w:val="en-US"/>
        </w:rPr>
        <w:t xml:space="preserve">, Man </w:t>
      </w:r>
      <w:proofErr w:type="spellStart"/>
      <w:r w:rsidRPr="002250CB">
        <w:rPr>
          <w:lang w:val="en-US"/>
        </w:rPr>
        <w:t>Hin</w:t>
      </w:r>
      <w:proofErr w:type="spellEnd"/>
      <w:r w:rsidRPr="002250CB">
        <w:rPr>
          <w:lang w:val="en-US"/>
        </w:rPr>
        <w:t xml:space="preserve"> Chan</w:t>
      </w:r>
      <w:r>
        <w:rPr>
          <w:lang w:val="en-US"/>
        </w:rPr>
        <w:t>, Zigui Chen, Eddy W. H. Lam, Po Yee Wong, Chi Man Ngai, Paul K. S. Chan, Mamie Hui</w:t>
      </w:r>
    </w:p>
    <w:p w:rsidR="00FA0890" w:rsidRPr="00FA0890" w:rsidRDefault="00FA0890" w:rsidP="001A5103">
      <w:pPr>
        <w:keepNext/>
        <w:rPr>
          <w:lang w:val="en-US"/>
        </w:rPr>
      </w:pPr>
    </w:p>
    <w:p w:rsidR="00FA0890" w:rsidRDefault="00FA0890">
      <w:pPr>
        <w:spacing w:after="160" w:line="259" w:lineRule="auto"/>
      </w:pPr>
      <w:r>
        <w:br w:type="page"/>
      </w:r>
      <w:bookmarkStart w:id="0" w:name="_GoBack"/>
      <w:bookmarkEnd w:id="0"/>
    </w:p>
    <w:p w:rsidR="005600B7" w:rsidRPr="005600B7" w:rsidRDefault="00926E75" w:rsidP="005600B7">
      <w:pPr>
        <w:keepNext/>
      </w:pPr>
      <w:r>
        <w:rPr>
          <w:noProof/>
          <w:lang w:val="en-US"/>
        </w:rPr>
        <w:lastRenderedPageBreak/>
        <w:drawing>
          <wp:inline distT="0" distB="0" distL="0" distR="0">
            <wp:extent cx="5943600" cy="21113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S1_alpha div.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111375"/>
                    </a:xfrm>
                    <a:prstGeom prst="rect">
                      <a:avLst/>
                    </a:prstGeom>
                  </pic:spPr>
                </pic:pic>
              </a:graphicData>
            </a:graphic>
          </wp:inline>
        </w:drawing>
      </w:r>
    </w:p>
    <w:p w:rsidR="005600B7" w:rsidRPr="005600B7" w:rsidRDefault="005600B7" w:rsidP="005600B7">
      <w:pPr>
        <w:spacing w:after="200"/>
        <w:jc w:val="both"/>
        <w:rPr>
          <w:iCs/>
          <w:szCs w:val="18"/>
        </w:rPr>
      </w:pPr>
      <w:r w:rsidRPr="005600B7">
        <w:rPr>
          <w:b/>
          <w:iCs/>
          <w:szCs w:val="18"/>
        </w:rPr>
        <w:t xml:space="preserve">Figure </w:t>
      </w:r>
      <w:r w:rsidR="00612CBE">
        <w:rPr>
          <w:b/>
          <w:iCs/>
          <w:szCs w:val="18"/>
        </w:rPr>
        <w:t>S</w:t>
      </w:r>
      <w:r w:rsidR="008E39F9">
        <w:rPr>
          <w:b/>
          <w:iCs/>
          <w:szCs w:val="18"/>
        </w:rPr>
        <w:t>1</w:t>
      </w:r>
      <w:r w:rsidRPr="005600B7">
        <w:rPr>
          <w:iCs/>
          <w:szCs w:val="18"/>
        </w:rPr>
        <w:t>. Alpha diversity of oral rinse microbial communities in healthy individuals and patients with tonsillitis. (</w:t>
      </w:r>
      <w:r w:rsidRPr="005600B7">
        <w:rPr>
          <w:b/>
          <w:iCs/>
          <w:szCs w:val="18"/>
        </w:rPr>
        <w:t>A</w:t>
      </w:r>
      <w:r w:rsidRPr="005600B7">
        <w:rPr>
          <w:iCs/>
          <w:szCs w:val="18"/>
        </w:rPr>
        <w:t>) Species richness, (</w:t>
      </w:r>
      <w:r w:rsidRPr="005600B7">
        <w:rPr>
          <w:b/>
          <w:iCs/>
          <w:szCs w:val="18"/>
        </w:rPr>
        <w:t>B</w:t>
      </w:r>
      <w:r w:rsidRPr="005600B7">
        <w:rPr>
          <w:iCs/>
          <w:szCs w:val="18"/>
        </w:rPr>
        <w:t>) Shannon index, and (</w:t>
      </w:r>
      <w:r w:rsidRPr="005600B7">
        <w:rPr>
          <w:b/>
          <w:iCs/>
          <w:szCs w:val="18"/>
        </w:rPr>
        <w:t>C</w:t>
      </w:r>
      <w:r w:rsidRPr="005600B7">
        <w:rPr>
          <w:iCs/>
          <w:szCs w:val="18"/>
        </w:rPr>
        <w:t xml:space="preserve">) Faith’s phylogenetic diversity. Values were calculated using QIIME 2 based on a normalized depth of 4000 reads per sample (one sample from the healthy cohort with 3677 reads was excluded). Black dots and error bars represent mean ± standard error. </w:t>
      </w:r>
      <w:r w:rsidR="00926E75">
        <w:rPr>
          <w:lang w:val="en-US"/>
        </w:rPr>
        <w:t xml:space="preserve">Green circles represent samples from non-tonsillitis </w:t>
      </w:r>
      <w:proofErr w:type="gramStart"/>
      <w:r w:rsidR="00926E75">
        <w:rPr>
          <w:lang w:val="en-US"/>
        </w:rPr>
        <w:t>individuals,</w:t>
      </w:r>
      <w:proofErr w:type="gramEnd"/>
      <w:r w:rsidR="00926E75">
        <w:rPr>
          <w:lang w:val="en-US"/>
        </w:rPr>
        <w:t xml:space="preserve"> orange circles represent samples from patients with tonsillitis. </w:t>
      </w:r>
      <w:r w:rsidRPr="005600B7">
        <w:rPr>
          <w:iCs/>
          <w:szCs w:val="18"/>
        </w:rPr>
        <w:t>All three indexes showed no statistical difference between the tonsillitis and healthy cohorts (p &gt;0.05, Mann-Whitney test).</w:t>
      </w:r>
      <w:r w:rsidR="00926E75">
        <w:rPr>
          <w:iCs/>
          <w:szCs w:val="18"/>
        </w:rPr>
        <w:t xml:space="preserve"> </w:t>
      </w:r>
    </w:p>
    <w:p w:rsidR="005600B7" w:rsidRDefault="005600B7" w:rsidP="00B93DC8"/>
    <w:p w:rsidR="005600B7" w:rsidRDefault="005600B7">
      <w:pPr>
        <w:spacing w:after="160" w:line="259" w:lineRule="auto"/>
      </w:pPr>
      <w:r>
        <w:br w:type="page"/>
      </w:r>
    </w:p>
    <w:p w:rsidR="005600B7" w:rsidRPr="005600B7" w:rsidRDefault="005600B7" w:rsidP="005600B7">
      <w:pPr>
        <w:keepNext/>
      </w:pPr>
      <w:r w:rsidRPr="005600B7">
        <w:rPr>
          <w:noProof/>
          <w:lang w:val="en-US"/>
        </w:rPr>
        <w:lastRenderedPageBreak/>
        <w:drawing>
          <wp:inline distT="0" distB="0" distL="0" distR="0">
            <wp:extent cx="5929630" cy="2743200"/>
            <wp:effectExtent l="0" t="0" r="0" b="0"/>
            <wp:docPr id="2" name="Picture 2" descr="fig S1_RF tonsillitis vs healthy ge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 S1_RF tonsillitis vs healthy genera"/>
                    <pic:cNvPicPr>
                      <a:picLocks noChangeAspect="1" noChangeArrowheads="1"/>
                    </pic:cNvPicPr>
                  </pic:nvPicPr>
                  <pic:blipFill>
                    <a:blip r:embed="rId7" cstate="print">
                      <a:extLst>
                        <a:ext uri="{28A0092B-C50C-407E-A947-70E740481C1C}">
                          <a14:useLocalDpi xmlns:a14="http://schemas.microsoft.com/office/drawing/2010/main" val="0"/>
                        </a:ext>
                      </a:extLst>
                    </a:blip>
                    <a:srcRect l="2563" t="5669" r="2766" b="4263"/>
                    <a:stretch>
                      <a:fillRect/>
                    </a:stretch>
                  </pic:blipFill>
                  <pic:spPr bwMode="auto">
                    <a:xfrm>
                      <a:off x="0" y="0"/>
                      <a:ext cx="5929630" cy="2743200"/>
                    </a:xfrm>
                    <a:prstGeom prst="rect">
                      <a:avLst/>
                    </a:prstGeom>
                    <a:noFill/>
                    <a:ln>
                      <a:noFill/>
                    </a:ln>
                  </pic:spPr>
                </pic:pic>
              </a:graphicData>
            </a:graphic>
          </wp:inline>
        </w:drawing>
      </w:r>
    </w:p>
    <w:p w:rsidR="005600B7" w:rsidRPr="005600B7" w:rsidRDefault="005600B7" w:rsidP="005600B7">
      <w:pPr>
        <w:spacing w:after="200"/>
        <w:jc w:val="both"/>
        <w:rPr>
          <w:iCs/>
          <w:szCs w:val="18"/>
        </w:rPr>
      </w:pPr>
      <w:r w:rsidRPr="005600B7">
        <w:rPr>
          <w:b/>
          <w:iCs/>
          <w:szCs w:val="18"/>
        </w:rPr>
        <w:t xml:space="preserve">Figure </w:t>
      </w:r>
      <w:r w:rsidR="00612CBE">
        <w:rPr>
          <w:b/>
          <w:iCs/>
          <w:szCs w:val="18"/>
        </w:rPr>
        <w:t>S</w:t>
      </w:r>
      <w:r w:rsidR="008E39F9">
        <w:rPr>
          <w:b/>
          <w:iCs/>
          <w:szCs w:val="18"/>
        </w:rPr>
        <w:t>2</w:t>
      </w:r>
      <w:r w:rsidRPr="005600B7">
        <w:rPr>
          <w:iCs/>
          <w:szCs w:val="18"/>
        </w:rPr>
        <w:t xml:space="preserve">. Top 10 genera (from left to right) discriminating oral rinse microbial communities between tonsillitis and non-tonsillitis cohorts. These genera were identified using a random forest classifier on centered log ratio-transformed 16S read counts collapsed at the genera level according to SILVA taxonomy. The thick centre lines within each boxplot rectangle represents median values, and the two ends of the rectangle represent upper and lower quartiles, respectively. The upper whisker extends to the highest value within 1.5x the interquartile range above the upper quartile, whereas the lower whisker extends to the lowest value within 1.5x the interquartile range below the lower quartile. Outlier values </w:t>
      </w:r>
      <w:proofErr w:type="gramStart"/>
      <w:r w:rsidRPr="005600B7">
        <w:rPr>
          <w:iCs/>
          <w:szCs w:val="18"/>
        </w:rPr>
        <w:t>are represented</w:t>
      </w:r>
      <w:proofErr w:type="gramEnd"/>
      <w:r w:rsidRPr="005600B7">
        <w:rPr>
          <w:iCs/>
          <w:szCs w:val="18"/>
        </w:rPr>
        <w:t xml:space="preserve"> as white circles. Relative proportion of total community =</w:t>
      </w:r>
      <w:proofErr w:type="gramStart"/>
      <w:r w:rsidRPr="005600B7">
        <w:rPr>
          <w:iCs/>
          <w:szCs w:val="18"/>
        </w:rPr>
        <w:t>1</w:t>
      </w:r>
      <w:proofErr w:type="gramEnd"/>
      <w:r w:rsidRPr="005600B7">
        <w:rPr>
          <w:iCs/>
          <w:szCs w:val="18"/>
        </w:rPr>
        <w:t>. Note the different orders of magnitude in vertical axes among panels.</w:t>
      </w:r>
    </w:p>
    <w:p w:rsidR="005600B7" w:rsidRDefault="005600B7" w:rsidP="00B93DC8"/>
    <w:p w:rsidR="005600B7" w:rsidRDefault="005600B7">
      <w:pPr>
        <w:spacing w:after="160" w:line="259" w:lineRule="auto"/>
      </w:pPr>
      <w:r>
        <w:br w:type="page"/>
      </w:r>
    </w:p>
    <w:p w:rsidR="005600B7" w:rsidRPr="005600B7" w:rsidRDefault="005600B7" w:rsidP="005600B7">
      <w:pPr>
        <w:keepNext/>
        <w:spacing w:after="200"/>
        <w:rPr>
          <w:i/>
          <w:iCs/>
          <w:sz w:val="18"/>
          <w:szCs w:val="18"/>
        </w:rPr>
      </w:pPr>
      <w:r w:rsidRPr="005600B7">
        <w:rPr>
          <w:iCs/>
          <w:noProof/>
          <w:szCs w:val="18"/>
          <w:lang w:val="en-US"/>
        </w:rPr>
        <w:lastRenderedPageBreak/>
        <w:drawing>
          <wp:inline distT="0" distB="0" distL="0" distR="0">
            <wp:extent cx="5936615" cy="5770245"/>
            <wp:effectExtent l="0" t="0" r="6985" b="1905"/>
            <wp:docPr id="3" name="Picture 3" descr="fig S2_LefSe_disease cohort_smoking yes no_no exsmo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 S2_LefSe_disease cohort_smoking yes no_no exsmok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5770245"/>
                    </a:xfrm>
                    <a:prstGeom prst="rect">
                      <a:avLst/>
                    </a:prstGeom>
                    <a:noFill/>
                    <a:ln>
                      <a:noFill/>
                    </a:ln>
                  </pic:spPr>
                </pic:pic>
              </a:graphicData>
            </a:graphic>
          </wp:inline>
        </w:drawing>
      </w:r>
    </w:p>
    <w:p w:rsidR="005600B7" w:rsidRPr="005600B7" w:rsidRDefault="005600B7" w:rsidP="005600B7">
      <w:pPr>
        <w:spacing w:after="200"/>
        <w:jc w:val="both"/>
        <w:rPr>
          <w:iCs/>
          <w:sz w:val="40"/>
          <w:szCs w:val="18"/>
        </w:rPr>
      </w:pPr>
      <w:r w:rsidRPr="005600B7">
        <w:rPr>
          <w:b/>
          <w:iCs/>
          <w:szCs w:val="18"/>
        </w:rPr>
        <w:t xml:space="preserve">Figure </w:t>
      </w:r>
      <w:r w:rsidR="00612CBE">
        <w:rPr>
          <w:b/>
          <w:iCs/>
          <w:szCs w:val="18"/>
        </w:rPr>
        <w:t>S</w:t>
      </w:r>
      <w:r w:rsidR="008E39F9">
        <w:rPr>
          <w:b/>
          <w:iCs/>
          <w:szCs w:val="18"/>
        </w:rPr>
        <w:t>3</w:t>
      </w:r>
      <w:r w:rsidRPr="005600B7">
        <w:rPr>
          <w:b/>
          <w:iCs/>
          <w:szCs w:val="18"/>
        </w:rPr>
        <w:t>.</w:t>
      </w:r>
      <w:r w:rsidRPr="005600B7">
        <w:rPr>
          <w:iCs/>
          <w:szCs w:val="18"/>
        </w:rPr>
        <w:t xml:space="preserve"> Top exact sequence variants (ESVs) associated with smokers and former smokers vs non-smokers in the non-tonsillitis cohort ranked according to effect size. ESVs </w:t>
      </w:r>
      <w:proofErr w:type="gramStart"/>
      <w:r w:rsidRPr="005600B7">
        <w:rPr>
          <w:iCs/>
          <w:szCs w:val="18"/>
        </w:rPr>
        <w:t>were identified</w:t>
      </w:r>
      <w:proofErr w:type="gramEnd"/>
      <w:r w:rsidRPr="005600B7">
        <w:rPr>
          <w:iCs/>
          <w:szCs w:val="18"/>
        </w:rPr>
        <w:t xml:space="preserve"> using the linear discriminant analysis (LDA) effect size (</w:t>
      </w:r>
      <w:proofErr w:type="spellStart"/>
      <w:r w:rsidRPr="005600B7">
        <w:rPr>
          <w:iCs/>
          <w:szCs w:val="18"/>
        </w:rPr>
        <w:t>LEfSe</w:t>
      </w:r>
      <w:proofErr w:type="spellEnd"/>
      <w:r w:rsidRPr="005600B7">
        <w:rPr>
          <w:iCs/>
          <w:szCs w:val="18"/>
        </w:rPr>
        <w:t xml:space="preserve">) algorithm implemented in the </w:t>
      </w:r>
      <w:proofErr w:type="spellStart"/>
      <w:r w:rsidRPr="005600B7">
        <w:rPr>
          <w:iCs/>
          <w:szCs w:val="18"/>
        </w:rPr>
        <w:t>Huttenhower</w:t>
      </w:r>
      <w:proofErr w:type="spellEnd"/>
      <w:r w:rsidRPr="005600B7">
        <w:rPr>
          <w:iCs/>
          <w:szCs w:val="18"/>
        </w:rPr>
        <w:t xml:space="preserve"> Lab Galaxy web application framework. ESVs shown here are those significantly associated with their corresponding cohorts and have LDA scores </w:t>
      </w:r>
      <w:r w:rsidRPr="005600B7">
        <w:rPr>
          <w:rFonts w:cs="Times New Roman"/>
          <w:iCs/>
          <w:szCs w:val="18"/>
        </w:rPr>
        <w:t>≥</w:t>
      </w:r>
      <w:r w:rsidRPr="005600B7">
        <w:rPr>
          <w:iCs/>
          <w:szCs w:val="18"/>
        </w:rPr>
        <w:t>2 as per the default cut-off. Labels indicate genus classification (or lowest rank available) of each ESV according to SILVA taxonomy.</w:t>
      </w:r>
    </w:p>
    <w:p w:rsidR="005600B7" w:rsidRDefault="005600B7" w:rsidP="00B93DC8"/>
    <w:p w:rsidR="005600B7" w:rsidRDefault="005600B7">
      <w:pPr>
        <w:spacing w:after="160" w:line="259" w:lineRule="auto"/>
      </w:pPr>
      <w:r>
        <w:br w:type="page"/>
      </w:r>
    </w:p>
    <w:p w:rsidR="005600B7" w:rsidRDefault="005600B7" w:rsidP="005600B7">
      <w:pPr>
        <w:spacing w:after="160" w:line="259" w:lineRule="auto"/>
        <w:rPr>
          <w:iCs/>
          <w:szCs w:val="18"/>
        </w:rPr>
      </w:pPr>
      <w:r>
        <w:rPr>
          <w:b/>
          <w:iCs/>
          <w:szCs w:val="18"/>
        </w:rPr>
        <w:lastRenderedPageBreak/>
        <w:t xml:space="preserve">Table </w:t>
      </w:r>
      <w:r w:rsidR="00612CBE">
        <w:rPr>
          <w:b/>
          <w:iCs/>
          <w:szCs w:val="18"/>
        </w:rPr>
        <w:t>S</w:t>
      </w:r>
      <w:r>
        <w:rPr>
          <w:b/>
          <w:iCs/>
          <w:szCs w:val="18"/>
        </w:rPr>
        <w:t xml:space="preserve">1. </w:t>
      </w:r>
      <w:r w:rsidRPr="000C65D7">
        <w:rPr>
          <w:iCs/>
          <w:szCs w:val="18"/>
        </w:rPr>
        <w:t>PERMANOVA of oral microbial community composition in tonsillitis cohort</w:t>
      </w:r>
    </w:p>
    <w:tbl>
      <w:tblPr>
        <w:tblW w:w="8641" w:type="dxa"/>
        <w:tblLook w:val="04A0" w:firstRow="1" w:lastRow="0" w:firstColumn="1" w:lastColumn="0" w:noHBand="0" w:noVBand="1"/>
      </w:tblPr>
      <w:tblGrid>
        <w:gridCol w:w="2977"/>
        <w:gridCol w:w="1056"/>
        <w:gridCol w:w="1416"/>
        <w:gridCol w:w="1116"/>
        <w:gridCol w:w="960"/>
        <w:gridCol w:w="1116"/>
      </w:tblGrid>
      <w:tr w:rsidR="005600B7" w:rsidRPr="005600B7" w:rsidTr="00B52AA6">
        <w:trPr>
          <w:trHeight w:val="288"/>
        </w:trPr>
        <w:tc>
          <w:tcPr>
            <w:tcW w:w="2977"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 </w:t>
            </w:r>
          </w:p>
        </w:tc>
        <w:tc>
          <w:tcPr>
            <w:tcW w:w="1056"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Sums of squares</w:t>
            </w:r>
          </w:p>
        </w:tc>
        <w:tc>
          <w:tcPr>
            <w:tcW w:w="1416"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Mean</w:t>
            </w:r>
          </w:p>
          <w:p w:rsidR="005600B7" w:rsidRPr="005600B7" w:rsidRDefault="005600B7" w:rsidP="005600B7">
            <w:pPr>
              <w:spacing w:after="160" w:line="259" w:lineRule="auto"/>
              <w:rPr>
                <w:iCs/>
                <w:szCs w:val="18"/>
                <w:lang w:val="en-US"/>
              </w:rPr>
            </w:pPr>
            <w:r w:rsidRPr="005600B7">
              <w:rPr>
                <w:iCs/>
                <w:szCs w:val="18"/>
                <w:lang w:val="en-US"/>
              </w:rPr>
              <w:t>squares</w:t>
            </w:r>
          </w:p>
        </w:tc>
        <w:tc>
          <w:tcPr>
            <w:tcW w:w="1116"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F model</w:t>
            </w:r>
          </w:p>
        </w:tc>
        <w:tc>
          <w:tcPr>
            <w:tcW w:w="960"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R</w:t>
            </w:r>
            <w:r w:rsidRPr="005600B7">
              <w:rPr>
                <w:iCs/>
                <w:szCs w:val="18"/>
                <w:vertAlign w:val="superscript"/>
                <w:lang w:val="en-US"/>
              </w:rPr>
              <w:t>2</w:t>
            </w:r>
          </w:p>
        </w:tc>
        <w:tc>
          <w:tcPr>
            <w:tcW w:w="1116"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p-value</w:t>
            </w:r>
          </w:p>
        </w:tc>
      </w:tr>
      <w:tr w:rsidR="005600B7" w:rsidRPr="005600B7" w:rsidTr="00B52AA6">
        <w:trPr>
          <w:trHeight w:val="288"/>
        </w:trPr>
        <w:tc>
          <w:tcPr>
            <w:tcW w:w="2977"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Gender</w:t>
            </w:r>
          </w:p>
        </w:tc>
        <w:tc>
          <w:tcPr>
            <w:tcW w:w="105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2154</w:t>
            </w:r>
          </w:p>
        </w:tc>
        <w:tc>
          <w:tcPr>
            <w:tcW w:w="141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2154.1</w:t>
            </w:r>
          </w:p>
        </w:tc>
        <w:tc>
          <w:tcPr>
            <w:tcW w:w="111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0.997</w:t>
            </w:r>
          </w:p>
        </w:tc>
        <w:tc>
          <w:tcPr>
            <w:tcW w:w="960"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0.025</w:t>
            </w:r>
          </w:p>
        </w:tc>
        <w:tc>
          <w:tcPr>
            <w:tcW w:w="111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0.437</w:t>
            </w:r>
          </w:p>
        </w:tc>
      </w:tr>
      <w:tr w:rsidR="005600B7" w:rsidRPr="005600B7" w:rsidTr="00B52AA6">
        <w:trPr>
          <w:trHeight w:val="288"/>
        </w:trPr>
        <w:tc>
          <w:tcPr>
            <w:tcW w:w="2977"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Antibiotics</w:t>
            </w:r>
          </w:p>
        </w:tc>
        <w:tc>
          <w:tcPr>
            <w:tcW w:w="105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2202</w:t>
            </w:r>
          </w:p>
        </w:tc>
        <w:tc>
          <w:tcPr>
            <w:tcW w:w="14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2201.8</w:t>
            </w:r>
          </w:p>
        </w:tc>
        <w:tc>
          <w:tcPr>
            <w:tcW w:w="11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1.019</w:t>
            </w:r>
          </w:p>
        </w:tc>
        <w:tc>
          <w:tcPr>
            <w:tcW w:w="960"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0.025</w:t>
            </w:r>
          </w:p>
        </w:tc>
        <w:tc>
          <w:tcPr>
            <w:tcW w:w="11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0.365</w:t>
            </w:r>
          </w:p>
        </w:tc>
      </w:tr>
      <w:tr w:rsidR="005600B7" w:rsidRPr="005600B7" w:rsidTr="00B52AA6">
        <w:trPr>
          <w:trHeight w:val="288"/>
        </w:trPr>
        <w:tc>
          <w:tcPr>
            <w:tcW w:w="2977"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Age</w:t>
            </w:r>
          </w:p>
        </w:tc>
        <w:tc>
          <w:tcPr>
            <w:tcW w:w="105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2487</w:t>
            </w:r>
          </w:p>
        </w:tc>
        <w:tc>
          <w:tcPr>
            <w:tcW w:w="141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2487.3</w:t>
            </w:r>
          </w:p>
        </w:tc>
        <w:tc>
          <w:tcPr>
            <w:tcW w:w="111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1.151</w:t>
            </w:r>
          </w:p>
        </w:tc>
        <w:tc>
          <w:tcPr>
            <w:tcW w:w="960"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0.028</w:t>
            </w:r>
          </w:p>
        </w:tc>
        <w:tc>
          <w:tcPr>
            <w:tcW w:w="111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0.137</w:t>
            </w:r>
          </w:p>
        </w:tc>
      </w:tr>
      <w:tr w:rsidR="005600B7" w:rsidRPr="005600B7" w:rsidTr="00B52AA6">
        <w:trPr>
          <w:trHeight w:val="288"/>
        </w:trPr>
        <w:tc>
          <w:tcPr>
            <w:tcW w:w="2977"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Smoking habit</w:t>
            </w:r>
          </w:p>
        </w:tc>
        <w:tc>
          <w:tcPr>
            <w:tcW w:w="105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2984</w:t>
            </w:r>
          </w:p>
        </w:tc>
        <w:tc>
          <w:tcPr>
            <w:tcW w:w="14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2984.1</w:t>
            </w:r>
          </w:p>
        </w:tc>
        <w:tc>
          <w:tcPr>
            <w:tcW w:w="11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1.381</w:t>
            </w:r>
          </w:p>
        </w:tc>
        <w:tc>
          <w:tcPr>
            <w:tcW w:w="960"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0.034</w:t>
            </w:r>
          </w:p>
        </w:tc>
        <w:tc>
          <w:tcPr>
            <w:tcW w:w="11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b/>
                <w:iCs/>
                <w:szCs w:val="18"/>
                <w:lang w:val="en-US"/>
              </w:rPr>
            </w:pPr>
            <w:r w:rsidRPr="005600B7">
              <w:rPr>
                <w:b/>
                <w:iCs/>
                <w:szCs w:val="18"/>
                <w:lang w:val="en-US"/>
              </w:rPr>
              <w:t>0.021</w:t>
            </w:r>
          </w:p>
        </w:tc>
      </w:tr>
      <w:tr w:rsidR="005600B7" w:rsidRPr="005600B7" w:rsidTr="00B52AA6">
        <w:trPr>
          <w:trHeight w:val="288"/>
        </w:trPr>
        <w:tc>
          <w:tcPr>
            <w:tcW w:w="2977" w:type="dxa"/>
            <w:tcBorders>
              <w:top w:val="nil"/>
              <w:left w:val="nil"/>
              <w:bottom w:val="nil"/>
              <w:right w:val="nil"/>
            </w:tcBorders>
            <w:shd w:val="clear" w:color="000000" w:fill="FFFFFF"/>
            <w:noWrap/>
            <w:vAlign w:val="bottom"/>
          </w:tcPr>
          <w:p w:rsidR="005600B7" w:rsidRPr="005600B7" w:rsidRDefault="005600B7" w:rsidP="005600B7">
            <w:pPr>
              <w:spacing w:after="160" w:line="259" w:lineRule="auto"/>
              <w:rPr>
                <w:iCs/>
                <w:szCs w:val="18"/>
                <w:lang w:val="en-US"/>
              </w:rPr>
            </w:pPr>
            <w:r w:rsidRPr="005600B7">
              <w:rPr>
                <w:iCs/>
                <w:szCs w:val="18"/>
                <w:lang w:val="en-US"/>
              </w:rPr>
              <w:t>Antibiotics : smoking habit</w:t>
            </w:r>
          </w:p>
        </w:tc>
        <w:tc>
          <w:tcPr>
            <w:tcW w:w="1056" w:type="dxa"/>
            <w:tcBorders>
              <w:top w:val="nil"/>
              <w:left w:val="nil"/>
              <w:bottom w:val="nil"/>
              <w:right w:val="nil"/>
            </w:tcBorders>
            <w:shd w:val="clear" w:color="000000" w:fill="FFFFFF"/>
            <w:noWrap/>
            <w:vAlign w:val="bottom"/>
          </w:tcPr>
          <w:p w:rsidR="005600B7" w:rsidRPr="005600B7" w:rsidRDefault="005600B7" w:rsidP="005600B7">
            <w:pPr>
              <w:spacing w:after="160" w:line="259" w:lineRule="auto"/>
              <w:rPr>
                <w:iCs/>
                <w:szCs w:val="18"/>
                <w:lang w:val="en-US"/>
              </w:rPr>
            </w:pPr>
            <w:r w:rsidRPr="005600B7">
              <w:rPr>
                <w:iCs/>
                <w:szCs w:val="18"/>
                <w:lang w:val="en-US"/>
              </w:rPr>
              <w:t>2263</w:t>
            </w:r>
          </w:p>
        </w:tc>
        <w:tc>
          <w:tcPr>
            <w:tcW w:w="1416" w:type="dxa"/>
            <w:tcBorders>
              <w:top w:val="nil"/>
              <w:left w:val="nil"/>
              <w:bottom w:val="nil"/>
              <w:right w:val="nil"/>
            </w:tcBorders>
            <w:shd w:val="clear" w:color="000000" w:fill="FFFFFF"/>
            <w:noWrap/>
            <w:vAlign w:val="bottom"/>
          </w:tcPr>
          <w:p w:rsidR="005600B7" w:rsidRPr="005600B7" w:rsidRDefault="005600B7" w:rsidP="005600B7">
            <w:pPr>
              <w:spacing w:after="160" w:line="259" w:lineRule="auto"/>
              <w:rPr>
                <w:iCs/>
                <w:szCs w:val="18"/>
                <w:lang w:val="en-US"/>
              </w:rPr>
            </w:pPr>
            <w:r w:rsidRPr="005600B7">
              <w:rPr>
                <w:iCs/>
                <w:szCs w:val="18"/>
                <w:lang w:val="en-US"/>
              </w:rPr>
              <w:t>2262.6</w:t>
            </w:r>
          </w:p>
        </w:tc>
        <w:tc>
          <w:tcPr>
            <w:tcW w:w="1116" w:type="dxa"/>
            <w:tcBorders>
              <w:top w:val="nil"/>
              <w:left w:val="nil"/>
              <w:bottom w:val="nil"/>
              <w:right w:val="nil"/>
            </w:tcBorders>
            <w:shd w:val="clear" w:color="000000" w:fill="FFFFFF"/>
            <w:noWrap/>
            <w:vAlign w:val="bottom"/>
          </w:tcPr>
          <w:p w:rsidR="005600B7" w:rsidRPr="005600B7" w:rsidRDefault="005600B7" w:rsidP="005600B7">
            <w:pPr>
              <w:spacing w:after="160" w:line="259" w:lineRule="auto"/>
              <w:rPr>
                <w:iCs/>
                <w:szCs w:val="18"/>
                <w:lang w:val="en-US"/>
              </w:rPr>
            </w:pPr>
            <w:r w:rsidRPr="005600B7">
              <w:rPr>
                <w:iCs/>
                <w:szCs w:val="18"/>
                <w:lang w:val="en-US"/>
              </w:rPr>
              <w:t>1.047</w:t>
            </w:r>
          </w:p>
        </w:tc>
        <w:tc>
          <w:tcPr>
            <w:tcW w:w="960" w:type="dxa"/>
            <w:tcBorders>
              <w:top w:val="nil"/>
              <w:left w:val="nil"/>
              <w:bottom w:val="nil"/>
              <w:right w:val="nil"/>
            </w:tcBorders>
            <w:shd w:val="clear" w:color="000000" w:fill="FFFFFF"/>
            <w:noWrap/>
            <w:vAlign w:val="bottom"/>
          </w:tcPr>
          <w:p w:rsidR="005600B7" w:rsidRPr="005600B7" w:rsidRDefault="005600B7" w:rsidP="005600B7">
            <w:pPr>
              <w:spacing w:after="160" w:line="259" w:lineRule="auto"/>
              <w:rPr>
                <w:iCs/>
                <w:szCs w:val="18"/>
                <w:lang w:val="en-US"/>
              </w:rPr>
            </w:pPr>
            <w:r w:rsidRPr="005600B7">
              <w:rPr>
                <w:iCs/>
                <w:szCs w:val="18"/>
                <w:lang w:val="en-US"/>
              </w:rPr>
              <w:t>0.026</w:t>
            </w:r>
          </w:p>
        </w:tc>
        <w:tc>
          <w:tcPr>
            <w:tcW w:w="1116" w:type="dxa"/>
            <w:tcBorders>
              <w:top w:val="nil"/>
              <w:left w:val="nil"/>
              <w:bottom w:val="nil"/>
              <w:right w:val="nil"/>
            </w:tcBorders>
            <w:shd w:val="clear" w:color="000000" w:fill="FFFFFF"/>
            <w:noWrap/>
            <w:vAlign w:val="bottom"/>
          </w:tcPr>
          <w:p w:rsidR="005600B7" w:rsidRPr="005600B7" w:rsidRDefault="005600B7" w:rsidP="005600B7">
            <w:pPr>
              <w:spacing w:after="160" w:line="259" w:lineRule="auto"/>
              <w:rPr>
                <w:iCs/>
                <w:szCs w:val="18"/>
                <w:lang w:val="en-US"/>
              </w:rPr>
            </w:pPr>
            <w:r w:rsidRPr="005600B7">
              <w:rPr>
                <w:iCs/>
                <w:szCs w:val="18"/>
                <w:lang w:val="en-US"/>
              </w:rPr>
              <w:t>0.304</w:t>
            </w:r>
          </w:p>
        </w:tc>
      </w:tr>
      <w:tr w:rsidR="005600B7" w:rsidRPr="005600B7" w:rsidTr="00B52AA6">
        <w:trPr>
          <w:trHeight w:val="288"/>
        </w:trPr>
        <w:tc>
          <w:tcPr>
            <w:tcW w:w="2977"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Residuals</w:t>
            </w:r>
          </w:p>
        </w:tc>
        <w:tc>
          <w:tcPr>
            <w:tcW w:w="105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77890</w:t>
            </w:r>
          </w:p>
        </w:tc>
        <w:tc>
          <w:tcPr>
            <w:tcW w:w="14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2163.6</w:t>
            </w:r>
          </w:p>
        </w:tc>
        <w:tc>
          <w:tcPr>
            <w:tcW w:w="11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 </w:t>
            </w:r>
          </w:p>
        </w:tc>
        <w:tc>
          <w:tcPr>
            <w:tcW w:w="960"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0.888</w:t>
            </w:r>
          </w:p>
        </w:tc>
        <w:tc>
          <w:tcPr>
            <w:tcW w:w="11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 </w:t>
            </w:r>
          </w:p>
        </w:tc>
      </w:tr>
    </w:tbl>
    <w:p w:rsidR="005600B7" w:rsidRDefault="005600B7" w:rsidP="005600B7">
      <w:pPr>
        <w:spacing w:after="160" w:line="259" w:lineRule="auto"/>
        <w:rPr>
          <w:lang w:val="en-US"/>
        </w:rPr>
      </w:pPr>
    </w:p>
    <w:p w:rsidR="005600B7" w:rsidRDefault="005600B7" w:rsidP="005600B7">
      <w:pPr>
        <w:spacing w:after="160" w:line="259" w:lineRule="auto"/>
        <w:rPr>
          <w:b/>
          <w:iCs/>
          <w:szCs w:val="18"/>
          <w:lang w:val="en-US"/>
        </w:rPr>
      </w:pPr>
    </w:p>
    <w:p w:rsidR="005600B7" w:rsidRPr="005600B7" w:rsidRDefault="007F0351" w:rsidP="005600B7">
      <w:pPr>
        <w:spacing w:after="160" w:line="259" w:lineRule="auto"/>
        <w:rPr>
          <w:iCs/>
          <w:szCs w:val="18"/>
          <w:lang w:val="en-US"/>
        </w:rPr>
      </w:pPr>
      <w:r>
        <w:rPr>
          <w:b/>
          <w:iCs/>
          <w:szCs w:val="18"/>
          <w:lang w:val="en-US"/>
        </w:rPr>
        <w:t xml:space="preserve">Table </w:t>
      </w:r>
      <w:r w:rsidR="00612CBE">
        <w:rPr>
          <w:b/>
          <w:iCs/>
          <w:szCs w:val="18"/>
          <w:lang w:val="en-US"/>
        </w:rPr>
        <w:t>S</w:t>
      </w:r>
      <w:r w:rsidR="005600B7">
        <w:rPr>
          <w:b/>
          <w:iCs/>
          <w:szCs w:val="18"/>
          <w:lang w:val="en-US"/>
        </w:rPr>
        <w:t>2</w:t>
      </w:r>
      <w:r w:rsidR="005600B7" w:rsidRPr="005600B7">
        <w:rPr>
          <w:b/>
          <w:iCs/>
          <w:szCs w:val="18"/>
          <w:lang w:val="en-US"/>
        </w:rPr>
        <w:t xml:space="preserve">. </w:t>
      </w:r>
      <w:r w:rsidR="005600B7" w:rsidRPr="005600B7">
        <w:rPr>
          <w:iCs/>
          <w:szCs w:val="18"/>
          <w:lang w:val="en-US"/>
        </w:rPr>
        <w:t>PERMANOVA of oral microbial community composition in non-tonsillitis cohort</w:t>
      </w:r>
    </w:p>
    <w:tbl>
      <w:tblPr>
        <w:tblW w:w="7815" w:type="dxa"/>
        <w:tblLook w:val="04A0" w:firstRow="1" w:lastRow="0" w:firstColumn="1" w:lastColumn="0" w:noHBand="0" w:noVBand="1"/>
      </w:tblPr>
      <w:tblGrid>
        <w:gridCol w:w="2127"/>
        <w:gridCol w:w="1350"/>
        <w:gridCol w:w="1110"/>
        <w:gridCol w:w="1328"/>
        <w:gridCol w:w="996"/>
        <w:gridCol w:w="1116"/>
      </w:tblGrid>
      <w:tr w:rsidR="005600B7" w:rsidRPr="005600B7" w:rsidTr="00B52AA6">
        <w:trPr>
          <w:trHeight w:val="288"/>
        </w:trPr>
        <w:tc>
          <w:tcPr>
            <w:tcW w:w="2127"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Healthy cohort</w:t>
            </w:r>
          </w:p>
        </w:tc>
        <w:tc>
          <w:tcPr>
            <w:tcW w:w="1210"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proofErr w:type="spellStart"/>
            <w:r w:rsidRPr="005600B7">
              <w:rPr>
                <w:iCs/>
                <w:szCs w:val="18"/>
                <w:lang w:val="en-US"/>
              </w:rPr>
              <w:t>SumsOfSqs</w:t>
            </w:r>
            <w:proofErr w:type="spellEnd"/>
          </w:p>
        </w:tc>
        <w:tc>
          <w:tcPr>
            <w:tcW w:w="1038"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proofErr w:type="spellStart"/>
            <w:r w:rsidRPr="005600B7">
              <w:rPr>
                <w:iCs/>
                <w:szCs w:val="18"/>
                <w:lang w:val="en-US"/>
              </w:rPr>
              <w:t>MeanSqs</w:t>
            </w:r>
            <w:proofErr w:type="spellEnd"/>
          </w:p>
        </w:tc>
        <w:tc>
          <w:tcPr>
            <w:tcW w:w="1328"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proofErr w:type="spellStart"/>
            <w:r w:rsidRPr="005600B7">
              <w:rPr>
                <w:iCs/>
                <w:szCs w:val="18"/>
                <w:lang w:val="en-US"/>
              </w:rPr>
              <w:t>F.Model</w:t>
            </w:r>
            <w:proofErr w:type="spellEnd"/>
          </w:p>
        </w:tc>
        <w:tc>
          <w:tcPr>
            <w:tcW w:w="996"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R</w:t>
            </w:r>
            <w:r w:rsidRPr="005600B7">
              <w:rPr>
                <w:iCs/>
                <w:szCs w:val="18"/>
                <w:vertAlign w:val="superscript"/>
                <w:lang w:val="en-US"/>
              </w:rPr>
              <w:t>2</w:t>
            </w:r>
          </w:p>
        </w:tc>
        <w:tc>
          <w:tcPr>
            <w:tcW w:w="1116" w:type="dxa"/>
            <w:tcBorders>
              <w:top w:val="nil"/>
              <w:left w:val="nil"/>
              <w:bottom w:val="single" w:sz="4" w:space="0" w:color="auto"/>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p-value</w:t>
            </w:r>
          </w:p>
        </w:tc>
      </w:tr>
      <w:tr w:rsidR="005600B7" w:rsidRPr="005600B7" w:rsidTr="00B52AA6">
        <w:trPr>
          <w:trHeight w:val="288"/>
        </w:trPr>
        <w:tc>
          <w:tcPr>
            <w:tcW w:w="2127"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Gender</w:t>
            </w:r>
          </w:p>
        </w:tc>
        <w:tc>
          <w:tcPr>
            <w:tcW w:w="1210"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2847</w:t>
            </w:r>
          </w:p>
        </w:tc>
        <w:tc>
          <w:tcPr>
            <w:tcW w:w="1038"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2847</w:t>
            </w:r>
          </w:p>
        </w:tc>
        <w:tc>
          <w:tcPr>
            <w:tcW w:w="1328"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1.365</w:t>
            </w:r>
          </w:p>
        </w:tc>
        <w:tc>
          <w:tcPr>
            <w:tcW w:w="99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0.008</w:t>
            </w:r>
          </w:p>
        </w:tc>
        <w:tc>
          <w:tcPr>
            <w:tcW w:w="111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0.022</w:t>
            </w:r>
          </w:p>
        </w:tc>
      </w:tr>
      <w:tr w:rsidR="005600B7" w:rsidRPr="005600B7" w:rsidTr="00B52AA6">
        <w:trPr>
          <w:trHeight w:val="288"/>
        </w:trPr>
        <w:tc>
          <w:tcPr>
            <w:tcW w:w="2127"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Age</w:t>
            </w:r>
          </w:p>
        </w:tc>
        <w:tc>
          <w:tcPr>
            <w:tcW w:w="1210"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3835</w:t>
            </w:r>
          </w:p>
        </w:tc>
        <w:tc>
          <w:tcPr>
            <w:tcW w:w="1038"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3834.9</w:t>
            </w:r>
          </w:p>
        </w:tc>
        <w:tc>
          <w:tcPr>
            <w:tcW w:w="1328"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1.839</w:t>
            </w:r>
          </w:p>
        </w:tc>
        <w:tc>
          <w:tcPr>
            <w:tcW w:w="99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0.011</w:t>
            </w:r>
          </w:p>
        </w:tc>
        <w:tc>
          <w:tcPr>
            <w:tcW w:w="11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b/>
                <w:iCs/>
                <w:szCs w:val="18"/>
                <w:lang w:val="en-US"/>
              </w:rPr>
            </w:pPr>
            <w:r w:rsidRPr="005600B7">
              <w:rPr>
                <w:b/>
                <w:iCs/>
                <w:szCs w:val="18"/>
                <w:lang w:val="en-US"/>
              </w:rPr>
              <w:t>&lt;0.001</w:t>
            </w:r>
          </w:p>
        </w:tc>
      </w:tr>
      <w:tr w:rsidR="005600B7" w:rsidRPr="005600B7" w:rsidTr="00B52AA6">
        <w:trPr>
          <w:trHeight w:val="288"/>
        </w:trPr>
        <w:tc>
          <w:tcPr>
            <w:tcW w:w="2127"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Smoking habit</w:t>
            </w:r>
          </w:p>
        </w:tc>
        <w:tc>
          <w:tcPr>
            <w:tcW w:w="1210"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5907</w:t>
            </w:r>
          </w:p>
        </w:tc>
        <w:tc>
          <w:tcPr>
            <w:tcW w:w="1038"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2953.5</w:t>
            </w:r>
          </w:p>
        </w:tc>
        <w:tc>
          <w:tcPr>
            <w:tcW w:w="1328"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1.416</w:t>
            </w:r>
          </w:p>
        </w:tc>
        <w:tc>
          <w:tcPr>
            <w:tcW w:w="99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iCs/>
                <w:szCs w:val="18"/>
                <w:lang w:val="en-US"/>
              </w:rPr>
            </w:pPr>
            <w:r w:rsidRPr="005600B7">
              <w:rPr>
                <w:iCs/>
                <w:szCs w:val="18"/>
                <w:lang w:val="en-US"/>
              </w:rPr>
              <w:t>0.017</w:t>
            </w:r>
          </w:p>
        </w:tc>
        <w:tc>
          <w:tcPr>
            <w:tcW w:w="1116" w:type="dxa"/>
            <w:tcBorders>
              <w:top w:val="nil"/>
              <w:left w:val="nil"/>
              <w:bottom w:val="nil"/>
              <w:right w:val="nil"/>
            </w:tcBorders>
            <w:shd w:val="clear" w:color="000000" w:fill="FFFFFF"/>
            <w:noWrap/>
            <w:vAlign w:val="bottom"/>
            <w:hideMark/>
          </w:tcPr>
          <w:p w:rsidR="005600B7" w:rsidRPr="005600B7" w:rsidRDefault="005600B7" w:rsidP="005600B7">
            <w:pPr>
              <w:spacing w:after="160" w:line="259" w:lineRule="auto"/>
              <w:rPr>
                <w:b/>
                <w:iCs/>
                <w:szCs w:val="18"/>
                <w:lang w:val="en-US"/>
              </w:rPr>
            </w:pPr>
            <w:r w:rsidRPr="005600B7">
              <w:rPr>
                <w:b/>
                <w:iCs/>
                <w:szCs w:val="18"/>
                <w:lang w:val="en-US"/>
              </w:rPr>
              <w:t>0.002</w:t>
            </w:r>
          </w:p>
        </w:tc>
      </w:tr>
      <w:tr w:rsidR="005600B7" w:rsidRPr="005600B7" w:rsidTr="00B52AA6">
        <w:trPr>
          <w:trHeight w:val="288"/>
        </w:trPr>
        <w:tc>
          <w:tcPr>
            <w:tcW w:w="2127"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Residuals</w:t>
            </w:r>
          </w:p>
        </w:tc>
        <w:tc>
          <w:tcPr>
            <w:tcW w:w="1210"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327473</w:t>
            </w:r>
          </w:p>
        </w:tc>
        <w:tc>
          <w:tcPr>
            <w:tcW w:w="1038"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2085.8</w:t>
            </w:r>
          </w:p>
        </w:tc>
        <w:tc>
          <w:tcPr>
            <w:tcW w:w="1328"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 </w:t>
            </w:r>
          </w:p>
        </w:tc>
        <w:tc>
          <w:tcPr>
            <w:tcW w:w="99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0.944</w:t>
            </w:r>
          </w:p>
        </w:tc>
        <w:tc>
          <w:tcPr>
            <w:tcW w:w="1116" w:type="dxa"/>
            <w:tcBorders>
              <w:top w:val="nil"/>
              <w:left w:val="nil"/>
              <w:bottom w:val="nil"/>
              <w:right w:val="nil"/>
            </w:tcBorders>
            <w:shd w:val="clear" w:color="auto" w:fill="F2F2F2" w:themeFill="background1" w:themeFillShade="F2"/>
            <w:noWrap/>
            <w:vAlign w:val="bottom"/>
            <w:hideMark/>
          </w:tcPr>
          <w:p w:rsidR="005600B7" w:rsidRPr="005600B7" w:rsidRDefault="005600B7" w:rsidP="005600B7">
            <w:pPr>
              <w:spacing w:after="160" w:line="259" w:lineRule="auto"/>
              <w:rPr>
                <w:iCs/>
                <w:szCs w:val="18"/>
                <w:lang w:val="en-US"/>
              </w:rPr>
            </w:pPr>
            <w:r w:rsidRPr="005600B7">
              <w:rPr>
                <w:iCs/>
                <w:szCs w:val="18"/>
                <w:lang w:val="en-US"/>
              </w:rPr>
              <w:t> </w:t>
            </w:r>
          </w:p>
        </w:tc>
      </w:tr>
    </w:tbl>
    <w:p w:rsidR="00B93DC8" w:rsidRPr="005600B7" w:rsidRDefault="00B93DC8" w:rsidP="00B93DC8">
      <w:pPr>
        <w:rPr>
          <w:lang w:val="en-US"/>
        </w:rPr>
      </w:pPr>
    </w:p>
    <w:sectPr w:rsidR="00B93DC8" w:rsidRPr="005600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38" w:rsidRDefault="00870538" w:rsidP="001A5103">
      <w:pPr>
        <w:spacing w:after="0"/>
      </w:pPr>
      <w:r>
        <w:separator/>
      </w:r>
    </w:p>
  </w:endnote>
  <w:endnote w:type="continuationSeparator" w:id="0">
    <w:p w:rsidR="00870538" w:rsidRDefault="00870538" w:rsidP="001A5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990149"/>
      <w:docPartObj>
        <w:docPartGallery w:val="Page Numbers (Bottom of Page)"/>
        <w:docPartUnique/>
      </w:docPartObj>
    </w:sdtPr>
    <w:sdtEndPr>
      <w:rPr>
        <w:noProof/>
      </w:rPr>
    </w:sdtEndPr>
    <w:sdtContent>
      <w:p w:rsidR="00FA0890" w:rsidRDefault="00FA0890">
        <w:pPr>
          <w:pStyle w:val="Footer"/>
          <w:jc w:val="right"/>
        </w:pPr>
        <w:r>
          <w:fldChar w:fldCharType="begin"/>
        </w:r>
        <w:r>
          <w:instrText xml:space="preserve"> PAGE   \* MERGEFORMAT </w:instrText>
        </w:r>
        <w:r>
          <w:fldChar w:fldCharType="separate"/>
        </w:r>
        <w:r w:rsidR="00067C70">
          <w:rPr>
            <w:noProof/>
          </w:rPr>
          <w:t>5</w:t>
        </w:r>
        <w:r>
          <w:rPr>
            <w:noProof/>
          </w:rPr>
          <w:fldChar w:fldCharType="end"/>
        </w:r>
      </w:p>
    </w:sdtContent>
  </w:sdt>
  <w:p w:rsidR="00FA0890" w:rsidRDefault="00FA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38" w:rsidRDefault="00870538" w:rsidP="001A5103">
      <w:pPr>
        <w:spacing w:after="0"/>
      </w:pPr>
      <w:r>
        <w:separator/>
      </w:r>
    </w:p>
  </w:footnote>
  <w:footnote w:type="continuationSeparator" w:id="0">
    <w:p w:rsidR="00870538" w:rsidRDefault="00870538" w:rsidP="001A51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03" w:rsidRPr="001A5103" w:rsidRDefault="00612CBE" w:rsidP="001A5103">
    <w:pPr>
      <w:spacing w:line="480" w:lineRule="auto"/>
      <w:rPr>
        <w:lang w:val="en-US"/>
      </w:rPr>
    </w:pPr>
    <w:r>
      <w:rPr>
        <w:lang w:val="en-US"/>
      </w:rPr>
      <w:t>Supplementary figures and tables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03"/>
    <w:rsid w:val="00067C70"/>
    <w:rsid w:val="001A5103"/>
    <w:rsid w:val="001F6757"/>
    <w:rsid w:val="002140B2"/>
    <w:rsid w:val="004C525E"/>
    <w:rsid w:val="005600B7"/>
    <w:rsid w:val="00612CBE"/>
    <w:rsid w:val="006C2AF9"/>
    <w:rsid w:val="007F0351"/>
    <w:rsid w:val="0086075F"/>
    <w:rsid w:val="00870538"/>
    <w:rsid w:val="008E39F9"/>
    <w:rsid w:val="008E4711"/>
    <w:rsid w:val="00900863"/>
    <w:rsid w:val="00926E75"/>
    <w:rsid w:val="00A7138F"/>
    <w:rsid w:val="00B93DC8"/>
    <w:rsid w:val="00E55F72"/>
    <w:rsid w:val="00EC5F61"/>
    <w:rsid w:val="00F96898"/>
    <w:rsid w:val="00FA0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53A4"/>
  <w15:chartTrackingRefBased/>
  <w15:docId w15:val="{E47A6663-F183-45F9-A305-819CDA38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B2"/>
    <w:pPr>
      <w:spacing w:after="240" w:line="240" w:lineRule="auto"/>
    </w:pPr>
    <w:rPr>
      <w:rFonts w:ascii="Times New Roman" w:hAnsi="Times New Roman"/>
      <w:sz w:val="24"/>
      <w:lang w:val="en-GB"/>
    </w:rPr>
  </w:style>
  <w:style w:type="paragraph" w:styleId="Heading1">
    <w:name w:val="heading 1"/>
    <w:basedOn w:val="Normal"/>
    <w:next w:val="Normal"/>
    <w:link w:val="Heading1Char"/>
    <w:uiPriority w:val="9"/>
    <w:qFormat/>
    <w:rsid w:val="002140B2"/>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140B2"/>
    <w:pPr>
      <w:keepNext/>
      <w:keepLines/>
      <w:spacing w:before="240" w:after="12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B2"/>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2140B2"/>
    <w:rPr>
      <w:rFonts w:ascii="Times New Roman" w:eastAsiaTheme="majorEastAsia" w:hAnsi="Times New Roman" w:cstheme="majorBidi"/>
      <w:i/>
      <w:sz w:val="24"/>
      <w:szCs w:val="26"/>
      <w:lang w:val="en-GB"/>
    </w:rPr>
  </w:style>
  <w:style w:type="paragraph" w:styleId="Header">
    <w:name w:val="header"/>
    <w:basedOn w:val="Normal"/>
    <w:link w:val="HeaderChar"/>
    <w:uiPriority w:val="99"/>
    <w:unhideWhenUsed/>
    <w:rsid w:val="001A5103"/>
    <w:pPr>
      <w:tabs>
        <w:tab w:val="center" w:pos="4680"/>
        <w:tab w:val="right" w:pos="9360"/>
      </w:tabs>
      <w:spacing w:after="0"/>
    </w:pPr>
  </w:style>
  <w:style w:type="character" w:customStyle="1" w:styleId="HeaderChar">
    <w:name w:val="Header Char"/>
    <w:basedOn w:val="DefaultParagraphFont"/>
    <w:link w:val="Header"/>
    <w:uiPriority w:val="99"/>
    <w:rsid w:val="001A5103"/>
    <w:rPr>
      <w:rFonts w:ascii="Times New Roman" w:hAnsi="Times New Roman"/>
      <w:sz w:val="24"/>
      <w:lang w:val="en-GB"/>
    </w:rPr>
  </w:style>
  <w:style w:type="paragraph" w:styleId="Footer">
    <w:name w:val="footer"/>
    <w:basedOn w:val="Normal"/>
    <w:link w:val="FooterChar"/>
    <w:uiPriority w:val="99"/>
    <w:unhideWhenUsed/>
    <w:rsid w:val="001A5103"/>
    <w:pPr>
      <w:tabs>
        <w:tab w:val="center" w:pos="4680"/>
        <w:tab w:val="right" w:pos="9360"/>
      </w:tabs>
      <w:spacing w:after="0"/>
    </w:pPr>
  </w:style>
  <w:style w:type="character" w:customStyle="1" w:styleId="FooterChar">
    <w:name w:val="Footer Char"/>
    <w:basedOn w:val="DefaultParagraphFont"/>
    <w:link w:val="Footer"/>
    <w:uiPriority w:val="99"/>
    <w:rsid w:val="001A5103"/>
    <w:rPr>
      <w:rFonts w:ascii="Times New Roman" w:hAnsi="Times New Roman"/>
      <w:sz w:val="24"/>
      <w:lang w:val="en-GB"/>
    </w:rPr>
  </w:style>
  <w:style w:type="paragraph" w:styleId="Caption">
    <w:name w:val="caption"/>
    <w:basedOn w:val="Normal"/>
    <w:next w:val="Normal"/>
    <w:uiPriority w:val="35"/>
    <w:unhideWhenUsed/>
    <w:qFormat/>
    <w:rsid w:val="001A5103"/>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E39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9F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94047">
      <w:bodyDiv w:val="1"/>
      <w:marLeft w:val="0"/>
      <w:marRight w:val="0"/>
      <w:marTop w:val="0"/>
      <w:marBottom w:val="0"/>
      <w:divBdr>
        <w:top w:val="none" w:sz="0" w:space="0" w:color="auto"/>
        <w:left w:val="none" w:sz="0" w:space="0" w:color="auto"/>
        <w:bottom w:val="none" w:sz="0" w:space="0" w:color="auto"/>
        <w:right w:val="none" w:sz="0" w:space="0" w:color="auto"/>
      </w:divBdr>
    </w:div>
    <w:div w:id="1836144592">
      <w:bodyDiv w:val="1"/>
      <w:marLeft w:val="0"/>
      <w:marRight w:val="0"/>
      <w:marTop w:val="0"/>
      <w:marBottom w:val="0"/>
      <w:divBdr>
        <w:top w:val="none" w:sz="0" w:space="0" w:color="auto"/>
        <w:left w:val="none" w:sz="0" w:space="0" w:color="auto"/>
        <w:bottom w:val="none" w:sz="0" w:space="0" w:color="auto"/>
        <w:right w:val="none" w:sz="0" w:space="0" w:color="auto"/>
      </w:divBdr>
    </w:div>
    <w:div w:id="18963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Yunkit Yeoh</dc:creator>
  <cp:keywords/>
  <dc:description/>
  <cp:lastModifiedBy>Yunkit Yeoh</cp:lastModifiedBy>
  <cp:revision>11</cp:revision>
  <cp:lastPrinted>2019-08-14T02:37:00Z</cp:lastPrinted>
  <dcterms:created xsi:type="dcterms:W3CDTF">2019-08-14T01:36:00Z</dcterms:created>
  <dcterms:modified xsi:type="dcterms:W3CDTF">2019-08-20T04:20:00Z</dcterms:modified>
</cp:coreProperties>
</file>