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37" w:rsidRPr="00AA1736" w:rsidRDefault="00AC6637" w:rsidP="00AC6637">
      <w:pPr>
        <w:rPr>
          <w:rFonts w:ascii="Arial" w:hAnsi="Arial" w:cs="Arial"/>
        </w:rPr>
      </w:pPr>
      <w:r w:rsidRPr="00574846">
        <w:rPr>
          <w:rFonts w:ascii="Arial" w:hAnsi="Arial" w:cs="Arial"/>
          <w:b/>
        </w:rPr>
        <w:t>Table S</w:t>
      </w:r>
      <w:r w:rsidR="00E06F33">
        <w:rPr>
          <w:rFonts w:ascii="Arial" w:hAnsi="Arial" w:cs="Arial"/>
          <w:b/>
        </w:rPr>
        <w:t>2</w:t>
      </w:r>
      <w:bookmarkStart w:id="0" w:name="_GoBack"/>
      <w:bookmarkEnd w:id="0"/>
      <w:r w:rsidRPr="00C36918">
        <w:rPr>
          <w:rFonts w:ascii="Arial" w:hAnsi="Arial" w:cs="Arial"/>
        </w:rPr>
        <w:t xml:space="preserve"> Results</w:t>
      </w:r>
      <w:r w:rsidRPr="00AA1736">
        <w:rPr>
          <w:rFonts w:ascii="Arial" w:hAnsi="Arial" w:cs="Arial"/>
        </w:rPr>
        <w:t xml:space="preserve"> of </w:t>
      </w:r>
      <w:r w:rsidR="002618BE">
        <w:rPr>
          <w:rFonts w:ascii="Arial" w:hAnsi="Arial" w:cs="Arial"/>
        </w:rPr>
        <w:t>the PRF screening</w:t>
      </w:r>
      <w:r w:rsidRPr="00AA1736">
        <w:rPr>
          <w:rFonts w:ascii="Arial" w:hAnsi="Arial" w:cs="Arial"/>
        </w:rPr>
        <w:t xml:space="preserve"> for Outcome </w:t>
      </w:r>
      <w:r w:rsidR="00373661">
        <w:rPr>
          <w:rFonts w:ascii="Arial" w:hAnsi="Arial" w:cs="Arial"/>
        </w:rPr>
        <w:t>2</w:t>
      </w:r>
      <w:r>
        <w:rPr>
          <w:rFonts w:ascii="Arial" w:hAnsi="Arial" w:cs="Arial"/>
        </w:rPr>
        <w:t>*</w:t>
      </w:r>
      <w:r w:rsidRPr="00AA1736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1996"/>
        <w:gridCol w:w="1873"/>
        <w:gridCol w:w="1044"/>
        <w:gridCol w:w="1748"/>
        <w:gridCol w:w="1044"/>
        <w:gridCol w:w="2147"/>
        <w:gridCol w:w="1309"/>
      </w:tblGrid>
      <w:tr w:rsidR="00AC6637" w:rsidRPr="00D8155A" w:rsidTr="00D749A6">
        <w:trPr>
          <w:cantSplit/>
          <w:tblHeader/>
        </w:trPr>
        <w:tc>
          <w:tcPr>
            <w:tcW w:w="1002" w:type="pct"/>
            <w:vMerge w:val="restart"/>
            <w:tcBorders>
              <w:top w:val="single" w:sz="4" w:space="0" w:color="auto"/>
            </w:tcBorders>
            <w:vAlign w:val="bottom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PRF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vAlign w:val="bottom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328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</w:t>
            </w:r>
          </w:p>
        </w:tc>
      </w:tr>
      <w:tr w:rsidR="00AC6637" w:rsidRPr="00D8155A" w:rsidTr="00D749A6">
        <w:trPr>
          <w:cantSplit/>
          <w:tblHeader/>
        </w:trPr>
        <w:tc>
          <w:tcPr>
            <w:tcW w:w="1002" w:type="pct"/>
            <w:vMerge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England &amp; Wales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England &amp; Wales + Scotland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2648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C6637" w:rsidRPr="00D8155A" w:rsidTr="00D749A6">
        <w:trPr>
          <w:cantSplit/>
          <w:tblHeader/>
        </w:trPr>
        <w:tc>
          <w:tcPr>
            <w:tcW w:w="1002" w:type="pct"/>
            <w:vMerge/>
            <w:tcBorders>
              <w:bottom w:val="single" w:sz="4" w:space="0" w:color="auto"/>
            </w:tcBorders>
            <w:vAlign w:val="center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D749A6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  <w:tcBorders>
              <w:top w:val="single" w:sz="4" w:space="0" w:color="auto"/>
            </w:tcBorders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total cattle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AC6637" w:rsidRPr="00EE2993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1.003</w:t>
            </w:r>
          </w:p>
          <w:p w:rsidR="00AC6637" w:rsidRPr="00D8155A" w:rsidRDefault="00AC6637" w:rsidP="003042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[1.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30421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49A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0.11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[0.998–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1.002]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1.0009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[0.999–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1.003]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AC6637" w:rsidRPr="00EE2993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1.007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1.02]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0.20</w:t>
            </w:r>
          </w:p>
        </w:tc>
        <w:tc>
          <w:tcPr>
            <w:tcW w:w="626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[0.99–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69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1.004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[1.00–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1.01]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oldest in group</w:t>
            </w: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AC6637" w:rsidRPr="00EE2993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1.09</w:t>
            </w:r>
          </w:p>
          <w:p w:rsidR="00AC6637" w:rsidRPr="00D8155A" w:rsidRDefault="00D749A6" w:rsidP="00D749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[1.02–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1.16]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6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[0.95–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1.02]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69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[0.98–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1.04]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  <w:vMerge w:val="restart"/>
          </w:tcPr>
          <w:p w:rsidR="00AC6637" w:rsidRPr="00EE2993" w:rsidRDefault="00AC6637" w:rsidP="007D20AD">
            <w:pPr>
              <w:tabs>
                <w:tab w:val="left" w:pos="780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management type</w:t>
            </w: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Dairy</w:t>
            </w:r>
          </w:p>
        </w:tc>
        <w:tc>
          <w:tcPr>
            <w:tcW w:w="671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37" w:rsidRPr="00D8155A" w:rsidTr="00D749A6">
        <w:trPr>
          <w:cantSplit/>
        </w:trPr>
        <w:tc>
          <w:tcPr>
            <w:tcW w:w="1002" w:type="pct"/>
            <w:vMerge/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71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313.84]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26" w:type="pct"/>
          </w:tcPr>
          <w:p w:rsidR="00AC6637" w:rsidRPr="00EE2993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0.20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[0.03–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1.39]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9" w:type="pct"/>
          </w:tcPr>
          <w:p w:rsidR="00AC6637" w:rsidRPr="00EE2993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0.19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[0.03–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1.38]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0.11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  <w:vMerge/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Suckler beef</w:t>
            </w:r>
          </w:p>
        </w:tc>
        <w:tc>
          <w:tcPr>
            <w:tcW w:w="671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[0.05–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14.24]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26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[0.18–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1.48]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9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[0.20–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1.54]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  <w:vMerge/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 xml:space="preserve">Specialist finisher </w:t>
            </w:r>
          </w:p>
        </w:tc>
        <w:tc>
          <w:tcPr>
            <w:tcW w:w="671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[0.13–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73.32]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26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  <w:p w:rsidR="00AC6637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[0.10–</w:t>
            </w:r>
            <w:r w:rsidR="00AC6637" w:rsidRPr="00D8155A">
              <w:rPr>
                <w:rFonts w:ascii="Arial" w:hAnsi="Arial" w:cs="Arial"/>
                <w:color w:val="000000"/>
                <w:sz w:val="20"/>
                <w:szCs w:val="20"/>
              </w:rPr>
              <w:t>10.33]</w:t>
            </w:r>
          </w:p>
        </w:tc>
        <w:tc>
          <w:tcPr>
            <w:tcW w:w="374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9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[0.37</w:t>
            </w:r>
            <w:r w:rsidR="00D749A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7.87]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</w:tr>
      <w:tr w:rsidR="00AC6637" w:rsidRPr="00D8155A" w:rsidTr="00D749A6">
        <w:trPr>
          <w:cantSplit/>
        </w:trPr>
        <w:tc>
          <w:tcPr>
            <w:tcW w:w="1002" w:type="pct"/>
            <w:vMerge w:val="restart"/>
          </w:tcPr>
          <w:p w:rsidR="00AC6637" w:rsidRPr="00EE2993" w:rsidRDefault="00AC6637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E2993">
              <w:rPr>
                <w:rFonts w:ascii="Arial" w:hAnsi="Arial" w:cs="Arial"/>
                <w:b/>
                <w:i/>
                <w:sz w:val="20"/>
                <w:szCs w:val="20"/>
              </w:rPr>
              <w:t>eason</w:t>
            </w:r>
          </w:p>
        </w:tc>
        <w:tc>
          <w:tcPr>
            <w:tcW w:w="715" w:type="pct"/>
          </w:tcPr>
          <w:p w:rsidR="00AC6637" w:rsidRPr="00D8155A" w:rsidRDefault="00AC6637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671" w:type="pct"/>
          </w:tcPr>
          <w:p w:rsidR="00AC6637" w:rsidRDefault="00AC6637" w:rsidP="007D20AD">
            <w:pPr>
              <w:jc w:val="center"/>
            </w:pPr>
            <w:r>
              <w:t>1.00</w:t>
            </w:r>
          </w:p>
        </w:tc>
        <w:tc>
          <w:tcPr>
            <w:tcW w:w="374" w:type="pct"/>
          </w:tcPr>
          <w:p w:rsidR="00AC6637" w:rsidRDefault="00AC6637" w:rsidP="007D20AD">
            <w:pPr>
              <w:jc w:val="center"/>
            </w:pPr>
          </w:p>
        </w:tc>
        <w:tc>
          <w:tcPr>
            <w:tcW w:w="626" w:type="pct"/>
          </w:tcPr>
          <w:p w:rsidR="00AC6637" w:rsidRDefault="00AC6637" w:rsidP="007D20AD">
            <w:pPr>
              <w:jc w:val="center"/>
            </w:pPr>
            <w:r>
              <w:t>1.00</w:t>
            </w:r>
          </w:p>
        </w:tc>
        <w:tc>
          <w:tcPr>
            <w:tcW w:w="374" w:type="pct"/>
          </w:tcPr>
          <w:p w:rsidR="00AC6637" w:rsidRDefault="00AC6637" w:rsidP="007D20AD">
            <w:pPr>
              <w:jc w:val="center"/>
            </w:pPr>
          </w:p>
        </w:tc>
        <w:tc>
          <w:tcPr>
            <w:tcW w:w="769" w:type="pct"/>
          </w:tcPr>
          <w:p w:rsidR="00AC6637" w:rsidRDefault="00AC6637" w:rsidP="007D20AD">
            <w:pPr>
              <w:jc w:val="center"/>
            </w:pPr>
            <w:r>
              <w:t>1.00</w:t>
            </w:r>
          </w:p>
        </w:tc>
        <w:tc>
          <w:tcPr>
            <w:tcW w:w="468" w:type="pct"/>
          </w:tcPr>
          <w:p w:rsidR="00AC6637" w:rsidRPr="00D8155A" w:rsidRDefault="00AC6637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  <w:tc>
          <w:tcPr>
            <w:tcW w:w="671" w:type="pct"/>
          </w:tcPr>
          <w:p w:rsidR="0030421C" w:rsidRPr="00EE2993" w:rsidRDefault="0030421C" w:rsidP="00BF0FB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12.58</w:t>
            </w:r>
          </w:p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[2.74</w:t>
            </w:r>
            <w:r w:rsidR="00D749A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57.73]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26" w:type="pct"/>
          </w:tcPr>
          <w:p w:rsidR="0030421C" w:rsidRPr="00EE2993" w:rsidRDefault="0030421C" w:rsidP="00BF0FB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4.48</w:t>
            </w:r>
          </w:p>
          <w:p w:rsidR="0030421C" w:rsidRPr="00EE2993" w:rsidRDefault="00D749A6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[1.12–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17.84]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9" w:type="pct"/>
          </w:tcPr>
          <w:p w:rsidR="0030421C" w:rsidRPr="00EE2993" w:rsidRDefault="0030421C" w:rsidP="00BF0FB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5.75</w:t>
            </w:r>
          </w:p>
          <w:p w:rsidR="0030421C" w:rsidRPr="00EE2993" w:rsidRDefault="00D749A6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[2.28–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14.51]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[0.09–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7.43]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26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6.09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[1.31–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28.34]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3.37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[1.03–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10.97]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[0.48–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6.68]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26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3.68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[0.80–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16.92]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2.46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[0.91–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6.64]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0.08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housed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9.10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[2.65–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31.25]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26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5.81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[1.82–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18.49]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7.51</w:t>
            </w:r>
          </w:p>
          <w:p w:rsidR="0030421C" w:rsidRPr="00D8155A" w:rsidRDefault="0030421C" w:rsidP="00D749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[3.25</w:t>
            </w:r>
            <w:r w:rsidR="00D749A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17.37]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</w:t>
            </w: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feed changed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[0.06–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1.47]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[0.25–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2.07]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[0.21–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1.23]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0.14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 changed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[0.13–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2.84]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626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[0.18–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1.36]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0.18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[0.23–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1.28]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0.17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cattle brought on (CBO)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28.50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[0.26–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3127.91]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[0.53–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4.03]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2.34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[0.88–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6.24]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0.09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bought other livestock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2.78</w:t>
            </w:r>
          </w:p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[0.9</w:t>
            </w:r>
            <w:r w:rsidR="00BD44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749A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8.55]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0.09</w:t>
            </w: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[0.28–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1.81]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[0.67–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2.90]</w:t>
            </w:r>
          </w:p>
        </w:tc>
        <w:tc>
          <w:tcPr>
            <w:tcW w:w="468" w:type="pct"/>
          </w:tcPr>
          <w:p w:rsidR="0030421C" w:rsidRPr="000D29B0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B0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non mains water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3.65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[0.70–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18.91]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0.14</w:t>
            </w: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[0.28–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7.29]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[0.81–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8.16]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sz w:val="20"/>
                <w:szCs w:val="20"/>
              </w:rPr>
              <w:t>0.12</w:t>
            </w: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 w:val="restart"/>
          </w:tcPr>
          <w:p w:rsidR="0030421C" w:rsidRPr="00EE2993" w:rsidRDefault="0030421C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gulls</w:t>
            </w: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1" w:type="pct"/>
          </w:tcPr>
          <w:p w:rsidR="0030421C" w:rsidRPr="00453533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21C" w:rsidRPr="00D8155A" w:rsidTr="00D749A6">
        <w:trPr>
          <w:cantSplit/>
        </w:trPr>
        <w:tc>
          <w:tcPr>
            <w:tcW w:w="1002" w:type="pct"/>
            <w:vMerge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30421C" w:rsidRPr="00D8155A" w:rsidRDefault="0030421C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55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1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  <w:p w:rsidR="0030421C" w:rsidRPr="006D6E9A" w:rsidRDefault="00D749A6" w:rsidP="007D20AD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[0.10–</w:t>
            </w:r>
            <w:r w:rsidR="0030421C" w:rsidRPr="006D6E9A">
              <w:rPr>
                <w:rFonts w:ascii="Arial" w:hAnsi="Arial" w:cs="Arial"/>
                <w:color w:val="000000"/>
                <w:sz w:val="20"/>
                <w:szCs w:val="20"/>
              </w:rPr>
              <w:t>1.15]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6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  <w:p w:rsidR="0030421C" w:rsidRPr="00D8155A" w:rsidRDefault="00D749A6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[0.36–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2.81]</w:t>
            </w:r>
          </w:p>
        </w:tc>
        <w:tc>
          <w:tcPr>
            <w:tcW w:w="374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69" w:type="pct"/>
          </w:tcPr>
          <w:p w:rsidR="0030421C" w:rsidRPr="00EE2993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  <w:p w:rsidR="0030421C" w:rsidRPr="00D8155A" w:rsidRDefault="00D749A6" w:rsidP="00D749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[0.26–</w:t>
            </w:r>
            <w:r w:rsidR="0030421C" w:rsidRPr="00D8155A">
              <w:rPr>
                <w:rFonts w:ascii="Arial" w:hAnsi="Arial" w:cs="Arial"/>
                <w:color w:val="000000"/>
                <w:sz w:val="20"/>
                <w:szCs w:val="20"/>
              </w:rPr>
              <w:t>1.29]</w:t>
            </w:r>
          </w:p>
        </w:tc>
        <w:tc>
          <w:tcPr>
            <w:tcW w:w="468" w:type="pct"/>
          </w:tcPr>
          <w:p w:rsidR="0030421C" w:rsidRPr="00D8155A" w:rsidRDefault="0030421C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0.19</w:t>
            </w:r>
          </w:p>
        </w:tc>
      </w:tr>
    </w:tbl>
    <w:p w:rsidR="00AC6637" w:rsidRDefault="00AC6637" w:rsidP="00AC6637">
      <w:pPr>
        <w:spacing w:line="480" w:lineRule="auto"/>
        <w:rPr>
          <w:rFonts w:ascii="Arial" w:hAnsi="Arial" w:cs="Arial"/>
        </w:rPr>
      </w:pPr>
    </w:p>
    <w:p w:rsidR="00826482" w:rsidRDefault="00AC6637" w:rsidP="00826482">
      <w:pPr>
        <w:pStyle w:val="ListParagraph"/>
        <w:spacing w:line="480" w:lineRule="auto"/>
        <w:ind w:left="0"/>
        <w:rPr>
          <w:rFonts w:ascii="Arial" w:hAnsi="Arial" w:cs="Arial"/>
        </w:rPr>
      </w:pPr>
      <w:r w:rsidRPr="00582E1E">
        <w:rPr>
          <w:rFonts w:ascii="Arial" w:hAnsi="Arial" w:cs="Arial"/>
        </w:rPr>
        <w:t xml:space="preserve">* The proportion of pats on positive farms that tested individually positive for </w:t>
      </w:r>
      <w:r w:rsidR="00826482">
        <w:rPr>
          <w:rFonts w:ascii="Arial" w:hAnsi="Arial" w:cs="Arial"/>
          <w:i/>
        </w:rPr>
        <w:t>E. </w:t>
      </w:r>
      <w:r w:rsidRPr="00582E1E">
        <w:rPr>
          <w:rFonts w:ascii="Arial" w:hAnsi="Arial" w:cs="Arial"/>
          <w:i/>
        </w:rPr>
        <w:t>coli</w:t>
      </w:r>
      <w:r w:rsidRPr="00582E1E">
        <w:rPr>
          <w:rFonts w:ascii="Arial" w:hAnsi="Arial" w:cs="Arial"/>
        </w:rPr>
        <w:t xml:space="preserve"> O157</w:t>
      </w:r>
    </w:p>
    <w:p w:rsidR="00AC6637" w:rsidRPr="00582E1E" w:rsidRDefault="00826482" w:rsidP="00826482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** OR estimates for PRFs using the combined </w:t>
      </w:r>
      <w:r w:rsidR="001B640C">
        <w:rPr>
          <w:rFonts w:ascii="Arial" w:hAnsi="Arial" w:cs="Arial"/>
        </w:rPr>
        <w:t xml:space="preserve">data sets </w:t>
      </w:r>
      <w:r>
        <w:rPr>
          <w:rFonts w:ascii="Arial" w:hAnsi="Arial" w:cs="Arial"/>
        </w:rPr>
        <w:t xml:space="preserve">were calculated with the inclusion of the factor </w:t>
      </w:r>
      <w:r w:rsidRPr="000D29B0">
        <w:rPr>
          <w:rFonts w:ascii="Arial" w:hAnsi="Arial" w:cs="Arial"/>
          <w:i/>
        </w:rPr>
        <w:t>survey</w:t>
      </w:r>
      <w:r>
        <w:rPr>
          <w:rFonts w:ascii="Arial" w:hAnsi="Arial" w:cs="Arial"/>
        </w:rPr>
        <w:t xml:space="preserve"> to account for differences at survey level </w:t>
      </w:r>
    </w:p>
    <w:p w:rsidR="00AC6637" w:rsidRDefault="00AC6637" w:rsidP="00AC663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PRF, potential risk factor</w:t>
      </w:r>
      <w:r w:rsidR="0053615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OR, Odds Ratio; CI, </w:t>
      </w:r>
      <w:r w:rsidR="00826482">
        <w:rPr>
          <w:rFonts w:ascii="Arial" w:hAnsi="Arial" w:cs="Arial"/>
        </w:rPr>
        <w:t>Confidence Interval</w:t>
      </w:r>
    </w:p>
    <w:p w:rsidR="00AC6637" w:rsidRDefault="00AC6637" w:rsidP="00AC663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and p-values are highlighted when </w:t>
      </w:r>
      <w:r w:rsidR="008264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≤ 0.20</w:t>
      </w:r>
    </w:p>
    <w:p w:rsidR="00AC6637" w:rsidRPr="00AE65FB" w:rsidRDefault="00AC6637" w:rsidP="00AC6637">
      <w:pPr>
        <w:spacing w:line="480" w:lineRule="auto"/>
        <w:rPr>
          <w:rFonts w:ascii="Arial" w:hAnsi="Arial" w:cs="Arial"/>
        </w:rPr>
      </w:pPr>
      <w:r w:rsidRPr="00815EEF">
        <w:rPr>
          <w:rFonts w:ascii="Arial" w:hAnsi="Arial" w:cs="Arial"/>
        </w:rPr>
        <w:t>PRFs are shown if they were statistically significant (</w:t>
      </w:r>
      <w:r w:rsidR="00826482">
        <w:rPr>
          <w:rFonts w:ascii="Arial" w:hAnsi="Arial" w:cs="Arial"/>
        </w:rPr>
        <w:t>p</w:t>
      </w:r>
      <w:r w:rsidRPr="00815EEF">
        <w:rPr>
          <w:rFonts w:ascii="Arial" w:hAnsi="Arial" w:cs="Arial"/>
        </w:rPr>
        <w:t xml:space="preserve"> ≤ 0.2</w:t>
      </w:r>
      <w:r>
        <w:rPr>
          <w:rFonts w:ascii="Arial" w:hAnsi="Arial" w:cs="Arial"/>
        </w:rPr>
        <w:t>0</w:t>
      </w:r>
      <w:r w:rsidRPr="00815EEF">
        <w:rPr>
          <w:rFonts w:ascii="Arial" w:hAnsi="Arial" w:cs="Arial"/>
        </w:rPr>
        <w:t xml:space="preserve">) in at least one </w:t>
      </w:r>
      <w:r w:rsidR="001B640C">
        <w:rPr>
          <w:rFonts w:ascii="Arial" w:hAnsi="Arial" w:cs="Arial"/>
        </w:rPr>
        <w:t>data set</w:t>
      </w:r>
      <w:r w:rsidRPr="00815EEF">
        <w:rPr>
          <w:rFonts w:ascii="Arial" w:hAnsi="Arial" w:cs="Arial"/>
        </w:rPr>
        <w:t xml:space="preserve">, and were retained for multivariable analysis. </w:t>
      </w:r>
      <w:r w:rsidRPr="00AE65FB">
        <w:rPr>
          <w:rFonts w:ascii="Arial" w:hAnsi="Arial" w:cs="Arial"/>
        </w:rPr>
        <w:t xml:space="preserve">All remaining PRFs as listed in Table </w:t>
      </w:r>
      <w:r>
        <w:rPr>
          <w:rFonts w:ascii="Arial" w:hAnsi="Arial" w:cs="Arial"/>
        </w:rPr>
        <w:t>S</w:t>
      </w:r>
      <w:r w:rsidRPr="00AE65FB">
        <w:rPr>
          <w:rFonts w:ascii="Arial" w:hAnsi="Arial" w:cs="Arial"/>
        </w:rPr>
        <w:t xml:space="preserve">1 were screened for this outcome, but were not statistically significantly associated with the outcome in either </w:t>
      </w:r>
      <w:r w:rsidR="001B640C">
        <w:rPr>
          <w:rFonts w:ascii="Arial" w:hAnsi="Arial" w:cs="Arial"/>
        </w:rPr>
        <w:t>data set or when the data sets were combined.</w:t>
      </w:r>
    </w:p>
    <w:sectPr w:rsidR="00AC6637" w:rsidRPr="00AE65FB" w:rsidSect="003311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37"/>
    <w:rsid w:val="001B640C"/>
    <w:rsid w:val="00214ACF"/>
    <w:rsid w:val="002618BE"/>
    <w:rsid w:val="0030421C"/>
    <w:rsid w:val="0033110D"/>
    <w:rsid w:val="00373661"/>
    <w:rsid w:val="00536158"/>
    <w:rsid w:val="00574846"/>
    <w:rsid w:val="006D6E9A"/>
    <w:rsid w:val="00796327"/>
    <w:rsid w:val="00826482"/>
    <w:rsid w:val="009F3068"/>
    <w:rsid w:val="00AC6637"/>
    <w:rsid w:val="00BD44D1"/>
    <w:rsid w:val="00C36918"/>
    <w:rsid w:val="00D749A6"/>
    <w:rsid w:val="00E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5B95"/>
  <w15:docId w15:val="{357C1FFE-78F3-4B14-9197-4D5148DD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3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C6637"/>
  </w:style>
  <w:style w:type="paragraph" w:styleId="BalloonText">
    <w:name w:val="Balloon Text"/>
    <w:basedOn w:val="Normal"/>
    <w:link w:val="BalloonTextChar"/>
    <w:uiPriority w:val="99"/>
    <w:semiHidden/>
    <w:unhideWhenUsed/>
    <w:rsid w:val="0033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D88DCBD2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McCann</dc:creator>
  <cp:lastModifiedBy>Madeleine Henry</cp:lastModifiedBy>
  <cp:revision>3</cp:revision>
  <cp:lastPrinted>2019-02-18T14:53:00Z</cp:lastPrinted>
  <dcterms:created xsi:type="dcterms:W3CDTF">2019-04-11T15:37:00Z</dcterms:created>
  <dcterms:modified xsi:type="dcterms:W3CDTF">2019-10-31T13:07:00Z</dcterms:modified>
</cp:coreProperties>
</file>