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9C" w:rsidRDefault="009C6342">
      <w:pPr>
        <w:spacing w:line="360" w:lineRule="auto"/>
        <w:rPr>
          <w:rFonts w:asciiTheme="minorHAnsi" w:hAnsiTheme="minorHAnsi"/>
        </w:rPr>
      </w:pPr>
      <w:bookmarkStart w:id="0" w:name="_GoBack"/>
      <w:bookmarkEnd w:id="0"/>
      <w:r>
        <w:rPr>
          <w:rFonts w:asciiTheme="minorHAnsi" w:hAnsiTheme="minorHAnsi"/>
          <w:b/>
        </w:rPr>
        <w:t>Appendix 3: Methods: Biogeographic models; example files for BioGeoBEARS analyses</w:t>
      </w:r>
    </w:p>
    <w:p w:rsidR="0088099C" w:rsidRDefault="009C6342">
      <w:pPr>
        <w:spacing w:line="240" w:lineRule="auto"/>
      </w:pPr>
      <w:r>
        <w:rPr>
          <w:rFonts w:asciiTheme="minorHAnsi" w:hAnsiTheme="minorHAnsi"/>
        </w:rPr>
        <w:t xml:space="preserve">Prior to comparing the different biogeographic hypotheses we tested whether an unconstrained model fitted the data better than a) restricting the maximum number of areas at nodes to two; and/or b) implementing an adjacent area matrix. Both a) and b) would be consistent with the present day distributions of the species, which never exceed two, adjacent, areas. </w:t>
      </w:r>
      <w:r w:rsidR="00D769F0">
        <w:rPr>
          <w:rFonts w:asciiTheme="minorHAnsi" w:hAnsiTheme="minorHAnsi"/>
        </w:rPr>
        <w:t>Even distributions widespread across just two adjacent areas are rare</w:t>
      </w:r>
      <w:r w:rsidR="00437C8E" w:rsidRPr="00437C8E">
        <w:rPr>
          <w:rFonts w:asciiTheme="minorHAnsi" w:hAnsiTheme="minorHAnsi"/>
        </w:rPr>
        <w:t xml:space="preserve">, and given the geographic structure in the </w:t>
      </w:r>
      <w:r w:rsidR="00437C8E" w:rsidRPr="00437C8E">
        <w:rPr>
          <w:rFonts w:asciiTheme="minorHAnsi" w:hAnsiTheme="minorHAnsi"/>
          <w:i/>
        </w:rPr>
        <w:t>Erica</w:t>
      </w:r>
      <w:r w:rsidR="00437C8E" w:rsidRPr="00437C8E">
        <w:rPr>
          <w:rFonts w:asciiTheme="minorHAnsi" w:hAnsiTheme="minorHAnsi"/>
        </w:rPr>
        <w:t xml:space="preserve"> phylogeny we would assume that this was the case throu</w:t>
      </w:r>
      <w:r w:rsidR="00437C8E">
        <w:rPr>
          <w:rFonts w:asciiTheme="minorHAnsi" w:hAnsiTheme="minorHAnsi"/>
        </w:rPr>
        <w:t xml:space="preserve">ghout the time of the radiation </w:t>
      </w:r>
      <w:r w:rsidR="00437C8E">
        <w:rPr>
          <w:rFonts w:asciiTheme="minorHAnsi" w:hAnsiTheme="minorHAnsi"/>
        </w:rPr>
        <w:fldChar w:fldCharType="begin" w:fldLock="1"/>
      </w:r>
      <w:r w:rsidR="00437C8E">
        <w:rPr>
          <w:rFonts w:asciiTheme="minorHAnsi" w:hAnsiTheme="minorHAnsi"/>
        </w:rP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 "properties" : { "noteIndex" : 0 }, "schema" : "https://github.com/citation-style-language/schema/raw/master/csl-citation.json" }</w:instrText>
      </w:r>
      <w:r w:rsidR="00437C8E">
        <w:rPr>
          <w:rFonts w:asciiTheme="minorHAnsi" w:hAnsiTheme="minorHAnsi"/>
        </w:rPr>
        <w:fldChar w:fldCharType="separate"/>
      </w:r>
      <w:r w:rsidR="00437C8E" w:rsidRPr="00437C8E">
        <w:rPr>
          <w:rFonts w:asciiTheme="minorHAnsi" w:hAnsiTheme="minorHAnsi"/>
          <w:noProof/>
        </w:rPr>
        <w:t>(Pirie et al., 2016)</w:t>
      </w:r>
      <w:r w:rsidR="00437C8E">
        <w:rPr>
          <w:rFonts w:asciiTheme="minorHAnsi" w:hAnsiTheme="minorHAnsi"/>
        </w:rPr>
        <w:fldChar w:fldCharType="end"/>
      </w:r>
      <w:r w:rsidR="00D769F0">
        <w:rPr>
          <w:rFonts w:asciiTheme="minorHAnsi" w:hAnsiTheme="minorHAnsi"/>
        </w:rPr>
        <w:t xml:space="preserve">. </w:t>
      </w:r>
      <w:r>
        <w:rPr>
          <w:rFonts w:asciiTheme="minorHAnsi" w:hAnsiTheme="minorHAnsi"/>
        </w:rPr>
        <w:t xml:space="preserve">The adjacent area matrix in particular explicitly disallows reconstructions of widespread yet interrupted distributions at ancestral nodes. We would argue that such distributions are unlikely in principle and that dispersal between such areas – if infrequent – would be more appropriately modelled by a process equivalent to jump dispersal than by assuming ongoing gene flow. For DEC+J an adjacent area matrix fit the data better (Results), and we therefore implemented it in subsequent models. Restricting maximum areas to two, by contrast, had a negligible impact on model fit (Results); to increase the speed of the analyses we nevertheless restricted maximum (ancestral) areas to two in subsequent models, thereby assuming that in the past </w:t>
      </w:r>
      <w:r>
        <w:rPr>
          <w:rFonts w:asciiTheme="minorHAnsi" w:hAnsiTheme="minorHAnsi"/>
          <w:i/>
        </w:rPr>
        <w:t>Erica</w:t>
      </w:r>
      <w:r>
        <w:rPr>
          <w:rFonts w:asciiTheme="minorHAnsi" w:hAnsiTheme="minorHAnsi"/>
        </w:rPr>
        <w:t xml:space="preserve"> species also never occurred across more than two regions. For DEC, by contrast, the adjacent area matrix did not improve model fit (and was therefore not further implemented), but restricting ancestral areas to two did (and was). The best fitting model was then used as basis and compared to models implementing the different dispersal hypothesis.</w:t>
      </w:r>
    </w:p>
    <w:p w:rsidR="0088099C" w:rsidRDefault="009C6342">
      <w:pPr>
        <w:spacing w:line="240" w:lineRule="auto"/>
      </w:pPr>
      <w:r>
        <w:rPr>
          <w:rFonts w:asciiTheme="minorHAnsi" w:hAnsiTheme="minorHAnsi"/>
        </w:rPr>
        <w:t>The parameter “w”, which is an exponent for the dispersal multipliers, was fixed to “1”. A free “w” parameter can help to remove some of the subjectivity of dispersal multipliers by optimising the matrix but there are known issues in finding the optimal maximum likelihood using a free “w” parameter (</w:t>
      </w:r>
      <w:hyperlink r:id="rId7" w:anchor="toc20" w:history="1">
        <w:r>
          <w:rPr>
            <w:rStyle w:val="InternetLink"/>
            <w:rFonts w:asciiTheme="minorHAnsi" w:hAnsiTheme="minorHAnsi"/>
          </w:rPr>
          <w:t>phylo.wikidot.com/biogeobears#toc20</w:t>
        </w:r>
      </w:hyperlink>
      <w:r>
        <w:rPr>
          <w:rFonts w:asciiTheme="minorHAnsi" w:hAnsiTheme="minorHAnsi"/>
        </w:rPr>
        <w:t>). We also tried different values for “w” using only the best tree and the most likely dispersal model (Drakensberg melting pot with a multiplier of 0.25 for DEC+J and with a multiplier of 0.075 for DEC) to test the effect. The differences in model fit were negligible (DEC+J) or negative (DEC respectively). We therefore only report results fixing “w” to 1.</w:t>
      </w:r>
    </w:p>
    <w:p w:rsidR="0088099C" w:rsidRDefault="009C6342">
      <w:pPr>
        <w:spacing w:line="240" w:lineRule="auto"/>
      </w:pPr>
      <w:r>
        <w:rPr>
          <w:rFonts w:asciiTheme="minorHAnsi" w:hAnsiTheme="minorHAnsi"/>
        </w:rPr>
        <w:t xml:space="preserve">Mugrabi de Kuppler et al. (2015) inferred reticulation in Europe between ancestors of </w:t>
      </w:r>
      <w:r>
        <w:rPr>
          <w:rFonts w:asciiTheme="minorHAnsi" w:hAnsiTheme="minorHAnsi"/>
          <w:i/>
        </w:rPr>
        <w:t>E. lusitanica</w:t>
      </w:r>
      <w:r>
        <w:rPr>
          <w:rFonts w:asciiTheme="minorHAnsi" w:hAnsiTheme="minorHAnsi"/>
        </w:rPr>
        <w:t xml:space="preserve"> and </w:t>
      </w:r>
      <w:r>
        <w:rPr>
          <w:rFonts w:asciiTheme="minorHAnsi" w:hAnsiTheme="minorHAnsi"/>
          <w:i/>
        </w:rPr>
        <w:t>E. arborea</w:t>
      </w:r>
      <w:r>
        <w:rPr>
          <w:rFonts w:asciiTheme="minorHAnsi" w:hAnsiTheme="minorHAnsi"/>
        </w:rPr>
        <w:t xml:space="preserve"> on the basis of gene tree incongruence. This incongruence led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1" w:name="__Fieldmark__10182_1355720316"/>
      <w:r>
        <w:rPr>
          <w:rFonts w:asciiTheme="minorHAnsi" w:hAnsiTheme="minorHAnsi"/>
          <w:noProof/>
        </w:rPr>
        <w:t>P</w:t>
      </w:r>
      <w:bookmarkStart w:id="2" w:name="__Fieldmark__94538_2901337518"/>
      <w:r>
        <w:rPr>
          <w:rFonts w:asciiTheme="minorHAnsi" w:hAnsiTheme="minorHAnsi"/>
          <w:noProof/>
        </w:rPr>
        <w:t>i</w:t>
      </w:r>
      <w:bookmarkStart w:id="3" w:name="__Fieldmark__23537_2901337518"/>
      <w:r>
        <w:rPr>
          <w:rFonts w:asciiTheme="minorHAnsi" w:hAnsiTheme="minorHAnsi"/>
          <w:noProof/>
        </w:rPr>
        <w:t>r</w:t>
      </w:r>
      <w:bookmarkStart w:id="4" w:name="__Fieldmark__6146_148153584"/>
      <w:r>
        <w:rPr>
          <w:rFonts w:asciiTheme="minorHAnsi" w:hAnsiTheme="minorHAnsi"/>
          <w:noProof/>
        </w:rPr>
        <w:t>i</w:t>
      </w:r>
      <w:bookmarkStart w:id="5" w:name="__Fieldmark__27436_2606946010"/>
      <w:r>
        <w:rPr>
          <w:rFonts w:asciiTheme="minorHAnsi" w:hAnsiTheme="minorHAnsi"/>
          <w:noProof/>
        </w:rPr>
        <w:t>e</w:t>
      </w:r>
      <w:bookmarkStart w:id="6" w:name="__Fieldmark__24452_1032130319"/>
      <w:r>
        <w:rPr>
          <w:rFonts w:asciiTheme="minorHAnsi" w:hAnsiTheme="minorHAnsi"/>
          <w:noProof/>
        </w:rPr>
        <w:t xml:space="preserve"> </w:t>
      </w:r>
      <w:bookmarkStart w:id="7" w:name="__Fieldmark__11311_1032130319"/>
      <w:r>
        <w:rPr>
          <w:rFonts w:asciiTheme="minorHAnsi" w:hAnsiTheme="minorHAnsi"/>
          <w:noProof/>
        </w:rPr>
        <w:t>&amp;</w:t>
      </w:r>
      <w:bookmarkStart w:id="8" w:name="__Fieldmark__39300_4276171936"/>
      <w:r>
        <w:rPr>
          <w:rFonts w:asciiTheme="minorHAnsi" w:hAnsiTheme="minorHAnsi"/>
          <w:noProof/>
        </w:rPr>
        <w:t xml:space="preserve"> </w:t>
      </w:r>
      <w:bookmarkStart w:id="9" w:name="__Fieldmark__24645_4276171936"/>
      <w:r>
        <w:rPr>
          <w:rFonts w:asciiTheme="minorHAnsi" w:hAnsiTheme="minorHAnsi"/>
          <w:noProof/>
        </w:rPr>
        <w:t>a</w:t>
      </w:r>
      <w:bookmarkStart w:id="10" w:name="__Fieldmark__1341_2128649790"/>
      <w:bookmarkStart w:id="11" w:name="__Fieldmark__1504_2046236570"/>
      <w:r>
        <w:rPr>
          <w:rFonts w:asciiTheme="minorHAnsi" w:hAnsiTheme="minorHAnsi"/>
          <w:noProof/>
        </w:rPr>
        <w:t>l</w:t>
      </w:r>
      <w:bookmarkStart w:id="12" w:name="__Fieldmark__29001_1586955725"/>
      <w:r>
        <w:rPr>
          <w:rFonts w:asciiTheme="minorHAnsi" w:hAnsiTheme="minorHAnsi"/>
          <w:noProof/>
        </w:rPr>
        <w:t>.</w:t>
      </w:r>
      <w:bookmarkStart w:id="13" w:name="__Fieldmark__1543_1186401686"/>
      <w:r>
        <w:rPr>
          <w:rFonts w:asciiTheme="minorHAnsi" w:hAnsiTheme="minorHAnsi"/>
          <w:noProof/>
        </w:rPr>
        <w:t xml:space="preserve"> (2016)</w:t>
      </w:r>
      <w:r>
        <w:fldChar w:fldCharType="end"/>
      </w:r>
      <w:bookmarkStart w:id="14" w:name="__Fieldmark__1170_1783702956"/>
      <w:bookmarkStart w:id="15" w:name="__Fieldmark__47654_1783702956"/>
      <w:bookmarkStart w:id="16" w:name="__Fieldmark__1011_685583219"/>
      <w:bookmarkStart w:id="17" w:name="__Fieldmark__16145_19380026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inorHAnsi" w:hAnsiTheme="minorHAnsi"/>
        </w:rPr>
        <w:t xml:space="preserve"> to exclude </w:t>
      </w:r>
      <w:r>
        <w:rPr>
          <w:rFonts w:asciiTheme="minorHAnsi" w:hAnsiTheme="minorHAnsi"/>
          <w:i/>
        </w:rPr>
        <w:t>E. lusitanica</w:t>
      </w:r>
      <w:r>
        <w:rPr>
          <w:rFonts w:asciiTheme="minorHAnsi" w:hAnsiTheme="minorHAnsi"/>
        </w:rPr>
        <w:t xml:space="preserve"> from the combined analyses of plastid and nuclear DNA sequences used here, whereby the evidence that it presents for a European origin of </w:t>
      </w:r>
      <w:r>
        <w:rPr>
          <w:rFonts w:asciiTheme="minorHAnsi" w:hAnsiTheme="minorHAnsi"/>
          <w:i/>
        </w:rPr>
        <w:t>E. arborea</w:t>
      </w:r>
      <w:r>
        <w:rPr>
          <w:rFonts w:asciiTheme="minorHAnsi" w:hAnsiTheme="minorHAnsi"/>
        </w:rPr>
        <w:t xml:space="preserve"> was inevitably lost from these analyses. We therefore ran the best model coding </w:t>
      </w:r>
      <w:r>
        <w:rPr>
          <w:rFonts w:asciiTheme="minorHAnsi" w:hAnsiTheme="minorHAnsi"/>
          <w:i/>
        </w:rPr>
        <w:t>E. arborea</w:t>
      </w:r>
      <w:r>
        <w:rPr>
          <w:rFonts w:asciiTheme="minorHAnsi" w:hAnsiTheme="minorHAnsi"/>
        </w:rPr>
        <w:t xml:space="preserve"> as European, rather than as widespread between Europe and TA, to test the potential impact on our results of a European ancestral area for the species</w:t>
      </w:r>
      <w:r>
        <w:rPr>
          <w:rFonts w:asciiTheme="minorHAnsi" w:hAnsiTheme="minorHAnsi"/>
          <w:i/>
        </w:rPr>
        <w:t>.</w:t>
      </w:r>
    </w:p>
    <w:p w:rsidR="0088099C" w:rsidRDefault="009C6342">
      <w:pPr>
        <w:spacing w:line="240" w:lineRule="auto"/>
      </w:pPr>
      <w:r>
        <w:rPr>
          <w:rFonts w:asciiTheme="minorHAnsi" w:hAnsiTheme="minorHAnsi"/>
        </w:rPr>
        <w:t xml:space="preserve">We also tested models that solely incorporates distances (either physical or environmental), based on the best model using the initial constraints (adjacency matrix and/or maximum area set to two: DEC+J/DEC respectively). For the pure distance model, we tested distances converted to probabilities, a linear model and exponentially transformed distances (0 to1). To combine both geographical and environmental distances </w:t>
      </w:r>
      <w:r>
        <w:t>in a joint model, instead of a single rate multiplier matrix both niche-based and distance-based matrices were used</w:t>
      </w:r>
      <w:r>
        <w:rPr>
          <w:rFonts w:asciiTheme="minorHAnsi" w:hAnsiTheme="minorHAnsi"/>
        </w:rPr>
        <w:t xml:space="preserve">. </w:t>
      </w:r>
    </w:p>
    <w:p w:rsidR="007832BF" w:rsidRDefault="007832BF">
      <w:pPr>
        <w:spacing w:line="240" w:lineRule="auto"/>
        <w:rPr>
          <w:rFonts w:cs="Calibri"/>
        </w:rPr>
      </w:pPr>
      <w:r>
        <w:rPr>
          <w:rFonts w:cs="Calibri"/>
        </w:rPr>
        <w:t xml:space="preserve">To test for the potential impact of sampling bias given differing proportions of species sampled for the different areas, we conducted a rarefaction analysis by randomly removing tips per region from the best tree to reflect the lowest percentage of sampling in a region (Madagascar: 42 %) and recalculated the models using 10 differently pruned phylogenies (based on the best tree). </w:t>
      </w:r>
    </w:p>
    <w:p w:rsidR="007832BF" w:rsidRDefault="007832BF">
      <w:pPr>
        <w:spacing w:after="0" w:line="240" w:lineRule="auto"/>
        <w:rPr>
          <w:rFonts w:cs="Calibri"/>
        </w:rPr>
      </w:pPr>
      <w:r>
        <w:rPr>
          <w:rFonts w:cs="Calibri"/>
        </w:rPr>
        <w:br w:type="page"/>
      </w:r>
    </w:p>
    <w:p w:rsidR="007832BF" w:rsidRDefault="007832BF">
      <w:pPr>
        <w:spacing w:line="240" w:lineRule="auto"/>
        <w:rPr>
          <w:rFonts w:asciiTheme="minorHAnsi" w:hAnsiTheme="minorHAnsi"/>
          <w:b/>
        </w:rPr>
      </w:pPr>
    </w:p>
    <w:p w:rsidR="0088099C" w:rsidRDefault="009C6342">
      <w:pPr>
        <w:spacing w:line="240" w:lineRule="auto"/>
      </w:pPr>
      <w:r>
        <w:rPr>
          <w:rFonts w:asciiTheme="minorHAnsi" w:hAnsiTheme="minorHAnsi"/>
          <w:b/>
        </w:rPr>
        <w:t>Table S3.1</w:t>
      </w:r>
      <w:r>
        <w:rPr>
          <w:rFonts w:asciiTheme="minorHAnsi" w:hAnsiTheme="minorHAnsi"/>
        </w:rPr>
        <w:t>. Biogeographic models, here shown with 0.00 dispersal multipliers for unlikely dispersal pathways. Abbreviations: E, Europe; D, Drakensberg; T, Tropical Africa; M, Madagascar; C, Cape. Note that for the Stepping Stone, Cape to Cairo and Drakensberg Melting Pot model we used different dispersal multipliers:  0.00, 0.01, 0.05, 0.075, 0.1, 0.25 and 0.5. Here we only show the 0 matrices.</w:t>
      </w:r>
    </w:p>
    <w:tbl>
      <w:tblPr>
        <w:tblStyle w:val="EinfacheTabelle31"/>
        <w:tblW w:w="9010" w:type="dxa"/>
        <w:tblInd w:w="62" w:type="dxa"/>
        <w:tblBorders>
          <w:bottom w:val="single" w:sz="4" w:space="0" w:color="000001"/>
          <w:insideH w:val="single" w:sz="4" w:space="0" w:color="000001"/>
        </w:tblBorders>
        <w:tblLook w:val="04A0" w:firstRow="1" w:lastRow="0" w:firstColumn="1" w:lastColumn="0" w:noHBand="0" w:noVBand="1"/>
      </w:tblPr>
      <w:tblGrid>
        <w:gridCol w:w="1103"/>
        <w:gridCol w:w="613"/>
        <w:gridCol w:w="1467"/>
        <w:gridCol w:w="1426"/>
        <w:gridCol w:w="1467"/>
        <w:gridCol w:w="1467"/>
        <w:gridCol w:w="1467"/>
      </w:tblGrid>
      <w:tr w:rsidR="0088099C" w:rsidTr="0088099C">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492" w:type="dxa"/>
            <w:tcBorders>
              <w:bottom w:val="single" w:sz="4" w:space="0" w:color="000001"/>
            </w:tcBorders>
            <w:shd w:val="clear" w:color="auto" w:fill="auto"/>
          </w:tcPr>
          <w:p w:rsidR="0088099C" w:rsidRDefault="009C6342">
            <w:pPr>
              <w:spacing w:after="0" w:line="240" w:lineRule="auto"/>
              <w:rPr>
                <w:rFonts w:asciiTheme="minorHAnsi" w:hAnsiTheme="minorHAnsi"/>
                <w:sz w:val="18"/>
              </w:rPr>
            </w:pPr>
            <w:r>
              <w:rPr>
                <w:rFonts w:asciiTheme="minorHAnsi" w:hAnsiTheme="minorHAnsi"/>
                <w:sz w:val="18"/>
                <w:szCs w:val="18"/>
              </w:rPr>
              <w:t>Model</w:t>
            </w:r>
          </w:p>
        </w:tc>
        <w:tc>
          <w:tcPr>
            <w:tcW w:w="580" w:type="dxa"/>
            <w:tcBorders>
              <w:bottom w:val="single" w:sz="4" w:space="0" w:color="000001"/>
            </w:tcBorders>
            <w:shd w:val="clear" w:color="auto" w:fill="auto"/>
          </w:tcPr>
          <w:p w:rsidR="0088099C" w:rsidRDefault="009C634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Areas</w:t>
            </w:r>
          </w:p>
        </w:tc>
        <w:tc>
          <w:tcPr>
            <w:tcW w:w="1395" w:type="dxa"/>
            <w:tcBorders>
              <w:bottom w:val="single" w:sz="4" w:space="0" w:color="000001"/>
            </w:tcBorders>
            <w:shd w:val="clear" w:color="auto" w:fill="auto"/>
          </w:tcPr>
          <w:p w:rsidR="0088099C" w:rsidRDefault="009C634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E</w:t>
            </w:r>
          </w:p>
        </w:tc>
        <w:tc>
          <w:tcPr>
            <w:tcW w:w="1356" w:type="dxa"/>
            <w:tcBorders>
              <w:bottom w:val="single" w:sz="4" w:space="0" w:color="000001"/>
            </w:tcBorders>
            <w:shd w:val="clear" w:color="auto" w:fill="auto"/>
          </w:tcPr>
          <w:p w:rsidR="0088099C" w:rsidRDefault="009C634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T</w:t>
            </w:r>
          </w:p>
        </w:tc>
        <w:tc>
          <w:tcPr>
            <w:tcW w:w="1395" w:type="dxa"/>
            <w:tcBorders>
              <w:bottom w:val="single" w:sz="4" w:space="0" w:color="000001"/>
            </w:tcBorders>
            <w:shd w:val="clear" w:color="auto" w:fill="auto"/>
          </w:tcPr>
          <w:p w:rsidR="0088099C" w:rsidRDefault="009C634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M</w:t>
            </w:r>
          </w:p>
        </w:tc>
        <w:tc>
          <w:tcPr>
            <w:tcW w:w="1395" w:type="dxa"/>
            <w:tcBorders>
              <w:bottom w:val="single" w:sz="4" w:space="0" w:color="000001"/>
            </w:tcBorders>
            <w:shd w:val="clear" w:color="auto" w:fill="auto"/>
          </w:tcPr>
          <w:p w:rsidR="0088099C" w:rsidRDefault="009C634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D</w:t>
            </w:r>
          </w:p>
        </w:tc>
        <w:tc>
          <w:tcPr>
            <w:tcW w:w="1396" w:type="dxa"/>
            <w:tcBorders>
              <w:bottom w:val="single" w:sz="4" w:space="0" w:color="000001"/>
            </w:tcBorders>
            <w:shd w:val="clear" w:color="auto" w:fill="auto"/>
          </w:tcPr>
          <w:p w:rsidR="0088099C" w:rsidRDefault="009C634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C</w:t>
            </w:r>
          </w:p>
        </w:tc>
      </w:tr>
      <w:tr w:rsidR="0088099C" w:rsidTr="0088099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9C6342">
            <w:pPr>
              <w:spacing w:after="0" w:line="240" w:lineRule="auto"/>
              <w:rPr>
                <w:rFonts w:asciiTheme="minorHAnsi" w:hAnsiTheme="minorHAnsi"/>
                <w:b w:val="0"/>
                <w:sz w:val="18"/>
              </w:rPr>
            </w:pPr>
            <w:r>
              <w:rPr>
                <w:rFonts w:asciiTheme="minorHAnsi" w:hAnsiTheme="minorHAnsi"/>
                <w:b w:val="0"/>
                <w:sz w:val="18"/>
                <w:szCs w:val="18"/>
              </w:rPr>
              <w:t>Stepping Stone</w:t>
            </w: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E</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r>
      <w:tr w:rsidR="0088099C" w:rsidTr="0088099C">
        <w:trPr>
          <w:trHeight w:val="27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T</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r>
      <w:tr w:rsidR="0088099C" w:rsidTr="0088099C">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M</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r>
      <w:tr w:rsidR="0088099C" w:rsidTr="0088099C">
        <w:trPr>
          <w:trHeight w:val="27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D</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r>
      <w:tr w:rsidR="0088099C" w:rsidTr="0088099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C</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r>
      <w:tr w:rsidR="0088099C" w:rsidTr="0088099C">
        <w:trPr>
          <w:trHeight w:val="27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56"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6"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88099C" w:rsidTr="0088099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9C6342">
            <w:pPr>
              <w:spacing w:after="0" w:line="240" w:lineRule="auto"/>
              <w:rPr>
                <w:rFonts w:asciiTheme="minorHAnsi" w:hAnsiTheme="minorHAnsi"/>
                <w:b w:val="0"/>
                <w:sz w:val="18"/>
              </w:rPr>
            </w:pPr>
            <w:r>
              <w:rPr>
                <w:rFonts w:asciiTheme="minorHAnsi" w:hAnsiTheme="minorHAnsi"/>
                <w:b w:val="0"/>
                <w:sz w:val="18"/>
                <w:szCs w:val="18"/>
              </w:rPr>
              <w:t>Cape to Cairo</w:t>
            </w: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E</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T</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M</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D</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C</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56"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6"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9C6342">
            <w:pPr>
              <w:spacing w:after="0" w:line="240" w:lineRule="auto"/>
              <w:rPr>
                <w:rFonts w:asciiTheme="minorHAnsi" w:hAnsiTheme="minorHAnsi"/>
                <w:b w:val="0"/>
                <w:sz w:val="18"/>
              </w:rPr>
            </w:pPr>
            <w:r>
              <w:rPr>
                <w:rFonts w:asciiTheme="minorHAnsi" w:hAnsiTheme="minorHAnsi"/>
                <w:b w:val="0"/>
                <w:sz w:val="18"/>
                <w:szCs w:val="18"/>
              </w:rPr>
              <w:t>Drakensberg melting pot</w:t>
            </w: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E</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T</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M</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D</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C</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56"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96"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9C6342">
            <w:pPr>
              <w:spacing w:after="0" w:line="240" w:lineRule="auto"/>
              <w:rPr>
                <w:rFonts w:asciiTheme="minorHAnsi" w:hAnsiTheme="minorHAnsi"/>
                <w:b w:val="0"/>
                <w:sz w:val="18"/>
                <w:szCs w:val="18"/>
              </w:rPr>
            </w:pPr>
            <w:r>
              <w:rPr>
                <w:rFonts w:asciiTheme="minorHAnsi" w:hAnsiTheme="minorHAnsi"/>
                <w:b w:val="0"/>
                <w:sz w:val="18"/>
                <w:szCs w:val="18"/>
              </w:rPr>
              <w:t>Geographic distance</w:t>
            </w:r>
          </w:p>
        </w:tc>
        <w:tc>
          <w:tcPr>
            <w:tcW w:w="580" w:type="dxa"/>
            <w:tcBorders>
              <w:top w:val="single" w:sz="4" w:space="0" w:color="000001"/>
              <w:bottom w:val="single" w:sz="4" w:space="0" w:color="000001"/>
            </w:tcBorders>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56" w:type="dxa"/>
            <w:tcBorders>
              <w:top w:val="single" w:sz="4" w:space="0" w:color="000001"/>
              <w:bottom w:val="single" w:sz="4" w:space="0" w:color="000001"/>
            </w:tcBorders>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6" w:type="dxa"/>
            <w:tcBorders>
              <w:top w:val="single" w:sz="4" w:space="0" w:color="000001"/>
              <w:bottom w:val="single" w:sz="4" w:space="0" w:color="000001"/>
            </w:tcBorders>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9C6342">
            <w:pPr>
              <w:spacing w:after="0" w:line="240" w:lineRule="auto"/>
              <w:rPr>
                <w:rFonts w:asciiTheme="minorHAnsi" w:hAnsiTheme="minorHAnsi"/>
                <w:sz w:val="18"/>
                <w:szCs w:val="18"/>
              </w:rPr>
            </w:pPr>
            <w:r>
              <w:rPr>
                <w:rFonts w:asciiTheme="minorHAnsi" w:hAnsiTheme="minorHAnsi"/>
                <w:sz w:val="18"/>
                <w:szCs w:val="18"/>
              </w:rPr>
              <w:t>in m</w:t>
            </w: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E</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2480098</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6411884</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6482646</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6570434</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9C6342">
            <w:pPr>
              <w:spacing w:after="0" w:line="240" w:lineRule="auto"/>
              <w:rPr>
                <w:rFonts w:asciiTheme="minorHAnsi" w:hAnsiTheme="minorHAnsi"/>
                <w:sz w:val="18"/>
                <w:szCs w:val="18"/>
              </w:rPr>
            </w:pPr>
            <w:r>
              <w:rPr>
                <w:rFonts w:asciiTheme="minorHAnsi" w:hAnsiTheme="minorHAnsi"/>
                <w:sz w:val="18"/>
                <w:szCs w:val="18"/>
              </w:rPr>
              <w:t>(reference</w:t>
            </w: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T</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2480098</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1208094</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404243</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1380045</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9C6342">
            <w:pPr>
              <w:spacing w:after="0" w:line="240" w:lineRule="auto"/>
              <w:rPr>
                <w:rFonts w:asciiTheme="minorHAnsi" w:hAnsiTheme="minorHAnsi"/>
                <w:sz w:val="18"/>
                <w:szCs w:val="18"/>
              </w:rPr>
            </w:pPr>
            <w:r>
              <w:rPr>
                <w:rFonts w:asciiTheme="minorHAnsi" w:hAnsiTheme="minorHAnsi"/>
                <w:sz w:val="18"/>
                <w:szCs w:val="18"/>
              </w:rPr>
              <w:t>only)</w:t>
            </w: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M</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6411884</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1208094</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984007</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2059502</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D</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6482646</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404243</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984007</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52129</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C</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6570434</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1380045</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2059502</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52129</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pPr>
            <w:r>
              <w:rPr>
                <w:sz w:val="18"/>
                <w:szCs w:val="18"/>
              </w:rPr>
              <w:t>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56"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6"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9C6342">
            <w:pPr>
              <w:spacing w:after="0" w:line="240" w:lineRule="auto"/>
            </w:pPr>
            <w:r>
              <w:rPr>
                <w:rFonts w:asciiTheme="minorHAnsi" w:hAnsiTheme="minorHAnsi"/>
                <w:b w:val="0"/>
                <w:sz w:val="18"/>
                <w:szCs w:val="18"/>
              </w:rPr>
              <w:t xml:space="preserve">as </w:t>
            </w:r>
            <w:r w:rsidR="00985CCA">
              <w:rPr>
                <w:rFonts w:asciiTheme="minorHAnsi" w:hAnsiTheme="minorHAnsi"/>
                <w:b w:val="0"/>
                <w:sz w:val="18"/>
                <w:szCs w:val="18"/>
              </w:rPr>
              <w:t>“</w:t>
            </w:r>
            <w:r>
              <w:rPr>
                <w:rFonts w:asciiTheme="minorHAnsi" w:hAnsiTheme="minorHAnsi"/>
                <w:b w:val="0"/>
                <w:sz w:val="18"/>
                <w:szCs w:val="18"/>
              </w:rPr>
              <w:t>Probability</w:t>
            </w:r>
            <w:r w:rsidR="00985CCA">
              <w:rPr>
                <w:rFonts w:asciiTheme="minorHAnsi" w:hAnsiTheme="minorHAnsi"/>
                <w:b w:val="0"/>
                <w:sz w:val="18"/>
                <w:szCs w:val="18"/>
              </w:rPr>
              <w:t>”</w:t>
            </w: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E</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0.623</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0.025</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0.014</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0.001</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985CCA">
            <w:pPr>
              <w:spacing w:after="0" w:line="240" w:lineRule="auto"/>
              <w:rPr>
                <w:rFonts w:asciiTheme="minorHAnsi" w:hAnsiTheme="minorHAnsi"/>
                <w:sz w:val="18"/>
                <w:szCs w:val="18"/>
              </w:rPr>
            </w:pPr>
            <w:r>
              <w:rPr>
                <w:rFonts w:asciiTheme="minorHAnsi" w:hAnsiTheme="minorHAnsi"/>
                <w:sz w:val="18"/>
                <w:szCs w:val="18"/>
              </w:rPr>
              <w:t>(0-1)</w:t>
            </w: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T</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0.623</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0.816</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0.939</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0.790</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M</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0.025</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0.816</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0.850</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0.687</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D</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0.014</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0.939</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0.85</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1</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Pr>
                <w:rFonts w:asciiTheme="minorHAnsi" w:hAnsiTheme="minorHAnsi"/>
                <w:sz w:val="18"/>
                <w:szCs w:val="18"/>
              </w:rPr>
              <w:t>0.992</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C</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0.001</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0.790</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0.687</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szCs w:val="18"/>
              </w:rPr>
              <w:t>0.992</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pPr>
            <w:r>
              <w:rPr>
                <w:rFonts w:asciiTheme="minorHAnsi" w:hAnsiTheme="minorHAnsi"/>
                <w:sz w:val="18"/>
                <w:szCs w:val="18"/>
              </w:rPr>
              <w:t>1</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56"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5"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396" w:type="dxa"/>
            <w:tcBorders>
              <w:top w:val="single" w:sz="4" w:space="0" w:color="000001"/>
              <w:bottom w:val="single" w:sz="4" w:space="0" w:color="000001"/>
            </w:tcBorders>
            <w:shd w:val="clear" w:color="auto" w:fill="F2F2F2"/>
          </w:tcPr>
          <w:p w:rsidR="0088099C" w:rsidRDefault="008809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9C6342">
            <w:pPr>
              <w:spacing w:after="0" w:line="240" w:lineRule="auto"/>
            </w:pPr>
            <w:r>
              <w:rPr>
                <w:rFonts w:asciiTheme="minorHAnsi" w:hAnsiTheme="minorHAnsi"/>
                <w:b w:val="0"/>
                <w:sz w:val="18"/>
                <w:szCs w:val="18"/>
              </w:rPr>
              <w:t>^1 (linear)</w:t>
            </w: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E</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47.5761668169349</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123.000326114063</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124.357766310499</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126.041819332809</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T</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47.5761668169349</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23.1750848855723</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7.75466630858064</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26.4736519020123</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M</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123.000326114063</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23.1750848855723</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18.876383586871</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39.5077979627463</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D</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124.357766310499</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7.75466630858064</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18.876383586871</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C</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126.041819332809</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26.4736519020123</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39.5077979627463</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9C6342">
            <w:pPr>
              <w:spacing w:after="0" w:line="240" w:lineRule="auto"/>
              <w:rPr>
                <w:sz w:val="18"/>
                <w:szCs w:val="18"/>
              </w:rPr>
            </w:pPr>
            <w:r>
              <w:rPr>
                <w:rFonts w:asciiTheme="minorHAnsi" w:hAnsiTheme="minorHAnsi"/>
                <w:b w:val="0"/>
                <w:sz w:val="18"/>
                <w:szCs w:val="18"/>
              </w:rPr>
              <w:t>^-2 (exp)</w:t>
            </w: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eu</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0.00044179531232</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6.60978714623171E-05</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6.46627506021843E-05</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6.29463675606014E-05</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0.00044179531232</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0.001861904205583</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0.016629292454534</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0.001426830196282</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mad</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6.60978714623171E-05</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0.001861904205583</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0.002806482974289</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0.000640669946055</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dra</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6.46627506021843E-05</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0.016629292454534</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0.002806482974289</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cfr</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6.29463675606014E-05</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0.001426830196282</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0.000640669946055</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9C6342">
            <w:pPr>
              <w:spacing w:after="0" w:line="240" w:lineRule="auto"/>
              <w:rPr>
                <w:sz w:val="18"/>
                <w:szCs w:val="18"/>
              </w:rPr>
            </w:pPr>
            <w:r>
              <w:rPr>
                <w:rFonts w:asciiTheme="minorHAnsi" w:hAnsiTheme="minorHAnsi"/>
                <w:b w:val="0"/>
                <w:sz w:val="18"/>
                <w:szCs w:val="18"/>
              </w:rPr>
              <w:t>^-1 (EXP)</w:t>
            </w: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eu</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0.021018927477866</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0.00813005974531</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0.008041315228381</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0.00793387468773</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0.021018927477866</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0.043149788013184</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0.128954613932709</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0.037773405939661</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mad</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0.00813005974531</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0.043149788013184</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0.052976249152699</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0.025311458789552</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dra</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0.008041315228381</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0.128954613932709</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0.052976249152699</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cfr</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0.00793387468773</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0.037773405939661</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0.025311458789552</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9C6342">
            <w:pPr>
              <w:spacing w:after="0" w:line="240" w:lineRule="auto"/>
              <w:rPr>
                <w:sz w:val="18"/>
                <w:szCs w:val="18"/>
              </w:rPr>
            </w:pPr>
            <w:r>
              <w:rPr>
                <w:rFonts w:asciiTheme="minorHAnsi" w:hAnsiTheme="minorHAnsi"/>
                <w:b w:val="0"/>
                <w:sz w:val="18"/>
                <w:szCs w:val="18"/>
              </w:rPr>
              <w:t>^-0.5 (EXP)</w:t>
            </w: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eu</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0.380761157100236</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0.300277944470818</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0.299455139918915</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0.298449828847789</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0.380761157100236</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0.455768878403725</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0.599251626391339</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0.440855777296096</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mad</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0.300277944470818</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0.455768878403725</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0.479755874732202</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0.398868090381487</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dra</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0.299455139918915</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0.599251626391339</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0.479755874732202</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F2F2F2"/>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cfr</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0.298449828847789</w:t>
            </w:r>
          </w:p>
        </w:tc>
        <w:tc>
          <w:tcPr>
            <w:tcW w:w="135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0.440855777296096</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0.398868090381487</w:t>
            </w:r>
          </w:p>
        </w:tc>
        <w:tc>
          <w:tcPr>
            <w:tcW w:w="1395"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396" w:type="dxa"/>
            <w:tcBorders>
              <w:top w:val="single" w:sz="4" w:space="0" w:color="000001"/>
              <w:bottom w:val="single" w:sz="4" w:space="0" w:color="000001"/>
            </w:tcBorders>
            <w:shd w:val="clear" w:color="auto" w:fill="F2F2F2"/>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356"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395"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396" w:type="dxa"/>
            <w:tcBorders>
              <w:top w:val="single" w:sz="4" w:space="0" w:color="000001"/>
              <w:bottom w:val="single" w:sz="4" w:space="0" w:color="000001"/>
            </w:tcBorders>
            <w:shd w:val="clear" w:color="auto" w:fill="auto"/>
          </w:tcPr>
          <w:p w:rsidR="0088099C" w:rsidRDefault="0088099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9C6342">
            <w:pPr>
              <w:spacing w:after="0" w:line="240" w:lineRule="auto"/>
              <w:rPr>
                <w:rFonts w:asciiTheme="minorHAnsi" w:hAnsiTheme="minorHAnsi"/>
                <w:b w:val="0"/>
                <w:sz w:val="18"/>
              </w:rPr>
            </w:pPr>
            <w:r>
              <w:rPr>
                <w:rFonts w:asciiTheme="minorHAnsi" w:hAnsiTheme="minorHAnsi"/>
                <w:b w:val="0"/>
                <w:sz w:val="18"/>
                <w:szCs w:val="18"/>
              </w:rPr>
              <w:t>Niche similarity</w:t>
            </w: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E</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1</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0.274</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0.208</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0.350</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0.353</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T</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0.274</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1</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0.298</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bookmarkStart w:id="18" w:name="__DdeLink__62964_2901337518"/>
            <w:bookmarkEnd w:id="18"/>
            <w:r>
              <w:rPr>
                <w:rFonts w:asciiTheme="minorHAnsi" w:hAnsiTheme="minorHAnsi"/>
                <w:sz w:val="18"/>
                <w:szCs w:val="18"/>
              </w:rPr>
              <w:t>0.540</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0.560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M</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0.208</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0.298</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1</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0.543</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0.485</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shd w:val="clear" w:color="auto" w:fill="auto"/>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D</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0.349</w:t>
            </w:r>
          </w:p>
        </w:tc>
        <w:tc>
          <w:tcPr>
            <w:tcW w:w="135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0.540</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0.543</w:t>
            </w:r>
          </w:p>
        </w:tc>
        <w:tc>
          <w:tcPr>
            <w:tcW w:w="1395"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1</w:t>
            </w:r>
          </w:p>
        </w:tc>
        <w:tc>
          <w:tcPr>
            <w:tcW w:w="1396" w:type="dxa"/>
            <w:tcBorders>
              <w:top w:val="single" w:sz="4" w:space="0" w:color="000001"/>
              <w:bottom w:val="single" w:sz="4" w:space="0" w:color="000001"/>
            </w:tcBorders>
            <w:shd w:val="clear" w:color="auto" w:fill="auto"/>
          </w:tcPr>
          <w:p w:rsidR="0088099C" w:rsidRDefault="009C6342">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Pr>
                <w:rFonts w:asciiTheme="minorHAnsi" w:hAnsiTheme="minorHAnsi"/>
                <w:sz w:val="18"/>
                <w:szCs w:val="18"/>
              </w:rPr>
              <w:t>0.710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92" w:type="dxa"/>
            <w:tcBorders>
              <w:top w:val="single" w:sz="4" w:space="0" w:color="000001"/>
              <w:bottom w:val="single" w:sz="4" w:space="0" w:color="000001"/>
              <w:right w:val="single" w:sz="4" w:space="0" w:color="000001"/>
            </w:tcBorders>
          </w:tcPr>
          <w:p w:rsidR="0088099C" w:rsidRDefault="0088099C">
            <w:pPr>
              <w:spacing w:after="0" w:line="240" w:lineRule="auto"/>
              <w:rPr>
                <w:rFonts w:asciiTheme="minorHAnsi" w:hAnsiTheme="minorHAnsi"/>
                <w:sz w:val="18"/>
                <w:szCs w:val="18"/>
              </w:rPr>
            </w:pPr>
          </w:p>
        </w:tc>
        <w:tc>
          <w:tcPr>
            <w:tcW w:w="580"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C</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0.353</w:t>
            </w:r>
          </w:p>
        </w:tc>
        <w:tc>
          <w:tcPr>
            <w:tcW w:w="135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0.560</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0.485</w:t>
            </w:r>
          </w:p>
        </w:tc>
        <w:tc>
          <w:tcPr>
            <w:tcW w:w="1395"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0.710</w:t>
            </w:r>
          </w:p>
        </w:tc>
        <w:tc>
          <w:tcPr>
            <w:tcW w:w="1396" w:type="dxa"/>
            <w:tcBorders>
              <w:top w:val="single" w:sz="4" w:space="0" w:color="000001"/>
              <w:bottom w:val="single" w:sz="4" w:space="0" w:color="000001"/>
            </w:tcBorders>
          </w:tcPr>
          <w:p w:rsidR="0088099C" w:rsidRDefault="009C6342">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Pr>
                <w:rFonts w:asciiTheme="minorHAnsi" w:hAnsiTheme="minorHAnsi"/>
                <w:sz w:val="18"/>
                <w:szCs w:val="18"/>
              </w:rPr>
              <w:t>1</w:t>
            </w:r>
          </w:p>
        </w:tc>
      </w:tr>
    </w:tbl>
    <w:p w:rsidR="0088099C" w:rsidRDefault="0088099C">
      <w:pPr>
        <w:spacing w:line="240" w:lineRule="auto"/>
        <w:rPr>
          <w:rFonts w:asciiTheme="minorHAnsi" w:hAnsiTheme="minorHAnsi"/>
        </w:rPr>
      </w:pPr>
    </w:p>
    <w:p w:rsidR="0088099C" w:rsidRDefault="009C6342">
      <w:pPr>
        <w:spacing w:line="240" w:lineRule="auto"/>
      </w:pPr>
      <w:r>
        <w:rPr>
          <w:rFonts w:asciiTheme="minorHAnsi" w:hAnsiTheme="minorHAnsi"/>
        </w:rPr>
        <w:t>The standard BioGeoBEARS input script provided by Matzke (</w:t>
      </w:r>
      <w:hyperlink r:id="rId8" w:anchor="toc31" w:history="1">
        <w:r>
          <w:rPr>
            <w:rStyle w:val="Internetverknpfung"/>
            <w:rFonts w:asciiTheme="minorHAnsi" w:hAnsiTheme="minorHAnsi"/>
          </w:rPr>
          <w:t>http://phylo.wikidot.com/biogeobears#toc31</w:t>
        </w:r>
      </w:hyperlink>
      <w:r>
        <w:rPr>
          <w:rFonts w:asciiTheme="minorHAnsi" w:hAnsiTheme="minorHAnsi"/>
        </w:rPr>
        <w:t>) was adjusted for the different models.</w:t>
      </w:r>
    </w:p>
    <w:p w:rsidR="0088099C" w:rsidRDefault="009C6342">
      <w:pPr>
        <w:spacing w:line="240" w:lineRule="auto"/>
      </w:pPr>
      <w:r>
        <w:rPr>
          <w:rFonts w:asciiTheme="minorHAnsi" w:hAnsiTheme="minorHAnsi"/>
        </w:rPr>
        <w:t>The script file for the Biogeographical Stochastic Mapping provided by Matzke (</w:t>
      </w:r>
      <w:hyperlink r:id="rId9" w:anchor="toc12" w:history="1">
        <w:r>
          <w:rPr>
            <w:rStyle w:val="Internetverknpfung"/>
            <w:rFonts w:asciiTheme="minorHAnsi" w:hAnsiTheme="minorHAnsi"/>
          </w:rPr>
          <w:t>http://phylo.wikidot.com/biogeographical-stochastic-mapping-example-script#toc12</w:t>
        </w:r>
      </w:hyperlink>
      <w:r>
        <w:rPr>
          <w:rFonts w:asciiTheme="minorHAnsi" w:hAnsiTheme="minorHAnsi"/>
        </w:rPr>
        <w:t>) was adjusted to our best inferred model (the Drakensberg melting pot model with a manual dispersal multplier of 0.25 on the best tree).</w:t>
      </w:r>
    </w:p>
    <w:p w:rsidR="0088099C" w:rsidRDefault="009C6342">
      <w:pPr>
        <w:spacing w:after="120" w:line="240" w:lineRule="auto"/>
        <w:rPr>
          <w:rFonts w:asciiTheme="minorHAnsi" w:hAnsiTheme="minorHAnsi"/>
        </w:rPr>
      </w:pPr>
      <w:r>
        <w:rPr>
          <w:rFonts w:asciiTheme="minorHAnsi" w:hAnsiTheme="minorHAnsi"/>
        </w:rPr>
        <w:t>The area adjacency matrix was set to the following:</w:t>
      </w:r>
    </w:p>
    <w:tbl>
      <w:tblPr>
        <w:tblStyle w:val="EinfacheTabelle31"/>
        <w:tblW w:w="3389" w:type="dxa"/>
        <w:tblBorders>
          <w:bottom w:val="single" w:sz="4" w:space="0" w:color="000001"/>
          <w:insideH w:val="single" w:sz="4" w:space="0" w:color="000001"/>
        </w:tblBorders>
        <w:tblLook w:val="04A0" w:firstRow="1" w:lastRow="0" w:firstColumn="1" w:lastColumn="0" w:noHBand="0" w:noVBand="1"/>
      </w:tblPr>
      <w:tblGrid>
        <w:gridCol w:w="629"/>
        <w:gridCol w:w="628"/>
        <w:gridCol w:w="555"/>
        <w:gridCol w:w="465"/>
        <w:gridCol w:w="556"/>
        <w:gridCol w:w="556"/>
      </w:tblGrid>
      <w:tr w:rsidR="0088099C" w:rsidTr="0088099C">
        <w:trPr>
          <w:cnfStyle w:val="100000000000" w:firstRow="1" w:lastRow="0" w:firstColumn="0" w:lastColumn="0" w:oddVBand="0" w:evenVBand="0" w:oddHBand="0" w:evenHBand="0" w:firstRowFirstColumn="0" w:firstRowLastColumn="0" w:lastRowFirstColumn="0" w:lastRowLastColumn="0"/>
          <w:trHeight w:val="256"/>
        </w:trPr>
        <w:tc>
          <w:tcPr>
            <w:cnfStyle w:val="001000000100" w:firstRow="0" w:lastRow="0" w:firstColumn="1" w:lastColumn="0" w:oddVBand="0" w:evenVBand="0" w:oddHBand="0" w:evenHBand="0" w:firstRowFirstColumn="1" w:firstRowLastColumn="0" w:lastRowFirstColumn="0" w:lastRowLastColumn="0"/>
            <w:tcW w:w="628" w:type="dxa"/>
            <w:tcBorders>
              <w:bottom w:val="single" w:sz="4" w:space="0" w:color="000001"/>
            </w:tcBorders>
            <w:shd w:val="clear" w:color="auto" w:fill="auto"/>
          </w:tcPr>
          <w:p w:rsidR="0088099C" w:rsidRDefault="0088099C">
            <w:pPr>
              <w:spacing w:after="0" w:line="240" w:lineRule="auto"/>
              <w:jc w:val="center"/>
              <w:rPr>
                <w:rFonts w:asciiTheme="minorHAnsi" w:hAnsiTheme="minorHAnsi"/>
              </w:rPr>
            </w:pPr>
          </w:p>
        </w:tc>
        <w:tc>
          <w:tcPr>
            <w:tcW w:w="628" w:type="dxa"/>
            <w:tcBorders>
              <w:bottom w:val="single" w:sz="4" w:space="0" w:color="000001"/>
            </w:tcBorders>
            <w:shd w:val="clear" w:color="auto" w:fill="auto"/>
          </w:tcPr>
          <w:p w:rsidR="0088099C" w:rsidRDefault="009C63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w:t>
            </w:r>
          </w:p>
        </w:tc>
        <w:tc>
          <w:tcPr>
            <w:tcW w:w="555" w:type="dxa"/>
            <w:tcBorders>
              <w:bottom w:val="single" w:sz="4" w:space="0" w:color="000001"/>
            </w:tcBorders>
            <w:shd w:val="clear" w:color="auto" w:fill="auto"/>
          </w:tcPr>
          <w:p w:rsidR="0088099C" w:rsidRDefault="009C63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w:t>
            </w:r>
          </w:p>
        </w:tc>
        <w:tc>
          <w:tcPr>
            <w:tcW w:w="465" w:type="dxa"/>
            <w:tcBorders>
              <w:bottom w:val="single" w:sz="4" w:space="0" w:color="000001"/>
            </w:tcBorders>
            <w:shd w:val="clear" w:color="auto" w:fill="auto"/>
          </w:tcPr>
          <w:p w:rsidR="0088099C" w:rsidRDefault="009C63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w:t>
            </w:r>
          </w:p>
        </w:tc>
        <w:tc>
          <w:tcPr>
            <w:tcW w:w="556" w:type="dxa"/>
            <w:tcBorders>
              <w:bottom w:val="single" w:sz="4" w:space="0" w:color="000001"/>
            </w:tcBorders>
            <w:shd w:val="clear" w:color="auto" w:fill="auto"/>
          </w:tcPr>
          <w:p w:rsidR="0088099C" w:rsidRDefault="009C63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w:t>
            </w:r>
          </w:p>
        </w:tc>
        <w:tc>
          <w:tcPr>
            <w:tcW w:w="556" w:type="dxa"/>
            <w:tcBorders>
              <w:bottom w:val="single" w:sz="4" w:space="0" w:color="000001"/>
            </w:tcBorders>
            <w:shd w:val="clear" w:color="auto" w:fill="auto"/>
          </w:tcPr>
          <w:p w:rsidR="0088099C" w:rsidRDefault="009C63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000001"/>
              <w:bottom w:val="single" w:sz="4" w:space="0" w:color="000001"/>
              <w:right w:val="single" w:sz="4" w:space="0" w:color="000001"/>
            </w:tcBorders>
          </w:tcPr>
          <w:p w:rsidR="0088099C" w:rsidRDefault="009C6342">
            <w:pPr>
              <w:spacing w:after="0" w:line="240" w:lineRule="auto"/>
              <w:jc w:val="center"/>
              <w:rPr>
                <w:rFonts w:asciiTheme="minorHAnsi" w:hAnsiTheme="minorHAnsi"/>
              </w:rPr>
            </w:pPr>
            <w:r>
              <w:rPr>
                <w:rFonts w:asciiTheme="minorHAnsi" w:hAnsiTheme="minorHAnsi"/>
              </w:rPr>
              <w:t>E</w:t>
            </w:r>
          </w:p>
        </w:tc>
        <w:tc>
          <w:tcPr>
            <w:tcW w:w="628"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555"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465"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556"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556"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000001"/>
              <w:bottom w:val="single" w:sz="4" w:space="0" w:color="000001"/>
              <w:right w:val="single" w:sz="4" w:space="0" w:color="000001"/>
            </w:tcBorders>
            <w:shd w:val="clear" w:color="auto" w:fill="auto"/>
          </w:tcPr>
          <w:p w:rsidR="0088099C" w:rsidRDefault="009C6342">
            <w:pPr>
              <w:spacing w:after="0" w:line="240" w:lineRule="auto"/>
              <w:jc w:val="center"/>
              <w:rPr>
                <w:rFonts w:asciiTheme="minorHAnsi" w:hAnsiTheme="minorHAnsi"/>
              </w:rPr>
            </w:pPr>
            <w:r>
              <w:rPr>
                <w:rFonts w:asciiTheme="minorHAnsi" w:hAnsiTheme="minorHAnsi"/>
              </w:rPr>
              <w:t>T</w:t>
            </w:r>
          </w:p>
        </w:tc>
        <w:tc>
          <w:tcPr>
            <w:tcW w:w="628"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555"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465"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556"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556"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0</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000001"/>
              <w:bottom w:val="single" w:sz="4" w:space="0" w:color="000001"/>
              <w:right w:val="single" w:sz="4" w:space="0" w:color="000001"/>
            </w:tcBorders>
          </w:tcPr>
          <w:p w:rsidR="0088099C" w:rsidRDefault="009C6342">
            <w:pPr>
              <w:spacing w:after="0" w:line="240" w:lineRule="auto"/>
              <w:jc w:val="center"/>
              <w:rPr>
                <w:rFonts w:asciiTheme="minorHAnsi" w:hAnsiTheme="minorHAnsi"/>
              </w:rPr>
            </w:pPr>
            <w:r>
              <w:rPr>
                <w:rFonts w:asciiTheme="minorHAnsi" w:hAnsiTheme="minorHAnsi"/>
              </w:rPr>
              <w:t>M</w:t>
            </w:r>
          </w:p>
        </w:tc>
        <w:tc>
          <w:tcPr>
            <w:tcW w:w="628"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555"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465"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556"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556"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r>
      <w:tr w:rsidR="0088099C" w:rsidTr="0088099C">
        <w:trPr>
          <w:trHeight w:val="256"/>
        </w:trPr>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000001"/>
              <w:bottom w:val="single" w:sz="4" w:space="0" w:color="000001"/>
              <w:right w:val="single" w:sz="4" w:space="0" w:color="000001"/>
            </w:tcBorders>
            <w:shd w:val="clear" w:color="auto" w:fill="auto"/>
          </w:tcPr>
          <w:p w:rsidR="0088099C" w:rsidRDefault="009C6342">
            <w:pPr>
              <w:spacing w:after="0" w:line="240" w:lineRule="auto"/>
              <w:jc w:val="center"/>
              <w:rPr>
                <w:rFonts w:asciiTheme="minorHAnsi" w:hAnsiTheme="minorHAnsi"/>
              </w:rPr>
            </w:pPr>
            <w:r>
              <w:rPr>
                <w:rFonts w:asciiTheme="minorHAnsi" w:hAnsiTheme="minorHAnsi"/>
              </w:rPr>
              <w:t>D</w:t>
            </w:r>
          </w:p>
        </w:tc>
        <w:tc>
          <w:tcPr>
            <w:tcW w:w="628"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0</w:t>
            </w:r>
          </w:p>
        </w:tc>
        <w:tc>
          <w:tcPr>
            <w:tcW w:w="555"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465"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556"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c>
          <w:tcPr>
            <w:tcW w:w="556" w:type="dxa"/>
            <w:tcBorders>
              <w:top w:val="single" w:sz="4" w:space="0" w:color="000001"/>
              <w:bottom w:val="single" w:sz="4" w:space="0" w:color="000001"/>
            </w:tcBorders>
            <w:shd w:val="clear" w:color="auto" w:fill="auto"/>
          </w:tcPr>
          <w:p w:rsidR="0088099C" w:rsidRDefault="009C63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r>
      <w:tr w:rsidR="0088099C" w:rsidTr="0088099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28" w:type="dxa"/>
            <w:tcBorders>
              <w:top w:val="single" w:sz="4" w:space="0" w:color="000001"/>
              <w:bottom w:val="single" w:sz="4" w:space="0" w:color="000001"/>
              <w:right w:val="single" w:sz="4" w:space="0" w:color="000001"/>
            </w:tcBorders>
          </w:tcPr>
          <w:p w:rsidR="0088099C" w:rsidRDefault="009C6342">
            <w:pPr>
              <w:spacing w:after="0" w:line="240" w:lineRule="auto"/>
              <w:jc w:val="center"/>
              <w:rPr>
                <w:rFonts w:asciiTheme="minorHAnsi" w:hAnsiTheme="minorHAnsi"/>
              </w:rPr>
            </w:pPr>
            <w:r>
              <w:rPr>
                <w:rFonts w:asciiTheme="minorHAnsi" w:hAnsiTheme="minorHAnsi"/>
              </w:rPr>
              <w:t>C</w:t>
            </w:r>
          </w:p>
        </w:tc>
        <w:tc>
          <w:tcPr>
            <w:tcW w:w="628"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555"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465"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556"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c>
          <w:tcPr>
            <w:tcW w:w="556" w:type="dxa"/>
            <w:tcBorders>
              <w:top w:val="single" w:sz="4" w:space="0" w:color="000001"/>
              <w:bottom w:val="single" w:sz="4" w:space="0" w:color="000001"/>
            </w:tcBorders>
          </w:tcPr>
          <w:p w:rsidR="0088099C" w:rsidRDefault="009C63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p>
        </w:tc>
      </w:tr>
    </w:tbl>
    <w:p w:rsidR="0088099C" w:rsidRDefault="0088099C">
      <w:pPr>
        <w:spacing w:after="0" w:line="240" w:lineRule="auto"/>
      </w:pPr>
    </w:p>
    <w:sectPr w:rsidR="0088099C">
      <w:footerReference w:type="default" r:id="rId10"/>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35" w:rsidRDefault="006E3A35">
      <w:pPr>
        <w:spacing w:after="0" w:line="240" w:lineRule="auto"/>
      </w:pPr>
      <w:r>
        <w:separator/>
      </w:r>
    </w:p>
  </w:endnote>
  <w:endnote w:type="continuationSeparator" w:id="0">
    <w:p w:rsidR="006E3A35" w:rsidRDefault="006E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1">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855231"/>
      <w:docPartObj>
        <w:docPartGallery w:val="Page Numbers (Bottom of Page)"/>
        <w:docPartUnique/>
      </w:docPartObj>
    </w:sdtPr>
    <w:sdtEndPr/>
    <w:sdtContent>
      <w:p w:rsidR="0088099C" w:rsidRDefault="009C6342">
        <w:pPr>
          <w:pStyle w:val="Fuzeile"/>
          <w:jc w:val="right"/>
        </w:pPr>
        <w:r>
          <w:fldChar w:fldCharType="begin"/>
        </w:r>
        <w:r>
          <w:instrText>PAGE</w:instrText>
        </w:r>
        <w:r>
          <w:fldChar w:fldCharType="separate"/>
        </w:r>
        <w:r w:rsidR="00ED7DA5">
          <w:rPr>
            <w:noProof/>
          </w:rPr>
          <w:t>2</w:t>
        </w:r>
        <w:r>
          <w:fldChar w:fldCharType="end"/>
        </w:r>
      </w:p>
    </w:sdtContent>
  </w:sdt>
  <w:p w:rsidR="0088099C" w:rsidRDefault="008809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35" w:rsidRDefault="006E3A35">
      <w:pPr>
        <w:spacing w:after="0" w:line="240" w:lineRule="auto"/>
      </w:pPr>
      <w:r>
        <w:separator/>
      </w:r>
    </w:p>
  </w:footnote>
  <w:footnote w:type="continuationSeparator" w:id="0">
    <w:p w:rsidR="006E3A35" w:rsidRDefault="006E3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9C"/>
    <w:rsid w:val="00015CEC"/>
    <w:rsid w:val="001A2285"/>
    <w:rsid w:val="001E6F2F"/>
    <w:rsid w:val="00437C8E"/>
    <w:rsid w:val="006E3A35"/>
    <w:rsid w:val="007832BF"/>
    <w:rsid w:val="007941E2"/>
    <w:rsid w:val="0088099C"/>
    <w:rsid w:val="008F6B16"/>
    <w:rsid w:val="00985CCA"/>
    <w:rsid w:val="009C6342"/>
    <w:rsid w:val="00A1309C"/>
    <w:rsid w:val="00D769F0"/>
    <w:rsid w:val="00DF4816"/>
    <w:rsid w:val="00ED7DA5"/>
    <w:rsid w:val="00F126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367BA-1030-4DCC-9A51-F09C19C8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1FC"/>
    <w:pPr>
      <w:spacing w:after="160" w:line="259" w:lineRule="auto"/>
    </w:pPr>
    <w:rPr>
      <w:rFonts w:ascii="Calibri" w:eastAsia="Batang" w:hAnsi="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qFormat/>
    <w:rsid w:val="007E4A91"/>
    <w:rPr>
      <w:rFonts w:eastAsia="Batang"/>
      <w:color w:val="00000A"/>
    </w:rPr>
  </w:style>
  <w:style w:type="character" w:customStyle="1" w:styleId="SprechblasentextZchn">
    <w:name w:val="Sprechblasentext Zchn"/>
    <w:basedOn w:val="Absatz-Standardschriftart"/>
    <w:link w:val="Sprechblasentext"/>
    <w:uiPriority w:val="99"/>
    <w:semiHidden/>
    <w:qFormat/>
    <w:rsid w:val="00A431B0"/>
    <w:rPr>
      <w:rFonts w:ascii="Segoe UI" w:eastAsia="Batang" w:hAnsi="Segoe UI" w:cs="Segoe UI"/>
      <w:color w:val="00000A"/>
      <w:sz w:val="18"/>
      <w:szCs w:val="18"/>
    </w:rPr>
  </w:style>
  <w:style w:type="character" w:styleId="Kommentarzeichen">
    <w:name w:val="annotation reference"/>
    <w:basedOn w:val="Absatz-Standardschriftart"/>
    <w:uiPriority w:val="99"/>
    <w:semiHidden/>
    <w:unhideWhenUsed/>
    <w:qFormat/>
    <w:rsid w:val="00C70802"/>
    <w:rPr>
      <w:sz w:val="18"/>
      <w:szCs w:val="18"/>
    </w:rPr>
  </w:style>
  <w:style w:type="character" w:customStyle="1" w:styleId="KommentartextZchn">
    <w:name w:val="Kommentartext Zchn"/>
    <w:basedOn w:val="Absatz-Standardschriftart"/>
    <w:link w:val="Kommentartext"/>
    <w:uiPriority w:val="99"/>
    <w:qFormat/>
    <w:rsid w:val="00C70802"/>
    <w:rPr>
      <w:sz w:val="24"/>
      <w:szCs w:val="24"/>
    </w:rPr>
  </w:style>
  <w:style w:type="character" w:customStyle="1" w:styleId="KommentartextZchn1">
    <w:name w:val="Kommentartext Zchn1"/>
    <w:basedOn w:val="Absatz-Standardschriftart"/>
    <w:uiPriority w:val="99"/>
    <w:semiHidden/>
    <w:qFormat/>
    <w:rsid w:val="00C70802"/>
    <w:rPr>
      <w:rFonts w:ascii="Calibri" w:eastAsia="Batang" w:hAnsi="Calibri"/>
      <w:color w:val="00000A"/>
      <w:sz w:val="20"/>
      <w:szCs w:val="20"/>
    </w:rPr>
  </w:style>
  <w:style w:type="character" w:customStyle="1" w:styleId="KommentarthemaZchn">
    <w:name w:val="Kommentarthema Zchn"/>
    <w:basedOn w:val="KommentartextZchn"/>
    <w:link w:val="Kommentarthema"/>
    <w:uiPriority w:val="99"/>
    <w:semiHidden/>
    <w:qFormat/>
    <w:rsid w:val="00400E3C"/>
    <w:rPr>
      <w:rFonts w:ascii="Calibri" w:eastAsia="Batang" w:hAnsi="Calibri"/>
      <w:b/>
      <w:bCs/>
      <w:color w:val="00000A"/>
      <w:sz w:val="20"/>
      <w:szCs w:val="20"/>
    </w:rPr>
  </w:style>
  <w:style w:type="character" w:customStyle="1" w:styleId="berschrift2Zchn">
    <w:name w:val="Überschrift 2 Zchn"/>
    <w:basedOn w:val="Absatz-Standardschriftart"/>
    <w:qFormat/>
    <w:rsid w:val="00B3789E"/>
    <w:rPr>
      <w:rFonts w:asciiTheme="majorHAnsi" w:eastAsiaTheme="majorEastAsia" w:hAnsiTheme="majorHAnsi" w:cstheme="majorBidi"/>
      <w:b/>
      <w:bCs/>
      <w:color w:val="5B9BD5" w:themeColor="accent1"/>
      <w:sz w:val="26"/>
      <w:szCs w:val="26"/>
      <w:lang w:val="en-US"/>
    </w:rPr>
  </w:style>
  <w:style w:type="character" w:customStyle="1" w:styleId="Internetverknpfung">
    <w:name w:val="Internetverknüpfung"/>
    <w:basedOn w:val="Absatz-Standardschriftart"/>
    <w:uiPriority w:val="99"/>
    <w:qFormat/>
    <w:rsid w:val="00EC380E"/>
    <w:rPr>
      <w:color w:val="0563C1" w:themeColor="hyperlink"/>
      <w:u w:val="single"/>
    </w:rPr>
  </w:style>
  <w:style w:type="character" w:styleId="BesuchterHyperlink">
    <w:name w:val="FollowedHyperlink"/>
    <w:basedOn w:val="Absatz-Standardschriftart"/>
    <w:uiPriority w:val="99"/>
    <w:unhideWhenUsed/>
    <w:qFormat/>
    <w:rsid w:val="00526E79"/>
    <w:rPr>
      <w:color w:val="954F72"/>
      <w:u w:val="single"/>
    </w:rPr>
  </w:style>
  <w:style w:type="character" w:customStyle="1" w:styleId="InternetLink">
    <w:name w:val="Internet Link"/>
    <w:qFormat/>
    <w:rsid w:val="00243A01"/>
    <w:rPr>
      <w:color w:val="000080"/>
      <w:u w:val="single"/>
      <w:lang w:val="uz-Cyrl-UZ" w:eastAsia="uz-Cyrl-UZ" w:bidi="uz-Cyrl-UZ"/>
    </w:rPr>
  </w:style>
  <w:style w:type="character" w:customStyle="1" w:styleId="VisitedInternetLink">
    <w:name w:val="Visited Internet Link"/>
    <w:qFormat/>
    <w:rPr>
      <w:color w:val="800000"/>
      <w:u w:val="single"/>
    </w:rPr>
  </w:style>
  <w:style w:type="character" w:customStyle="1" w:styleId="KopfzeileZchn">
    <w:name w:val="Kopfzeile Zchn"/>
    <w:basedOn w:val="Absatz-Standardschriftart"/>
    <w:link w:val="Kopfzeile"/>
    <w:qFormat/>
    <w:rsid w:val="00BF21C0"/>
    <w:rPr>
      <w:rFonts w:ascii="Calibri" w:eastAsia="Batang" w:hAnsi="Calibri"/>
      <w:color w:val="00000A"/>
      <w:sz w:val="22"/>
    </w:rPr>
  </w:style>
  <w:style w:type="character" w:customStyle="1" w:styleId="FuzeileZchn">
    <w:name w:val="Fußzeile Zchn"/>
    <w:basedOn w:val="Absatz-Standardschriftart"/>
    <w:link w:val="Fuzeile"/>
    <w:uiPriority w:val="99"/>
    <w:qFormat/>
    <w:rsid w:val="00BF21C0"/>
    <w:rPr>
      <w:rFonts w:ascii="Calibri" w:eastAsia="Batang" w:hAnsi="Calibri"/>
      <w:color w:val="00000A"/>
      <w:sz w:val="22"/>
    </w:rPr>
  </w:style>
  <w:style w:type="character" w:customStyle="1" w:styleId="ListLabel1">
    <w:name w:val="ListLabel 1"/>
    <w:qFormat/>
    <w:rPr>
      <w:rFonts w:asciiTheme="minorHAnsi" w:hAnsiTheme="minorHAnsi"/>
    </w:rPr>
  </w:style>
  <w:style w:type="character" w:customStyle="1" w:styleId="ListLabel2">
    <w:name w:val="ListLabel 2"/>
    <w:qFormat/>
    <w:rPr>
      <w:rFonts w:asciiTheme="minorHAnsi" w:hAnsiTheme="minorHAnsi"/>
    </w:rPr>
  </w:style>
  <w:style w:type="character" w:customStyle="1" w:styleId="ListLabel3">
    <w:name w:val="ListLabel 3"/>
    <w:qFormat/>
    <w:rPr>
      <w:rFonts w:asciiTheme="minorHAnsi" w:hAnsiTheme="minorHAnsi"/>
    </w:rPr>
  </w:style>
  <w:style w:type="character" w:customStyle="1" w:styleId="ListLabel4">
    <w:name w:val="ListLabel 4"/>
    <w:qFormat/>
    <w:rPr>
      <w:rFonts w:asciiTheme="minorHAnsi" w:hAnsiTheme="minorHAnsi"/>
    </w:rPr>
  </w:style>
  <w:style w:type="character" w:customStyle="1" w:styleId="ListLabel5">
    <w:name w:val="ListLabel 5"/>
    <w:qFormat/>
    <w:rPr>
      <w:rFonts w:asciiTheme="minorHAnsi" w:hAnsiTheme="minorHAnsi"/>
    </w:rPr>
  </w:style>
  <w:style w:type="character" w:customStyle="1" w:styleId="ListLabel6">
    <w:name w:val="ListLabel 6"/>
    <w:qFormat/>
    <w:rPr>
      <w:rFonts w:asciiTheme="minorHAnsi" w:hAnsiTheme="minorHAnsi"/>
    </w:rPr>
  </w:style>
  <w:style w:type="paragraph" w:customStyle="1" w:styleId="Heading">
    <w:name w:val="Heading"/>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link w:val="TextkrperZchn"/>
    <w:rsid w:val="007E4A91"/>
    <w:pPr>
      <w:spacing w:after="140" w:line="288" w:lineRule="auto"/>
    </w:pPr>
  </w:style>
  <w:style w:type="paragraph" w:styleId="Liste">
    <w:name w:val="List"/>
    <w:basedOn w:val="Textkrper"/>
    <w:rsid w:val="00EA45A9"/>
    <w:rPr>
      <w:rFonts w:cs="FreeSans"/>
    </w:rPr>
  </w:style>
  <w:style w:type="paragraph" w:styleId="Beschriftung">
    <w:name w:val="caption"/>
    <w:basedOn w:val="Standard"/>
    <w:qFormat/>
    <w:rsid w:val="00EA45A9"/>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customStyle="1" w:styleId="berschrift21">
    <w:name w:val="Überschrift 21"/>
    <w:basedOn w:val="Standard"/>
    <w:qFormat/>
    <w:rsid w:val="00B3789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customStyle="1" w:styleId="berschrift">
    <w:name w:val="Überschrift"/>
    <w:basedOn w:val="Standard"/>
    <w:qFormat/>
    <w:rsid w:val="00EA45A9"/>
    <w:pPr>
      <w:keepNext/>
      <w:spacing w:before="240" w:after="120"/>
    </w:pPr>
    <w:rPr>
      <w:rFonts w:ascii="Liberation Sans" w:eastAsia="Noto Sans CJK SC Regular" w:hAnsi="Liberation Sans" w:cs="FreeSans"/>
      <w:sz w:val="28"/>
      <w:szCs w:val="28"/>
    </w:rPr>
  </w:style>
  <w:style w:type="paragraph" w:customStyle="1" w:styleId="Beschriftung1">
    <w:name w:val="Beschriftung1"/>
    <w:basedOn w:val="Standard"/>
    <w:qFormat/>
    <w:rsid w:val="00243A01"/>
    <w:pPr>
      <w:suppressLineNumbers/>
      <w:spacing w:before="120" w:after="120"/>
    </w:pPr>
    <w:rPr>
      <w:rFonts w:cs="FreeSans"/>
      <w:i/>
      <w:iCs/>
      <w:sz w:val="24"/>
      <w:szCs w:val="24"/>
    </w:rPr>
  </w:style>
  <w:style w:type="paragraph" w:customStyle="1" w:styleId="Verzeichnis">
    <w:name w:val="Verzeichnis"/>
    <w:basedOn w:val="Standard"/>
    <w:qFormat/>
    <w:rsid w:val="00EA45A9"/>
    <w:pPr>
      <w:suppressLineNumbers/>
    </w:pPr>
    <w:rPr>
      <w:rFonts w:cs="FreeSans"/>
    </w:rPr>
  </w:style>
  <w:style w:type="paragraph" w:customStyle="1" w:styleId="TabellenInhalt">
    <w:name w:val="Tabellen Inhalt"/>
    <w:basedOn w:val="Standard"/>
    <w:qFormat/>
    <w:rsid w:val="00EA45A9"/>
  </w:style>
  <w:style w:type="paragraph" w:customStyle="1" w:styleId="Tabellenberschrift">
    <w:name w:val="Tabellen Überschrift"/>
    <w:basedOn w:val="TabellenInhalt"/>
    <w:qFormat/>
    <w:rsid w:val="00EA45A9"/>
  </w:style>
  <w:style w:type="paragraph" w:styleId="Sprechblasentext">
    <w:name w:val="Balloon Text"/>
    <w:basedOn w:val="Standard"/>
    <w:link w:val="SprechblasentextZchn"/>
    <w:uiPriority w:val="99"/>
    <w:semiHidden/>
    <w:unhideWhenUsed/>
    <w:qFormat/>
    <w:rsid w:val="00A431B0"/>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unhideWhenUsed/>
    <w:qFormat/>
    <w:rsid w:val="00C70802"/>
    <w:pPr>
      <w:spacing w:line="240" w:lineRule="auto"/>
    </w:pPr>
    <w:rPr>
      <w:rFonts w:asciiTheme="minorHAnsi" w:eastAsiaTheme="minorHAnsi" w:hAnsiTheme="minorHAnsi"/>
      <w:sz w:val="24"/>
      <w:szCs w:val="24"/>
    </w:rPr>
  </w:style>
  <w:style w:type="paragraph" w:styleId="Listenabsatz">
    <w:name w:val="List Paragraph"/>
    <w:basedOn w:val="Standard"/>
    <w:uiPriority w:val="34"/>
    <w:qFormat/>
    <w:rsid w:val="00D563F4"/>
    <w:pPr>
      <w:ind w:left="720"/>
      <w:contextualSpacing/>
    </w:pPr>
  </w:style>
  <w:style w:type="paragraph" w:styleId="Kommentarthema">
    <w:name w:val="annotation subject"/>
    <w:basedOn w:val="Kommentartext"/>
    <w:link w:val="KommentarthemaZchn"/>
    <w:uiPriority w:val="99"/>
    <w:semiHidden/>
    <w:unhideWhenUsed/>
    <w:qFormat/>
    <w:rsid w:val="00400E3C"/>
    <w:rPr>
      <w:rFonts w:ascii="Calibri" w:eastAsia="Batang" w:hAnsi="Calibri"/>
      <w:b/>
      <w:bCs/>
      <w:sz w:val="20"/>
      <w:szCs w:val="20"/>
    </w:rPr>
  </w:style>
  <w:style w:type="paragraph" w:customStyle="1" w:styleId="VorformatierterText">
    <w:name w:val="Vorformatierter Text"/>
    <w:basedOn w:val="Standard"/>
    <w:qFormat/>
    <w:rsid w:val="00EC380E"/>
  </w:style>
  <w:style w:type="paragraph" w:customStyle="1" w:styleId="font0">
    <w:name w:val="font0"/>
    <w:basedOn w:val="Standard"/>
    <w:qFormat/>
    <w:rsid w:val="00526E79"/>
    <w:pPr>
      <w:spacing w:beforeAutospacing="1" w:afterAutospacing="1" w:line="240" w:lineRule="auto"/>
    </w:pPr>
    <w:rPr>
      <w:rFonts w:ascii="Liberation Sans1" w:eastAsia="Times New Roman" w:hAnsi="Liberation Sans1" w:cs="Times New Roman"/>
      <w:color w:val="000000"/>
      <w:lang w:eastAsia="en-GB"/>
    </w:rPr>
  </w:style>
  <w:style w:type="paragraph" w:customStyle="1" w:styleId="xl83">
    <w:name w:val="xl83"/>
    <w:basedOn w:val="Standard"/>
    <w:qFormat/>
    <w:rsid w:val="00526E79"/>
    <w:pPr>
      <w:spacing w:beforeAutospacing="1" w:afterAutospacing="1" w:line="240" w:lineRule="auto"/>
    </w:pPr>
    <w:rPr>
      <w:rFonts w:ascii="Times New Roman" w:eastAsia="Times New Roman" w:hAnsi="Times New Roman" w:cs="Times New Roman"/>
      <w:b/>
      <w:bCs/>
      <w:sz w:val="24"/>
      <w:szCs w:val="24"/>
      <w:lang w:eastAsia="en-GB"/>
    </w:rPr>
  </w:style>
  <w:style w:type="paragraph" w:customStyle="1" w:styleId="xl84">
    <w:name w:val="xl84"/>
    <w:basedOn w:val="Standard"/>
    <w:qFormat/>
    <w:rsid w:val="00526E79"/>
    <w:pPr>
      <w:spacing w:beforeAutospacing="1" w:afterAutospacing="1" w:line="240" w:lineRule="auto"/>
    </w:pPr>
    <w:rPr>
      <w:rFonts w:ascii="Times New Roman" w:eastAsia="Times New Roman" w:hAnsi="Times New Roman" w:cs="Times New Roman"/>
      <w:b/>
      <w:bCs/>
      <w:sz w:val="24"/>
      <w:szCs w:val="24"/>
      <w:u w:val="single"/>
      <w:lang w:eastAsia="en-GB"/>
    </w:rPr>
  </w:style>
  <w:style w:type="paragraph" w:customStyle="1" w:styleId="xl85">
    <w:name w:val="xl85"/>
    <w:basedOn w:val="Standard"/>
    <w:qFormat/>
    <w:rsid w:val="00526E79"/>
    <w:pPr>
      <w:spacing w:beforeAutospacing="1" w:afterAutospacing="1" w:line="240" w:lineRule="auto"/>
    </w:pPr>
    <w:rPr>
      <w:rFonts w:ascii="Times New Roman" w:eastAsia="Times New Roman" w:hAnsi="Times New Roman" w:cs="Times New Roman"/>
      <w:b/>
      <w:bCs/>
      <w:i/>
      <w:iCs/>
      <w:sz w:val="24"/>
      <w:szCs w:val="24"/>
      <w:lang w:eastAsia="en-GB"/>
    </w:rPr>
  </w:style>
  <w:style w:type="paragraph" w:customStyle="1" w:styleId="xl86">
    <w:name w:val="xl86"/>
    <w:basedOn w:val="Standard"/>
    <w:qFormat/>
    <w:rsid w:val="00526E79"/>
    <w:pPr>
      <w:spacing w:beforeAutospacing="1" w:afterAutospacing="1" w:line="240" w:lineRule="auto"/>
    </w:pPr>
    <w:rPr>
      <w:rFonts w:ascii="Times New Roman" w:eastAsia="Times New Roman" w:hAnsi="Times New Roman" w:cs="Times New Roman"/>
      <w:color w:val="FF0000"/>
      <w:sz w:val="24"/>
      <w:szCs w:val="24"/>
      <w:lang w:eastAsia="en-GB"/>
    </w:rPr>
  </w:style>
  <w:style w:type="paragraph" w:customStyle="1" w:styleId="xl87">
    <w:name w:val="xl87"/>
    <w:basedOn w:val="Standard"/>
    <w:qFormat/>
    <w:rsid w:val="00526E79"/>
    <w:pPr>
      <w:spacing w:beforeAutospacing="1" w:afterAutospacing="1" w:line="240" w:lineRule="auto"/>
    </w:pPr>
    <w:rPr>
      <w:rFonts w:ascii="Liberation Sans" w:eastAsia="Times New Roman" w:hAnsi="Liberation Sans" w:cs="Times New Roman"/>
      <w:sz w:val="24"/>
      <w:szCs w:val="24"/>
      <w:lang w:eastAsia="en-GB"/>
    </w:rPr>
  </w:style>
  <w:style w:type="paragraph" w:customStyle="1" w:styleId="xl88">
    <w:name w:val="xl88"/>
    <w:basedOn w:val="Standard"/>
    <w:qFormat/>
    <w:rsid w:val="00526E79"/>
    <w:pPr>
      <w:spacing w:beforeAutospacing="1"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Tabelleninhalt0">
    <w:name w:val="Tabelleninhalt"/>
    <w:basedOn w:val="Standard"/>
    <w:qFormat/>
  </w:style>
  <w:style w:type="paragraph" w:customStyle="1" w:styleId="Tabellenberschrift0">
    <w:name w:val="Tabellenüberschrift"/>
    <w:basedOn w:val="Tabelleninhalt0"/>
    <w:qFormat/>
  </w:style>
  <w:style w:type="paragraph" w:customStyle="1" w:styleId="TableContents">
    <w:name w:val="Table Contents"/>
    <w:basedOn w:val="Standard"/>
    <w:qFormat/>
  </w:style>
  <w:style w:type="paragraph" w:customStyle="1" w:styleId="TableHeading">
    <w:name w:val="Table Heading"/>
    <w:basedOn w:val="TableContents"/>
    <w:qFormat/>
  </w:style>
  <w:style w:type="paragraph" w:styleId="Kopfzeile">
    <w:name w:val="header"/>
    <w:basedOn w:val="Standard"/>
    <w:link w:val="KopfzeileZchn"/>
    <w:unhideWhenUsed/>
    <w:rsid w:val="00BF21C0"/>
    <w:pPr>
      <w:tabs>
        <w:tab w:val="center" w:pos="4536"/>
        <w:tab w:val="right" w:pos="9072"/>
      </w:tabs>
      <w:spacing w:after="0" w:line="240" w:lineRule="auto"/>
    </w:pPr>
  </w:style>
  <w:style w:type="paragraph" w:styleId="Fuzeile">
    <w:name w:val="footer"/>
    <w:basedOn w:val="Standard"/>
    <w:link w:val="FuzeileZchn"/>
    <w:uiPriority w:val="99"/>
    <w:unhideWhenUsed/>
    <w:rsid w:val="00BF21C0"/>
    <w:pPr>
      <w:tabs>
        <w:tab w:val="center" w:pos="4536"/>
        <w:tab w:val="right" w:pos="9072"/>
      </w:tabs>
      <w:spacing w:after="0" w:line="240" w:lineRule="auto"/>
    </w:pPr>
  </w:style>
  <w:style w:type="table" w:customStyle="1" w:styleId="EinfacheTabelle31">
    <w:name w:val="Einfache Tabelle 31"/>
    <w:basedOn w:val="NormaleTabelle"/>
    <w:uiPriority w:val="43"/>
    <w:rsid w:val="00CB25F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21">
    <w:name w:val="Einfache Tabelle 21"/>
    <w:basedOn w:val="NormaleTabelle"/>
    <w:uiPriority w:val="42"/>
    <w:rsid w:val="00CB25F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lenraster1">
    <w:name w:val="Tabellenraster1"/>
    <w:basedOn w:val="NormaleTabelle"/>
    <w:rsid w:val="00400E3C"/>
    <w:rPr>
      <w:szCs w:val="24"/>
      <w:lang w:val="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lenraster">
    <w:name w:val="Table Grid"/>
    <w:basedOn w:val="NormaleTabelle"/>
    <w:uiPriority w:val="59"/>
    <w:rsid w:val="00400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EinfacheTabelle4">
    <w:name w:val="Plain Table 4"/>
    <w:basedOn w:val="NormaleTabelle"/>
    <w:rsid w:val="00EE78C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lo.wikidot.com/biogeobears" TargetMode="External"/><Relationship Id="rId3" Type="http://schemas.openxmlformats.org/officeDocument/2006/relationships/settings" Target="settings.xml"/><Relationship Id="rId7" Type="http://schemas.openxmlformats.org/officeDocument/2006/relationships/hyperlink" Target="http://phylo.wikidot.com/biogeobe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hylo.wikidot.com/biogeographical-stochastic-mapping-example-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EBA1-F1F4-43B1-A7F3-CDB3ED73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1913</Words>
  <Characters>10905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Pirie, Michael</dc:creator>
  <dc:description/>
  <cp:lastModifiedBy>Michael Pirie</cp:lastModifiedBy>
  <cp:revision>2</cp:revision>
  <dcterms:created xsi:type="dcterms:W3CDTF">2019-09-13T11:04:00Z</dcterms:created>
  <dcterms:modified xsi:type="dcterms:W3CDTF">2019-09-13T11:04:00Z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Johannes Gutenberg-Universität Mainz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http://www.zotero.org/styles/peerj</vt:lpwstr>
  </property>
  <property fmtid="{D5CDD505-2E9C-101B-9397-08002B2CF9AE}" pid="8" name="Mendeley Document_1">
    <vt:lpwstr>True</vt:lpwstr>
  </property>
  <property fmtid="{D5CDD505-2E9C-101B-9397-08002B2CF9AE}" pid="9" name="Mendeley Recent Style Id 0_1">
    <vt:lpwstr>http://www.zotero.org/styles/biological-journal-of-the-linnean-society</vt:lpwstr>
  </property>
  <property fmtid="{D5CDD505-2E9C-101B-9397-08002B2CF9AE}" pid="10" name="Mendeley Recent Style Id 1_1">
    <vt:lpwstr>http://www.zotero.org/styles/chicago-author-date</vt:lpwstr>
  </property>
  <property fmtid="{D5CDD505-2E9C-101B-9397-08002B2CF9AE}" pid="11" name="Mendeley Recent Style Id 2_1">
    <vt:lpwstr>http://www.zotero.org/styles/frontiers-in-ecology-and-evolution</vt:lpwstr>
  </property>
  <property fmtid="{D5CDD505-2E9C-101B-9397-08002B2CF9AE}" pid="12" name="Mendeley Recent Style Id 3_1">
    <vt:lpwstr>http://www.zotero.org/styles/harvard1</vt:lpwstr>
  </property>
  <property fmtid="{D5CDD505-2E9C-101B-9397-08002B2CF9AE}" pid="13" name="Mendeley Recent Style Id 4_1">
    <vt:lpwstr>http://www.zotero.org/styles/ieee</vt:lpwstr>
  </property>
  <property fmtid="{D5CDD505-2E9C-101B-9397-08002B2CF9AE}" pid="14" name="Mendeley Recent Style Id 5_1">
    <vt:lpwstr>http://www.zotero.org/styles/modern-humanities-research-association</vt:lpwstr>
  </property>
  <property fmtid="{D5CDD505-2E9C-101B-9397-08002B2CF9AE}" pid="15" name="Mendeley Recent Style Id 6_1">
    <vt:lpwstr>http://www.zotero.org/styles/modern-language-association</vt:lpwstr>
  </property>
  <property fmtid="{D5CDD505-2E9C-101B-9397-08002B2CF9AE}" pid="16" name="Mendeley Recent Style Id 7_1">
    <vt:lpwstr>http://www.zotero.org/styles/peerj</vt:lpwstr>
  </property>
  <property fmtid="{D5CDD505-2E9C-101B-9397-08002B2CF9AE}" pid="17" name="Mendeley Recent Style Id 8_1">
    <vt:lpwstr>http://csl.mendeley.com/styles/1200041/Phytokeys</vt:lpwstr>
  </property>
  <property fmtid="{D5CDD505-2E9C-101B-9397-08002B2CF9AE}" pid="18" name="Mendeley Recent Style Id 9_1">
    <vt:lpwstr>http://www.zotero.org/styles/taxon</vt:lpwstr>
  </property>
  <property fmtid="{D5CDD505-2E9C-101B-9397-08002B2CF9AE}" pid="19" name="Mendeley Recent Style Name 0_1">
    <vt:lpwstr>Biological Journal of the Linnean Society</vt:lpwstr>
  </property>
  <property fmtid="{D5CDD505-2E9C-101B-9397-08002B2CF9AE}" pid="20" name="Mendeley Recent Style Name 1_1">
    <vt:lpwstr>Chicago Manual of Style 16th edition (author-date)</vt:lpwstr>
  </property>
  <property fmtid="{D5CDD505-2E9C-101B-9397-08002B2CF9AE}" pid="21" name="Mendeley Recent Style Name 2_1">
    <vt:lpwstr>Frontiers in Ecology and Evolution</vt:lpwstr>
  </property>
  <property fmtid="{D5CDD505-2E9C-101B-9397-08002B2CF9AE}" pid="22" name="Mendeley Recent Style Name 3_1">
    <vt:lpwstr>Harvard Reference format 1 (author-date)</vt:lpwstr>
  </property>
  <property fmtid="{D5CDD505-2E9C-101B-9397-08002B2CF9AE}" pid="23" name="Mendeley Recent Style Name 4_1">
    <vt:lpwstr>IEEE</vt:lpwstr>
  </property>
  <property fmtid="{D5CDD505-2E9C-101B-9397-08002B2CF9AE}" pid="24" name="Mendeley Recent Style Name 5_1">
    <vt:lpwstr>Modern Humanities Research Association 3rd edition (note with bibliography)</vt:lpwstr>
  </property>
  <property fmtid="{D5CDD505-2E9C-101B-9397-08002B2CF9AE}" pid="25" name="Mendeley Recent Style Name 6_1">
    <vt:lpwstr>Modern Language Association 7th edition</vt:lpwstr>
  </property>
  <property fmtid="{D5CDD505-2E9C-101B-9397-08002B2CF9AE}" pid="26" name="Mendeley Recent Style Name 7_1">
    <vt:lpwstr>PeerJ</vt:lpwstr>
  </property>
  <property fmtid="{D5CDD505-2E9C-101B-9397-08002B2CF9AE}" pid="27" name="Mendeley Recent Style Name 8_1">
    <vt:lpwstr>PhytoKeys</vt:lpwstr>
  </property>
  <property fmtid="{D5CDD505-2E9C-101B-9397-08002B2CF9AE}" pid="28" name="Mendeley Recent Style Name 9_1">
    <vt:lpwstr>Taxon</vt:lpwstr>
  </property>
  <property fmtid="{D5CDD505-2E9C-101B-9397-08002B2CF9AE}" pid="29" name="Mendeley Unique User Id_1">
    <vt:lpwstr>292effa1-0b60-312e-a47e-e6cb00c56e49</vt:lpwstr>
  </property>
  <property fmtid="{D5CDD505-2E9C-101B-9397-08002B2CF9AE}" pid="30" name="ScaleCrop">
    <vt:bool>false</vt:bool>
  </property>
  <property fmtid="{D5CDD505-2E9C-101B-9397-08002B2CF9AE}" pid="31" name="ShareDoc">
    <vt:bool>false</vt:bool>
  </property>
</Properties>
</file>