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41" w:rsidRPr="00275572" w:rsidRDefault="00642E7D" w:rsidP="00165441">
      <w:pPr>
        <w:pStyle w:val="ListParagraph"/>
        <w:spacing w:after="24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Additional</w:t>
      </w:r>
      <w:r w:rsidR="00165441" w:rsidRPr="00275572">
        <w:rPr>
          <w:rFonts w:ascii="Times New Roman" w:hAnsi="Times New Roman" w:cs="Times New Roman"/>
          <w:sz w:val="28"/>
          <w:szCs w:val="28"/>
          <w:lang w:val="en-US"/>
        </w:rPr>
        <w:t xml:space="preserve"> material</w:t>
      </w:r>
    </w:p>
    <w:p w:rsidR="00165441" w:rsidRPr="00275572" w:rsidRDefault="00165441" w:rsidP="00165441">
      <w:pPr>
        <w:pStyle w:val="ListParagraph"/>
        <w:spacing w:after="240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65441" w:rsidRDefault="00165441" w:rsidP="00165441">
      <w:pPr>
        <w:spacing w:after="240" w:line="48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Hlk11345278"/>
      <w:r w:rsidRPr="005D3FB9">
        <w:rPr>
          <w:rFonts w:ascii="Times New Roman" w:hAnsi="Times New Roman" w:cs="Times New Roman"/>
          <w:sz w:val="40"/>
          <w:szCs w:val="40"/>
          <w:lang w:val="en-US"/>
        </w:rPr>
        <w:t>Green pyomelanin-mediated synthesis of gold nanoparticles: modelling and design, physico-chemical and biological characteristics</w:t>
      </w:r>
    </w:p>
    <w:p w:rsidR="00165441" w:rsidRPr="00275572" w:rsidRDefault="00165441" w:rsidP="00165441">
      <w:pPr>
        <w:spacing w:after="24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>Imen</w:t>
      </w:r>
      <w:proofErr w:type="spellEnd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Ben </w:t>
      </w:r>
      <w:proofErr w:type="spellStart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>Tahar</w:t>
      </w:r>
      <w:r w:rsidRPr="00275572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proofErr w:type="spellEnd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Patrick </w:t>
      </w:r>
      <w:proofErr w:type="spellStart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>Fickers</w:t>
      </w:r>
      <w:r w:rsidRPr="00275572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proofErr w:type="spellEnd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>Andrzej</w:t>
      </w:r>
      <w:proofErr w:type="spellEnd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>Dziedzic</w:t>
      </w:r>
      <w:r w:rsidRPr="00275572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proofErr w:type="spellEnd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>Dariusz</w:t>
      </w:r>
      <w:proofErr w:type="spellEnd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>Płoch</w:t>
      </w:r>
      <w:r w:rsidRPr="00275572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proofErr w:type="spellEnd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>Bartosz</w:t>
      </w:r>
      <w:proofErr w:type="spellEnd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>Skóra</w:t>
      </w:r>
      <w:r w:rsidRPr="00275572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proofErr w:type="spellEnd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>Małgorzata</w:t>
      </w:r>
      <w:proofErr w:type="spellEnd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>Kus-Liśkiewicz</w:t>
      </w:r>
      <w:r w:rsidRPr="00275572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proofErr w:type="spellEnd"/>
      <w:r w:rsidRPr="00275572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,</w:t>
      </w:r>
      <w:r w:rsidRPr="00275572">
        <w:rPr>
          <w:rFonts w:ascii="Times New Roman" w:hAnsi="Times New Roman" w:cs="Times New Roman"/>
          <w:iCs/>
        </w:rPr>
        <w:t xml:space="preserve"> *</w:t>
      </w:r>
    </w:p>
    <w:bookmarkEnd w:id="0"/>
    <w:p w:rsidR="00165441" w:rsidRPr="009F4D5C" w:rsidRDefault="00165441" w:rsidP="00165441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4D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>Microbial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Processes and Interactions, TERRA Teaching and Research Centre, University of </w:t>
      </w:r>
      <w:proofErr w:type="spellStart"/>
      <w:r w:rsidRPr="009F4D5C">
        <w:rPr>
          <w:rFonts w:ascii="Times New Roman" w:hAnsi="Times New Roman" w:cs="Times New Roman"/>
          <w:sz w:val="24"/>
          <w:szCs w:val="24"/>
          <w:lang w:val="en-US"/>
        </w:rPr>
        <w:t>Liège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- Gembloux </w:t>
      </w:r>
      <w:proofErr w:type="spellStart"/>
      <w:r w:rsidRPr="009F4D5C">
        <w:rPr>
          <w:rFonts w:ascii="Times New Roman" w:hAnsi="Times New Roman" w:cs="Times New Roman"/>
          <w:sz w:val="24"/>
          <w:szCs w:val="24"/>
          <w:lang w:val="en-US"/>
        </w:rPr>
        <w:t>AgroBio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Tech, Avenue de la </w:t>
      </w:r>
      <w:proofErr w:type="spellStart"/>
      <w:r w:rsidRPr="009F4D5C">
        <w:rPr>
          <w:rFonts w:ascii="Times New Roman" w:hAnsi="Times New Roman" w:cs="Times New Roman"/>
          <w:sz w:val="24"/>
          <w:szCs w:val="24"/>
          <w:lang w:val="en-US"/>
        </w:rPr>
        <w:t>Faculté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>, 2. B-5030 Gembloux, Belgium</w:t>
      </w:r>
    </w:p>
    <w:p w:rsidR="00165441" w:rsidRPr="009F4D5C" w:rsidRDefault="00165441" w:rsidP="00165441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F4D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Institute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Physics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60E4A">
        <w:rPr>
          <w:rFonts w:ascii="Times New Roman" w:hAnsi="Times New Roman" w:cs="Times New Roman"/>
          <w:sz w:val="24"/>
          <w:szCs w:val="24"/>
          <w:lang w:val="en-US"/>
        </w:rPr>
        <w:t>College of Natural Sciences,</w:t>
      </w:r>
      <w:bookmarkStart w:id="1" w:name="_GoBack"/>
      <w:bookmarkEnd w:id="1"/>
      <w:r w:rsidR="00560E4A"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University of Rzeszow, </w:t>
      </w:r>
      <w:proofErr w:type="spellStart"/>
      <w:r w:rsidRPr="009F4D5C">
        <w:rPr>
          <w:rFonts w:ascii="Times New Roman" w:hAnsi="Times New Roman" w:cs="Times New Roman"/>
          <w:sz w:val="24"/>
          <w:szCs w:val="24"/>
          <w:lang w:val="en-US"/>
        </w:rPr>
        <w:t>Pigonia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1, 35-310 Rzeszow, Poland</w:t>
      </w:r>
    </w:p>
    <w:p w:rsidR="00FE053D" w:rsidRDefault="00FE053D" w:rsidP="00FE053D">
      <w:pPr>
        <w:spacing w:after="24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Biotechnology, Institute of Biology and Biotechnology, College of Natural Sciences, University of Rzeszow,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Pigonia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35-310 Rzeszow, Poland </w:t>
      </w:r>
    </w:p>
    <w:p w:rsidR="00165441" w:rsidRPr="00275572" w:rsidRDefault="00165441" w:rsidP="00165441">
      <w:pPr>
        <w:spacing w:after="24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75572">
        <w:rPr>
          <w:rFonts w:ascii="Times New Roman" w:hAnsi="Times New Roman" w:cs="Times New Roman"/>
          <w:sz w:val="24"/>
          <w:szCs w:val="24"/>
          <w:lang w:val="en-US"/>
        </w:rPr>
        <w:t>*Corresponding author</w:t>
      </w:r>
      <w:r w:rsidRPr="00275572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: </w:t>
      </w:r>
      <w:proofErr w:type="spellStart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>Małgorzata</w:t>
      </w:r>
      <w:proofErr w:type="spellEnd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>Kus-Liśkiewicz</w:t>
      </w:r>
      <w:proofErr w:type="spellEnd"/>
      <w:r w:rsidRPr="00275572">
        <w:rPr>
          <w:rFonts w:ascii="Times New Roman" w:hAnsi="Times New Roman" w:cs="Times New Roman"/>
          <w:bCs/>
          <w:sz w:val="24"/>
          <w:szCs w:val="24"/>
          <w:lang w:val="en-US"/>
        </w:rPr>
        <w:t>, mkus@ur.edu.pl</w:t>
      </w:r>
    </w:p>
    <w:p w:rsidR="00165441" w:rsidRPr="00275572" w:rsidRDefault="00165441" w:rsidP="00165441">
      <w:pPr>
        <w:pStyle w:val="Caption"/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441" w:rsidRPr="00275572" w:rsidRDefault="00165441" w:rsidP="00165441">
      <w:pPr>
        <w:rPr>
          <w:rFonts w:ascii="Times New Roman" w:hAnsi="Times New Roman" w:cs="Times New Roman"/>
        </w:rPr>
      </w:pPr>
    </w:p>
    <w:p w:rsidR="00165441" w:rsidRPr="00275572" w:rsidRDefault="00165441" w:rsidP="00165441">
      <w:pPr>
        <w:rPr>
          <w:rFonts w:ascii="Times New Roman" w:hAnsi="Times New Roman" w:cs="Times New Roman"/>
        </w:rPr>
      </w:pPr>
    </w:p>
    <w:p w:rsidR="00165441" w:rsidRPr="00275572" w:rsidRDefault="00165441" w:rsidP="00165441">
      <w:pPr>
        <w:rPr>
          <w:rFonts w:ascii="Times New Roman" w:hAnsi="Times New Roman" w:cs="Times New Roman"/>
        </w:rPr>
      </w:pPr>
    </w:p>
    <w:p w:rsidR="00165441" w:rsidRDefault="00165441" w:rsidP="00165441">
      <w:pPr>
        <w:pStyle w:val="Caption"/>
        <w:keepNext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165441" w:rsidRPr="002F25ED" w:rsidRDefault="00165441" w:rsidP="00165441">
      <w:pPr>
        <w:pStyle w:val="Caption"/>
        <w:keepNext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F25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Table S</w:t>
      </w:r>
      <w:r w:rsidR="0017305E" w:rsidRPr="002F25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begin"/>
      </w:r>
      <w:r w:rsidRPr="002F25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instrText xml:space="preserve"> SEQ Tableau \* ARABIC </w:instrText>
      </w:r>
      <w:r w:rsidR="0017305E" w:rsidRPr="002F25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separate"/>
      </w:r>
      <w:r w:rsidRPr="002F25ED">
        <w:rPr>
          <w:rFonts w:ascii="Times New Roman" w:hAnsi="Times New Roman" w:cs="Times New Roman"/>
          <w:b w:val="0"/>
          <w:bCs w:val="0"/>
          <w:noProof/>
          <w:color w:val="000000" w:themeColor="text1"/>
          <w:sz w:val="24"/>
          <w:szCs w:val="24"/>
        </w:rPr>
        <w:t>1</w:t>
      </w:r>
      <w:r w:rsidR="0017305E" w:rsidRPr="002F25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end"/>
      </w:r>
      <w:r w:rsidRPr="002F25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</w:t>
      </w:r>
      <w:proofErr w:type="spellStart"/>
      <w:r w:rsidRPr="002F25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Experimental</w:t>
      </w:r>
      <w:proofErr w:type="spellEnd"/>
      <w:r w:rsidRPr="002F25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D50 values </w:t>
      </w:r>
      <w:proofErr w:type="spellStart"/>
      <w:r w:rsidRPr="002F25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under</w:t>
      </w:r>
      <w:proofErr w:type="spellEnd"/>
      <w:r w:rsidRPr="002F25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2F25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different</w:t>
      </w:r>
      <w:proofErr w:type="spellEnd"/>
      <w:r w:rsidRPr="002F25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physico-</w:t>
      </w:r>
      <w:proofErr w:type="spellStart"/>
      <w:r w:rsidRPr="002F25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chemical</w:t>
      </w:r>
      <w:proofErr w:type="spellEnd"/>
      <w:r w:rsidRPr="002F25E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conditions</w:t>
      </w:r>
    </w:p>
    <w:tbl>
      <w:tblPr>
        <w:tblStyle w:val="PlainTable2"/>
        <w:tblW w:w="5000" w:type="pct"/>
        <w:tblLook w:val="04A0"/>
      </w:tblPr>
      <w:tblGrid>
        <w:gridCol w:w="1322"/>
        <w:gridCol w:w="1881"/>
        <w:gridCol w:w="1370"/>
        <w:gridCol w:w="2071"/>
        <w:gridCol w:w="1322"/>
        <w:gridCol w:w="1322"/>
      </w:tblGrid>
      <w:tr w:rsidR="00165441" w:rsidRPr="00275572" w:rsidTr="00724743">
        <w:trPr>
          <w:cnfStyle w:val="100000000000"/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Run</w:t>
            </w:r>
            <w:proofErr w:type="spellEnd"/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left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Melanin</w:t>
            </w:r>
            <w:proofErr w:type="spellEnd"/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(µg/ml)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left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Gold (mM)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left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Temperature</w:t>
            </w:r>
            <w:proofErr w:type="spellEnd"/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(°C)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left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left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D50 (nm)</w:t>
            </w:r>
          </w:p>
        </w:tc>
      </w:tr>
      <w:tr w:rsidR="00165441" w:rsidRPr="00275572" w:rsidTr="00724743">
        <w:trPr>
          <w:cnfStyle w:val="000000100000"/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</w:t>
            </w:r>
          </w:p>
        </w:tc>
      </w:tr>
      <w:tr w:rsidR="00165441" w:rsidRPr="00275572" w:rsidTr="00724743">
        <w:trPr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98</w:t>
            </w:r>
          </w:p>
        </w:tc>
      </w:tr>
      <w:tr w:rsidR="00165441" w:rsidRPr="00275572" w:rsidTr="00724743">
        <w:trPr>
          <w:cnfStyle w:val="000000100000"/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33</w:t>
            </w:r>
          </w:p>
        </w:tc>
      </w:tr>
      <w:tr w:rsidR="00165441" w:rsidRPr="00275572" w:rsidTr="00724743">
        <w:trPr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51</w:t>
            </w:r>
          </w:p>
        </w:tc>
      </w:tr>
      <w:tr w:rsidR="00165441" w:rsidRPr="00275572" w:rsidTr="00724743">
        <w:trPr>
          <w:cnfStyle w:val="000000100000"/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79</w:t>
            </w:r>
          </w:p>
        </w:tc>
      </w:tr>
      <w:tr w:rsidR="00165441" w:rsidRPr="00275572" w:rsidTr="00724743">
        <w:trPr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113</w:t>
            </w:r>
          </w:p>
        </w:tc>
      </w:tr>
      <w:tr w:rsidR="00165441" w:rsidRPr="00275572" w:rsidTr="00724743">
        <w:trPr>
          <w:cnfStyle w:val="000000100000"/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111</w:t>
            </w:r>
          </w:p>
        </w:tc>
      </w:tr>
      <w:tr w:rsidR="00165441" w:rsidRPr="00275572" w:rsidTr="00724743">
        <w:trPr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96</w:t>
            </w:r>
          </w:p>
        </w:tc>
      </w:tr>
      <w:tr w:rsidR="00165441" w:rsidRPr="00275572" w:rsidTr="00724743">
        <w:trPr>
          <w:cnfStyle w:val="000000100000"/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84</w:t>
            </w:r>
          </w:p>
        </w:tc>
      </w:tr>
      <w:tr w:rsidR="00165441" w:rsidRPr="00275572" w:rsidTr="00724743">
        <w:trPr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66</w:t>
            </w:r>
          </w:p>
        </w:tc>
      </w:tr>
      <w:tr w:rsidR="00165441" w:rsidRPr="00275572" w:rsidTr="00724743">
        <w:trPr>
          <w:cnfStyle w:val="000000100000"/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28</w:t>
            </w:r>
          </w:p>
        </w:tc>
      </w:tr>
      <w:tr w:rsidR="00165441" w:rsidRPr="00275572" w:rsidTr="00724743">
        <w:trPr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47</w:t>
            </w:r>
          </w:p>
        </w:tc>
      </w:tr>
      <w:tr w:rsidR="00165441" w:rsidRPr="00275572" w:rsidTr="00724743">
        <w:trPr>
          <w:cnfStyle w:val="000000100000"/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83</w:t>
            </w:r>
          </w:p>
        </w:tc>
      </w:tr>
      <w:tr w:rsidR="00165441" w:rsidRPr="00275572" w:rsidTr="00724743">
        <w:trPr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37</w:t>
            </w:r>
          </w:p>
        </w:tc>
      </w:tr>
      <w:tr w:rsidR="00165441" w:rsidRPr="00275572" w:rsidTr="00724743">
        <w:trPr>
          <w:cnfStyle w:val="000000100000"/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82</w:t>
            </w:r>
          </w:p>
        </w:tc>
      </w:tr>
      <w:tr w:rsidR="00165441" w:rsidRPr="00275572" w:rsidTr="00724743">
        <w:trPr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36</w:t>
            </w:r>
          </w:p>
        </w:tc>
      </w:tr>
      <w:tr w:rsidR="00165441" w:rsidRPr="00275572" w:rsidTr="00724743">
        <w:trPr>
          <w:cnfStyle w:val="000000100000"/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</w:t>
            </w:r>
          </w:p>
        </w:tc>
      </w:tr>
      <w:tr w:rsidR="00165441" w:rsidRPr="00275572" w:rsidTr="00724743">
        <w:trPr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40</w:t>
            </w:r>
          </w:p>
        </w:tc>
      </w:tr>
      <w:tr w:rsidR="00165441" w:rsidRPr="00275572" w:rsidTr="00724743">
        <w:trPr>
          <w:cnfStyle w:val="000000100000"/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78</w:t>
            </w:r>
          </w:p>
        </w:tc>
      </w:tr>
      <w:tr w:rsidR="00165441" w:rsidRPr="00275572" w:rsidTr="00724743">
        <w:trPr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67</w:t>
            </w:r>
          </w:p>
        </w:tc>
      </w:tr>
      <w:tr w:rsidR="00165441" w:rsidRPr="00275572" w:rsidTr="00724743">
        <w:trPr>
          <w:cnfStyle w:val="000000100000"/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64</w:t>
            </w:r>
          </w:p>
        </w:tc>
      </w:tr>
      <w:tr w:rsidR="00165441" w:rsidRPr="00275572" w:rsidTr="00724743">
        <w:trPr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</w:t>
            </w:r>
          </w:p>
        </w:tc>
      </w:tr>
      <w:tr w:rsidR="00165441" w:rsidRPr="00275572" w:rsidTr="00724743">
        <w:trPr>
          <w:cnfStyle w:val="000000100000"/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93</w:t>
            </w:r>
          </w:p>
        </w:tc>
      </w:tr>
      <w:tr w:rsidR="00165441" w:rsidRPr="00275572" w:rsidTr="00724743">
        <w:trPr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24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105</w:t>
            </w:r>
          </w:p>
        </w:tc>
      </w:tr>
      <w:tr w:rsidR="00165441" w:rsidRPr="00275572" w:rsidTr="00724743">
        <w:trPr>
          <w:cnfStyle w:val="000000100000"/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62</w:t>
            </w:r>
          </w:p>
        </w:tc>
      </w:tr>
      <w:tr w:rsidR="00165441" w:rsidRPr="00275572" w:rsidTr="00724743">
        <w:trPr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58</w:t>
            </w:r>
          </w:p>
        </w:tc>
      </w:tr>
      <w:tr w:rsidR="00165441" w:rsidRPr="00275572" w:rsidTr="00724743">
        <w:trPr>
          <w:cnfStyle w:val="000000100000"/>
          <w:trHeight w:val="300"/>
        </w:trPr>
        <w:tc>
          <w:tcPr>
            <w:cnfStyle w:val="001000000000"/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014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2.5</w:t>
            </w:r>
          </w:p>
        </w:tc>
        <w:tc>
          <w:tcPr>
            <w:tcW w:w="1122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716" w:type="pct"/>
            <w:noWrap/>
            <w:hideMark/>
          </w:tcPr>
          <w:p w:rsidR="00165441" w:rsidRPr="00275572" w:rsidRDefault="00165441" w:rsidP="00724743">
            <w:pPr>
              <w:spacing w:before="0" w:beforeAutospacing="0" w:afterAutospacing="0"/>
              <w:ind w:left="0" w:firstLine="0"/>
              <w:jc w:val="right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79</w:t>
            </w:r>
          </w:p>
        </w:tc>
      </w:tr>
    </w:tbl>
    <w:p w:rsidR="00165441" w:rsidRDefault="00165441" w:rsidP="00165441">
      <w:pPr>
        <w:pStyle w:val="ListParagraph"/>
        <w:spacing w:before="0" w:beforeAutospacing="0" w:after="240" w:line="480" w:lineRule="auto"/>
        <w:ind w:left="0"/>
        <w:contextualSpacing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165441" w:rsidRPr="009F4D5C" w:rsidRDefault="00165441" w:rsidP="00165441">
      <w:pPr>
        <w:pStyle w:val="ListParagraph"/>
        <w:spacing w:before="0" w:beforeAutospacing="0" w:after="240" w:line="480" w:lineRule="auto"/>
        <w:ind w:left="0"/>
        <w:contextualSpacing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F4D5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Mathematical model</w:t>
      </w:r>
    </w:p>
    <w:p w:rsidR="00165441" w:rsidRPr="009F4D5C" w:rsidRDefault="0017305E" w:rsidP="00165441">
      <w:pPr>
        <w:pStyle w:val="ListParagraph"/>
        <w:spacing w:before="0" w:beforeAutospacing="0" w:after="24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7305E">
        <w:rPr>
          <w:rFonts w:ascii="Times New Roman" w:hAnsi="Times New Roman" w:cs="Times New Roman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1026" type="#_x0000_t202" style="position:absolute;left:0;text-align:left;margin-left:-120.85pt;margin-top:-320.5pt;width:5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"/>
        </w:pict>
      </w:r>
      <w:r w:rsidRPr="0017305E">
        <w:rPr>
          <w:rFonts w:ascii="Times New Roman" w:hAnsi="Times New Roman" w:cs="Times New Roman"/>
          <w:noProof/>
          <w:lang w:eastAsia="fr-FR"/>
        </w:rPr>
        <w:pict>
          <v:shape id="Pole tekstowe 1" o:spid="_x0000_s1027" type="#_x0000_t202" style="position:absolute;left:0;text-align:left;margin-left:84.9pt;margin-top:726.35pt;width:425.2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" filled="f" stroked="f">
            <v:textbox>
              <w:txbxContent>
                <w:p w:rsidR="00165441" w:rsidRPr="00E13A1D" w:rsidRDefault="00165441" w:rsidP="00165441">
                  <w:pPr>
                    <w:spacing w:after="24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D50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= </w:t>
                  </w:r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36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4 -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0.175A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-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24</w:t>
                  </w:r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B</w:t>
                  </w:r>
                  <w:proofErr w:type="spellEnd"/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1.0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73</w:t>
                  </w:r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C</w:t>
                  </w:r>
                  <w:proofErr w:type="spellEnd"/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3.56</w:t>
                  </w:r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D</w:t>
                  </w:r>
                  <w:proofErr w:type="spellEnd"/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+ </w:t>
                  </w:r>
                  <w:proofErr w:type="spellStart"/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18</w:t>
                  </w:r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1B</w:t>
                  </w:r>
                  <w:r w:rsidRPr="00CC5066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proofErr w:type="spellEnd"/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+ </w:t>
                  </w:r>
                  <w:proofErr w:type="spellStart"/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0.009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10</w:t>
                  </w:r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C</w:t>
                  </w:r>
                  <w:r w:rsidRPr="00CC5066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proofErr w:type="spellEnd"/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+ </w:t>
                  </w:r>
                  <w:proofErr w:type="spellStart"/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1.6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27</w:t>
                  </w:r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D</w:t>
                  </w:r>
                  <w:r w:rsidRPr="00CC5066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proofErr w:type="spellEnd"/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- </w:t>
                  </w:r>
                  <w:proofErr w:type="spellStart"/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0.05AB</w:t>
                  </w:r>
                  <w:proofErr w:type="spellEnd"/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+ </w:t>
                  </w:r>
                  <w:proofErr w:type="spellStart"/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0.02AD</w:t>
                  </w:r>
                  <w:proofErr w:type="spellEnd"/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+ </w:t>
                  </w:r>
                  <w:proofErr w:type="spellStart"/>
                  <w:r w:rsidRPr="00E13A1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0.18BC</w:t>
                  </w:r>
                  <w:proofErr w:type="spellEnd"/>
                </w:p>
              </w:txbxContent>
            </v:textbox>
          </v:shape>
        </w:pict>
      </w:r>
      <w:r w:rsidR="00165441"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Based on the BBD design and </w:t>
      </w:r>
      <w:proofErr w:type="spellStart"/>
      <w:r w:rsidR="00165441" w:rsidRPr="009F4D5C">
        <w:rPr>
          <w:rFonts w:ascii="Times New Roman" w:hAnsi="Times New Roman" w:cs="Times New Roman"/>
          <w:sz w:val="24"/>
          <w:szCs w:val="24"/>
          <w:lang w:val="en-US"/>
        </w:rPr>
        <w:t>D50</w:t>
      </w:r>
      <w:proofErr w:type="spellEnd"/>
      <w:r w:rsidR="00165441"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values, a quadratic model was established and an analysis of variance (ANOVA) was performed using Minitab 17. The significance of each coefficient was evaluated on the basis of its </w:t>
      </w:r>
      <w:r w:rsidR="00165441" w:rsidRPr="009F4D5C">
        <w:rPr>
          <w:rFonts w:ascii="Times New Roman" w:hAnsi="Times New Roman" w:cs="Times New Roman"/>
          <w:i/>
          <w:iCs/>
          <w:sz w:val="24"/>
          <w:szCs w:val="24"/>
          <w:lang w:val="en-US"/>
        </w:rPr>
        <w:t>p-</w:t>
      </w:r>
      <w:r w:rsidR="00165441" w:rsidRPr="009F4D5C">
        <w:rPr>
          <w:rFonts w:ascii="Times New Roman" w:hAnsi="Times New Roman" w:cs="Times New Roman"/>
          <w:sz w:val="24"/>
          <w:szCs w:val="24"/>
          <w:lang w:val="en-US"/>
        </w:rPr>
        <w:t>value. By neglecting the insignificant coefficients (</w:t>
      </w:r>
      <w:r w:rsidR="00165441" w:rsidRPr="009F4D5C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165441"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-value&gt;0.05), the mathematical relationship between the output, namely </w:t>
      </w:r>
      <w:proofErr w:type="spellStart"/>
      <w:r w:rsidR="00165441" w:rsidRPr="009F4D5C">
        <w:rPr>
          <w:rFonts w:ascii="Times New Roman" w:hAnsi="Times New Roman" w:cs="Times New Roman"/>
          <w:sz w:val="24"/>
          <w:szCs w:val="24"/>
          <w:lang w:val="en-US"/>
        </w:rPr>
        <w:t>D50</w:t>
      </w:r>
      <w:proofErr w:type="spellEnd"/>
      <w:r w:rsidR="00165441" w:rsidRPr="009F4D5C">
        <w:rPr>
          <w:rFonts w:ascii="Times New Roman" w:hAnsi="Times New Roman" w:cs="Times New Roman"/>
          <w:sz w:val="24"/>
          <w:szCs w:val="24"/>
          <w:lang w:val="en-US"/>
        </w:rPr>
        <w:t>, and the input variables, namely temperature, pH, salt gold and pyomelanin concentrations is given by the following equation (</w:t>
      </w:r>
      <w:r w:rsidR="0016544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65441" w:rsidRPr="009F4D5C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165441" w:rsidRPr="009F4D5C" w:rsidRDefault="00165441" w:rsidP="00165441">
      <w:pPr>
        <w:spacing w:after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D50=450.8-0.45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A+12B-1.17C-42.41D+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0.000183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+ 19.46B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0.01411C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1.57D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-0.05AB+0.02AD</m:t>
        </m:r>
      </m:oMath>
      <w:r w:rsidRPr="009F4D5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9F4D5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9F4D5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9F4D5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9F4D5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Pr="009F4D5C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165441" w:rsidRPr="009F4D5C" w:rsidRDefault="00165441" w:rsidP="00165441">
      <w:pPr>
        <w:autoSpaceDE w:val="0"/>
        <w:autoSpaceDN w:val="0"/>
        <w:adjustRightInd w:val="0"/>
        <w:spacing w:before="0" w:beforeAutospacing="0" w:after="24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>here</w:t>
      </w:r>
      <w:proofErr w:type="gram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4D5C">
        <w:rPr>
          <w:rFonts w:ascii="Times New Roman" w:hAnsi="Times New Roman" w:cs="Times New Roman"/>
          <w:sz w:val="24"/>
          <w:szCs w:val="24"/>
          <w:lang w:val="en-US"/>
        </w:rPr>
        <w:t>A,B,C,D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are the pyomelanin concentration, gold salt concentration, temperature and pH,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respectively. The summary of the analysis of variance of model is presented in Table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S2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65441" w:rsidRDefault="00165441" w:rsidP="00165441">
      <w:pPr>
        <w:pStyle w:val="Caption"/>
        <w:keepNext/>
        <w:spacing w:before="100" w:after="10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  <w:sectPr w:rsidR="00165441" w:rsidSect="007A0C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5441" w:rsidRPr="009F4D5C" w:rsidRDefault="00165441" w:rsidP="00165441">
      <w:pPr>
        <w:pStyle w:val="Caption"/>
        <w:keepNext/>
        <w:spacing w:before="100" w:after="100" w:line="48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9F4D5C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Table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S2</w:t>
      </w:r>
      <w:proofErr w:type="spellEnd"/>
      <w:r w:rsidRPr="009F4D5C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9F4D5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Analysis of variance of fitted model used for nanoparticles synthesis. A, B, C, D </w:t>
      </w:r>
      <w:proofErr w:type="gramStart"/>
      <w:r w:rsidRPr="009F4D5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are</w:t>
      </w:r>
      <w:proofErr w:type="gramEnd"/>
      <w:r w:rsidRPr="009F4D5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pyomelanin concentration, salt gold concentration, temperature and pH, respectively. </w:t>
      </w:r>
      <w:proofErr w:type="spellStart"/>
      <w:r w:rsidRPr="009F4D5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A</w:t>
      </w:r>
      <w:r w:rsidRPr="009F4D5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perscript"/>
          <w:lang w:val="en-US"/>
        </w:rPr>
        <w:t>2</w:t>
      </w:r>
      <w:proofErr w:type="spellEnd"/>
      <w:r w:rsidRPr="009F4D5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, </w:t>
      </w:r>
      <w:proofErr w:type="spellStart"/>
      <w:r w:rsidRPr="009F4D5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B</w:t>
      </w:r>
      <w:r w:rsidRPr="009F4D5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perscript"/>
          <w:lang w:val="en-US"/>
        </w:rPr>
        <w:t>2</w:t>
      </w:r>
      <w:proofErr w:type="spellEnd"/>
      <w:r w:rsidRPr="009F4D5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, </w:t>
      </w:r>
      <w:proofErr w:type="spellStart"/>
      <w:r w:rsidRPr="009F4D5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C</w:t>
      </w:r>
      <w:r w:rsidRPr="009F4D5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perscript"/>
          <w:lang w:val="en-US"/>
        </w:rPr>
        <w:t>2</w:t>
      </w:r>
      <w:proofErr w:type="spellEnd"/>
      <w:r w:rsidRPr="009F4D5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, </w:t>
      </w:r>
      <w:proofErr w:type="spellStart"/>
      <w:r w:rsidRPr="009F4D5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D</w:t>
      </w:r>
      <w:r w:rsidRPr="009F4D5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perscript"/>
          <w:lang w:val="en-US"/>
        </w:rPr>
        <w:t>2</w:t>
      </w:r>
      <w:proofErr w:type="spellEnd"/>
      <w:r w:rsidRPr="009F4D5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represent quadratic coefficients while AB, AD, represent cross coefficients.</w:t>
      </w:r>
    </w:p>
    <w:tbl>
      <w:tblPr>
        <w:tblStyle w:val="TableGri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5"/>
        <w:gridCol w:w="1702"/>
        <w:gridCol w:w="1843"/>
        <w:gridCol w:w="1702"/>
        <w:gridCol w:w="1666"/>
      </w:tblGrid>
      <w:tr w:rsidR="00165441" w:rsidRPr="009F4D5C" w:rsidTr="00724743">
        <w:tc>
          <w:tcPr>
            <w:tcW w:w="1279" w:type="pct"/>
            <w:tcBorders>
              <w:top w:val="single" w:sz="4" w:space="0" w:color="auto"/>
              <w:bottom w:val="single" w:sz="4" w:space="0" w:color="auto"/>
            </w:tcBorders>
          </w:tcPr>
          <w:p w:rsidR="00165441" w:rsidRPr="000D6BCB" w:rsidRDefault="00165441" w:rsidP="00724743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6B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Source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165441" w:rsidRPr="000D6BCB" w:rsidRDefault="00165441" w:rsidP="00724743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6B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Sum of squares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:rsidR="00165441" w:rsidRPr="000D6BCB" w:rsidRDefault="00165441" w:rsidP="00724743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6B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Mean of square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165441" w:rsidRPr="000D6BCB" w:rsidRDefault="00165441" w:rsidP="00724743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6B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 value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:rsidR="00165441" w:rsidRPr="000D6BCB" w:rsidRDefault="00165441" w:rsidP="00724743">
            <w:pPr>
              <w:spacing w:after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D6B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</w:t>
            </w:r>
            <w:r w:rsidRPr="000D6B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-value</w:t>
            </w:r>
          </w:p>
        </w:tc>
      </w:tr>
      <w:tr w:rsidR="00165441" w:rsidRPr="009F4D5C" w:rsidTr="00724743">
        <w:tc>
          <w:tcPr>
            <w:tcW w:w="1279" w:type="pct"/>
            <w:tcBorders>
              <w:top w:val="single" w:sz="4" w:space="0" w:color="auto"/>
              <w:bottom w:val="nil"/>
            </w:tcBorders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916" w:type="pct"/>
            <w:tcBorders>
              <w:top w:val="single" w:sz="4" w:space="0" w:color="auto"/>
              <w:bottom w:val="nil"/>
            </w:tcBorders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12468.9</w:t>
            </w:r>
          </w:p>
        </w:tc>
        <w:tc>
          <w:tcPr>
            <w:tcW w:w="992" w:type="pct"/>
            <w:tcBorders>
              <w:top w:val="single" w:sz="4" w:space="0" w:color="auto"/>
              <w:bottom w:val="nil"/>
            </w:tcBorders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1246.8</w:t>
            </w:r>
          </w:p>
        </w:tc>
        <w:tc>
          <w:tcPr>
            <w:tcW w:w="916" w:type="pct"/>
            <w:tcBorders>
              <w:top w:val="single" w:sz="4" w:space="0" w:color="auto"/>
              <w:bottom w:val="nil"/>
            </w:tcBorders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19.29</w:t>
            </w:r>
          </w:p>
        </w:tc>
        <w:tc>
          <w:tcPr>
            <w:tcW w:w="897" w:type="pct"/>
            <w:tcBorders>
              <w:top w:val="single" w:sz="4" w:space="0" w:color="auto"/>
              <w:bottom w:val="nil"/>
            </w:tcBorders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165441" w:rsidRPr="009F4D5C" w:rsidTr="00724743">
        <w:tc>
          <w:tcPr>
            <w:tcW w:w="1279" w:type="pct"/>
            <w:tcBorders>
              <w:top w:val="nil"/>
            </w:tcBorders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16" w:type="pct"/>
            <w:tcBorders>
              <w:top w:val="nil"/>
            </w:tcBorders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3570.8</w:t>
            </w:r>
          </w:p>
        </w:tc>
        <w:tc>
          <w:tcPr>
            <w:tcW w:w="992" w:type="pct"/>
            <w:tcBorders>
              <w:top w:val="nil"/>
            </w:tcBorders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3570.8</w:t>
            </w:r>
          </w:p>
        </w:tc>
        <w:tc>
          <w:tcPr>
            <w:tcW w:w="916" w:type="pct"/>
            <w:tcBorders>
              <w:top w:val="nil"/>
            </w:tcBorders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55.25</w:t>
            </w:r>
          </w:p>
        </w:tc>
        <w:tc>
          <w:tcPr>
            <w:tcW w:w="897" w:type="pct"/>
            <w:tcBorders>
              <w:top w:val="nil"/>
            </w:tcBorders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165441" w:rsidRPr="009F4D5C" w:rsidTr="00724743">
        <w:tc>
          <w:tcPr>
            <w:tcW w:w="1279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954.1</w:t>
            </w:r>
          </w:p>
        </w:tc>
        <w:tc>
          <w:tcPr>
            <w:tcW w:w="992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954.1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14.76</w:t>
            </w:r>
          </w:p>
        </w:tc>
        <w:tc>
          <w:tcPr>
            <w:tcW w:w="897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  <w:tr w:rsidR="00165441" w:rsidRPr="009F4D5C" w:rsidTr="00724743">
        <w:tc>
          <w:tcPr>
            <w:tcW w:w="1279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1045.3</w:t>
            </w:r>
          </w:p>
        </w:tc>
        <w:tc>
          <w:tcPr>
            <w:tcW w:w="992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1045.3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16.17</w:t>
            </w:r>
          </w:p>
        </w:tc>
        <w:tc>
          <w:tcPr>
            <w:tcW w:w="897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  <w:tr w:rsidR="00165441" w:rsidRPr="009F4D5C" w:rsidTr="00724743">
        <w:tc>
          <w:tcPr>
            <w:tcW w:w="1279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972.0</w:t>
            </w:r>
          </w:p>
        </w:tc>
        <w:tc>
          <w:tcPr>
            <w:tcW w:w="992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972.0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15.04</w:t>
            </w:r>
          </w:p>
        </w:tc>
        <w:tc>
          <w:tcPr>
            <w:tcW w:w="897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</w:t>
            </w:r>
          </w:p>
        </w:tc>
      </w:tr>
      <w:tr w:rsidR="00165441" w:rsidRPr="009F4D5C" w:rsidTr="00724743">
        <w:tc>
          <w:tcPr>
            <w:tcW w:w="1279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4D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spellEnd"/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700.2</w:t>
            </w:r>
          </w:p>
        </w:tc>
        <w:tc>
          <w:tcPr>
            <w:tcW w:w="992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700.2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10.83</w:t>
            </w:r>
          </w:p>
        </w:tc>
        <w:tc>
          <w:tcPr>
            <w:tcW w:w="897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  <w:tr w:rsidR="00165441" w:rsidRPr="009F4D5C" w:rsidTr="00724743">
        <w:tc>
          <w:tcPr>
            <w:tcW w:w="1279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F4D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spellEnd"/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2019.3</w:t>
            </w:r>
          </w:p>
        </w:tc>
        <w:tc>
          <w:tcPr>
            <w:tcW w:w="992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2019.3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31.24</w:t>
            </w:r>
          </w:p>
        </w:tc>
        <w:tc>
          <w:tcPr>
            <w:tcW w:w="897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165441" w:rsidRPr="009F4D5C" w:rsidTr="00724743">
        <w:tc>
          <w:tcPr>
            <w:tcW w:w="1279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4D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spellEnd"/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2720.2</w:t>
            </w:r>
          </w:p>
        </w:tc>
        <w:tc>
          <w:tcPr>
            <w:tcW w:w="992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2720.0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42.09</w:t>
            </w:r>
          </w:p>
        </w:tc>
        <w:tc>
          <w:tcPr>
            <w:tcW w:w="897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165441" w:rsidRPr="009F4D5C" w:rsidTr="00724743">
        <w:tc>
          <w:tcPr>
            <w:tcW w:w="1279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F4D5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proofErr w:type="spellEnd"/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1993.5</w:t>
            </w:r>
          </w:p>
        </w:tc>
        <w:tc>
          <w:tcPr>
            <w:tcW w:w="992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1993.5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30.84</w:t>
            </w:r>
          </w:p>
        </w:tc>
        <w:tc>
          <w:tcPr>
            <w:tcW w:w="897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165441" w:rsidRPr="009F4D5C" w:rsidTr="00724743">
        <w:tc>
          <w:tcPr>
            <w:tcW w:w="1279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625.0</w:t>
            </w:r>
          </w:p>
        </w:tc>
        <w:tc>
          <w:tcPr>
            <w:tcW w:w="992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625.0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9.76</w:t>
            </w:r>
          </w:p>
        </w:tc>
        <w:tc>
          <w:tcPr>
            <w:tcW w:w="897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0.007</w:t>
            </w:r>
          </w:p>
        </w:tc>
      </w:tr>
      <w:tr w:rsidR="00165441" w:rsidRPr="009F4D5C" w:rsidTr="00724743">
        <w:tc>
          <w:tcPr>
            <w:tcW w:w="1279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1225.0</w:t>
            </w:r>
          </w:p>
        </w:tc>
        <w:tc>
          <w:tcPr>
            <w:tcW w:w="992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1225.0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18.95</w:t>
            </w:r>
          </w:p>
        </w:tc>
        <w:tc>
          <w:tcPr>
            <w:tcW w:w="897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165441" w:rsidRPr="009F4D5C" w:rsidTr="00724743">
        <w:tc>
          <w:tcPr>
            <w:tcW w:w="1279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Lack of fit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1225.4</w:t>
            </w:r>
          </w:p>
        </w:tc>
        <w:tc>
          <w:tcPr>
            <w:tcW w:w="992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73.2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16.90</w:t>
            </w:r>
          </w:p>
        </w:tc>
        <w:tc>
          <w:tcPr>
            <w:tcW w:w="897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0.057</w:t>
            </w:r>
          </w:p>
        </w:tc>
      </w:tr>
      <w:tr w:rsidR="00165441" w:rsidRPr="009F4D5C" w:rsidTr="00724743">
        <w:tc>
          <w:tcPr>
            <w:tcW w:w="1279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8.7</w:t>
            </w:r>
          </w:p>
        </w:tc>
        <w:tc>
          <w:tcPr>
            <w:tcW w:w="992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441" w:rsidRPr="009F4D5C" w:rsidTr="00724743">
        <w:tc>
          <w:tcPr>
            <w:tcW w:w="1279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R-squared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92.34</w:t>
            </w:r>
          </w:p>
        </w:tc>
        <w:tc>
          <w:tcPr>
            <w:tcW w:w="992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441" w:rsidRPr="009F4D5C" w:rsidTr="00724743">
        <w:tc>
          <w:tcPr>
            <w:tcW w:w="1279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</w:t>
            </w:r>
            <w:proofErr w:type="spellEnd"/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-R-squared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87.56</w:t>
            </w:r>
          </w:p>
        </w:tc>
        <w:tc>
          <w:tcPr>
            <w:tcW w:w="992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441" w:rsidRPr="009F4D5C" w:rsidTr="00724743">
        <w:tc>
          <w:tcPr>
            <w:tcW w:w="1279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</w:t>
            </w:r>
            <w:proofErr w:type="spellEnd"/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R-squared</w:t>
            </w: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80.17</w:t>
            </w:r>
          </w:p>
        </w:tc>
        <w:tc>
          <w:tcPr>
            <w:tcW w:w="992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7" w:type="pct"/>
          </w:tcPr>
          <w:p w:rsidR="00165441" w:rsidRPr="009F4D5C" w:rsidRDefault="00165441" w:rsidP="007247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5441" w:rsidRPr="009F4D5C" w:rsidRDefault="00165441" w:rsidP="00165441">
      <w:pPr>
        <w:pStyle w:val="ListParagraph"/>
        <w:spacing w:after="24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65441" w:rsidRDefault="00165441" w:rsidP="00165441">
      <w:pPr>
        <w:pStyle w:val="ListParagraph"/>
        <w:spacing w:before="0" w:beforeAutospacing="0" w:after="24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The F-test value for the model (i.e. 19.29) highlighted the significance of the model while that obtained for the lack of fit (i.e. 16.90) indicates that </w:t>
      </w:r>
      <w:r w:rsidRPr="009F4D5C">
        <w:rPr>
          <w:rStyle w:val="linkify"/>
          <w:rFonts w:ascii="Times New Roman" w:hAnsi="Times New Roman" w:cs="Times New Roman"/>
          <w:sz w:val="24"/>
          <w:szCs w:val="24"/>
          <w:lang w:val="en-US"/>
        </w:rPr>
        <w:t xml:space="preserve">the model fits the experimental data and that the different parameters have significant effects on </w:t>
      </w:r>
      <w:proofErr w:type="spellStart"/>
      <w:r w:rsidRPr="009F4D5C">
        <w:rPr>
          <w:rStyle w:val="linkify"/>
          <w:rFonts w:ascii="Times New Roman" w:hAnsi="Times New Roman" w:cs="Times New Roman"/>
          <w:sz w:val="24"/>
          <w:szCs w:val="24"/>
          <w:lang w:val="en-US"/>
        </w:rPr>
        <w:t>D50</w:t>
      </w:r>
      <w:proofErr w:type="spellEnd"/>
      <w:r w:rsidRPr="009F4D5C">
        <w:rPr>
          <w:rStyle w:val="linkify"/>
          <w:rFonts w:ascii="Times New Roman" w:hAnsi="Times New Roman" w:cs="Times New Roman"/>
          <w:sz w:val="24"/>
          <w:szCs w:val="24"/>
          <w:lang w:val="en-US"/>
        </w:rPr>
        <w:t xml:space="preserve"> value. 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The low </w:t>
      </w:r>
      <w:r w:rsidRPr="009F4D5C">
        <w:rPr>
          <w:rFonts w:ascii="Times New Roman" w:hAnsi="Times New Roman" w:cs="Times New Roman"/>
          <w:i/>
          <w:iCs/>
          <w:sz w:val="24"/>
          <w:szCs w:val="24"/>
          <w:lang w:val="en-US"/>
        </w:rPr>
        <w:t>p-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value (p&lt;0.05) of model terms, namely A, B, C, D, </w:t>
      </w:r>
      <w:proofErr w:type="spellStart"/>
      <w:r w:rsidRPr="009F4D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F4D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4D5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F4D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4D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F4D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4D5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F4D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, AB, AD, indicated that they affect significantly  the </w:t>
      </w:r>
      <w:proofErr w:type="spellStart"/>
      <w:r w:rsidRPr="009F4D5C">
        <w:rPr>
          <w:rFonts w:ascii="Times New Roman" w:hAnsi="Times New Roman" w:cs="Times New Roman"/>
          <w:sz w:val="24"/>
          <w:szCs w:val="24"/>
          <w:lang w:val="en-US"/>
        </w:rPr>
        <w:t>D50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value. The correlation coefficient (</w:t>
      </w:r>
      <w:proofErr w:type="spellStart"/>
      <w:r w:rsidRPr="009F4D5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F4D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), used to assess the fitness of the model, was calculated as 0.9234 which indicates that 92% of the variability in the response (i.e. </w:t>
      </w:r>
      <w:proofErr w:type="spellStart"/>
      <w:r w:rsidRPr="009F4D5C">
        <w:rPr>
          <w:rFonts w:ascii="Times New Roman" w:hAnsi="Times New Roman" w:cs="Times New Roman"/>
          <w:sz w:val="24"/>
          <w:szCs w:val="24"/>
          <w:lang w:val="en-US"/>
        </w:rPr>
        <w:t>D50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value) could be attributed to the independent variables (i.e. temperature, pH, </w:t>
      </w:r>
      <w:proofErr w:type="spellStart"/>
      <w:r w:rsidRPr="009F4D5C">
        <w:rPr>
          <w:rFonts w:ascii="Times New Roman" w:hAnsi="Times New Roman" w:cs="Times New Roman"/>
          <w:sz w:val="24"/>
          <w:szCs w:val="24"/>
          <w:lang w:val="en-US"/>
        </w:rPr>
        <w:lastRenderedPageBreak/>
        <w:t>HAuCl</w:t>
      </w:r>
      <w:r w:rsidRPr="009F4D5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, pyomelanin). Moreover, the high value of the adjusted determination coefficient (i.e. 0.8756) confirmed the high </w:t>
      </w:r>
      <w:r w:rsidRPr="000865A0">
        <w:rPr>
          <w:rFonts w:ascii="Times New Roman" w:hAnsi="Times New Roman" w:cs="Times New Roman"/>
          <w:sz w:val="24"/>
          <w:szCs w:val="24"/>
          <w:lang w:val="en-US"/>
        </w:rPr>
        <w:t xml:space="preserve">significance of the model </w:t>
      </w:r>
      <w:r w:rsidR="0017305E" w:rsidRPr="000865A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0865A0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&lt;EndNote&gt;&lt;Cite&gt;&lt;Author&gt;Othman&lt;/Author&gt;&lt;Year&gt;2017&lt;/Year&gt;&lt;RecNum&gt;68&lt;/RecNum&gt;&lt;DisplayText&gt;(1)&lt;/DisplayText&gt;&lt;record&gt;&lt;rec-number&gt;68&lt;/rec-number&gt;&lt;foreign-keys&gt;&lt;key app="EN" db-id="tv02vtzegz05wvez9rnpa0vt9tvaz5vffsat"&gt;68&lt;/key&gt;&lt;/foreign-keys&gt;&lt;ref-type name="Journal Article"&gt;17&lt;/ref-type&gt;&lt;contributors&gt;&lt;authors&gt;&lt;author&gt;Othman, Abdelmageed M.&lt;/author&gt;&lt;author&gt;Elsayed, Maysa A.&lt;/author&gt;&lt;author&gt;Elshafei, Ali M.&lt;/author&gt;&lt;author&gt;Hassan, Mohamed M.&lt;/author&gt;&lt;/authors&gt;&lt;/contributors&gt;&lt;titles&gt;&lt;title&gt;Application of response surface methodology to optimize the extracellular fungal mediated nanosilver green synthesis&lt;/title&gt;&lt;secondary-title&gt;Journal, genetic engineering &amp;amp; biotechnology&lt;/secondary-title&gt;&lt;alt-title&gt;J Genet Eng Biotechnol&lt;/alt-title&gt;&lt;/titles&gt;&lt;periodical&gt;&lt;full-title&gt;Journal, genetic engineering &amp;amp; biotechnology&lt;/full-title&gt;&lt;abbr-1&gt;J Genet Eng Biotechnol&lt;/abbr-1&gt;&lt;/periodical&gt;&lt;alt-periodical&gt;&lt;full-title&gt;Journal, genetic engineering &amp;amp; biotechnology&lt;/full-title&gt;&lt;abbr-1&gt;J Genet Eng Biotechnol&lt;/abbr-1&gt;&lt;/alt-periodical&gt;&lt;pages&gt;497-504&lt;/pages&gt;&lt;volume&gt;15&lt;/volume&gt;&lt;number&gt;2&lt;/number&gt;&lt;edition&gt;2017/08/10&lt;/edition&gt;&lt;keywords&gt;&lt;keyword&gt;Biosynthesis&lt;/keyword&gt;&lt;keyword&gt;Characterization&lt;/keyword&gt;&lt;keyword&gt;Nanosilver&lt;/keyword&gt;&lt;keyword&gt;Response surface methodology&lt;/keyword&gt;&lt;keyword&gt;Trichoderma viride&lt;/keyword&gt;&lt;/keywords&gt;&lt;dates&gt;&lt;year&gt;2017&lt;/year&gt;&lt;/dates&gt;&lt;publisher&gt;Academy of Scientific Research and Technology, Egypt&lt;/publisher&gt;&lt;isbn&gt;2090-5920&amp;#xD;1687-157X&lt;/isbn&gt;&lt;accession-num&gt;30647692&lt;/accession-num&gt;&lt;urls&gt;&lt;related-urls&gt;&lt;url&gt;https://www.ncbi.nlm.nih.gov/pubmed/30647692&lt;/url&gt;&lt;url&gt;https://www.ncbi.nlm.nih.gov/pmc/articles/PMC6296633/&lt;/url&gt;&lt;/related-urls&gt;&lt;/urls&gt;&lt;electronic-resource-num&gt;10.1016/j.jgeb.2017.08.003&lt;/electronic-resource-num&gt;&lt;remote-database-name&gt;PubMed&lt;/remote-database-name&gt;&lt;language&gt;eng&lt;/language&gt;&lt;/record&gt;&lt;/Cite&gt;&lt;/EndNote&gt;</w:instrText>
      </w:r>
      <w:r w:rsidR="0017305E" w:rsidRPr="000865A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865A0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" w:tooltip="Othman, 2017 #68" w:history="1">
        <w:r w:rsidRPr="000865A0">
          <w:rPr>
            <w:rFonts w:ascii="Times New Roman" w:hAnsi="Times New Roman" w:cs="Times New Roman"/>
            <w:noProof/>
            <w:sz w:val="24"/>
            <w:szCs w:val="24"/>
            <w:lang w:val="en-US"/>
          </w:rPr>
          <w:t>1</w:t>
        </w:r>
      </w:hyperlink>
      <w:r w:rsidRPr="000865A0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17305E" w:rsidRPr="000865A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865A0">
        <w:rPr>
          <w:rFonts w:ascii="Times New Roman" w:hAnsi="Times New Roman" w:cs="Times New Roman"/>
          <w:sz w:val="24"/>
          <w:szCs w:val="24"/>
          <w:lang w:val="en-US"/>
        </w:rPr>
        <w:t>. The R-sq (</w:t>
      </w:r>
      <w:proofErr w:type="spellStart"/>
      <w:r w:rsidRPr="000865A0">
        <w:rPr>
          <w:rFonts w:ascii="Times New Roman" w:hAnsi="Times New Roman" w:cs="Times New Roman"/>
          <w:sz w:val="24"/>
          <w:szCs w:val="24"/>
          <w:lang w:val="en-US"/>
        </w:rPr>
        <w:t>pred</w:t>
      </w:r>
      <w:proofErr w:type="spellEnd"/>
      <w:r w:rsidRPr="000865A0">
        <w:rPr>
          <w:rFonts w:ascii="Times New Roman" w:hAnsi="Times New Roman" w:cs="Times New Roman"/>
          <w:sz w:val="24"/>
          <w:szCs w:val="24"/>
          <w:lang w:val="en-US"/>
        </w:rPr>
        <w:t>) of 0.8017 is in agreement with the R-sq (</w:t>
      </w:r>
      <w:proofErr w:type="spellStart"/>
      <w:r w:rsidRPr="000865A0">
        <w:rPr>
          <w:rFonts w:ascii="Times New Roman" w:hAnsi="Times New Roman" w:cs="Times New Roman"/>
          <w:sz w:val="24"/>
          <w:szCs w:val="24"/>
          <w:lang w:val="en-US"/>
        </w:rPr>
        <w:t>adj</w:t>
      </w:r>
      <w:proofErr w:type="spellEnd"/>
      <w:r w:rsidRPr="000865A0">
        <w:rPr>
          <w:rFonts w:ascii="Times New Roman" w:hAnsi="Times New Roman" w:cs="Times New Roman"/>
          <w:sz w:val="24"/>
          <w:szCs w:val="24"/>
          <w:lang w:val="en-US"/>
        </w:rPr>
        <w:t xml:space="preserve">) since their difference does not exceed 0.2 (for more details on data analysis refer to </w:t>
      </w:r>
      <w:r w:rsidR="0017305E" w:rsidRPr="000865A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0865A0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&lt;EndNote&gt;&lt;Cite&gt;&lt;Author&gt;Othman&lt;/Author&gt;&lt;Year&gt;2017&lt;/Year&gt;&lt;RecNum&gt;68&lt;/RecNum&gt;&lt;DisplayText&gt;(1)&lt;/DisplayText&gt;&lt;record&gt;&lt;rec-number&gt;68&lt;/rec-number&gt;&lt;foreign-keys&gt;&lt;key app="EN" db-id="tv02vtzegz05wvez9rnpa0vt9tvaz5vffsat"&gt;68&lt;/key&gt;&lt;/foreign-keys&gt;&lt;ref-type name="Journal Article"&gt;17&lt;/ref-type&gt;&lt;contributors&gt;&lt;authors&gt;&lt;author&gt;Othman, Abdelmageed M.&lt;/author&gt;&lt;author&gt;Elsayed, Maysa A.&lt;/author&gt;&lt;author&gt;Elshafei, Ali M.&lt;/author&gt;&lt;author&gt;Hassan, Mohamed M.&lt;/author&gt;&lt;/authors&gt;&lt;/contributors&gt;&lt;titles&gt;&lt;title&gt;Application of response surface methodology to optimize the extracellular fungal mediated nanosilver green synthesis&lt;/title&gt;&lt;secondary-title&gt;Journal, genetic engineering &amp;amp; biotechnology&lt;/secondary-title&gt;&lt;alt-title&gt;J Genet Eng Biotechnol&lt;/alt-title&gt;&lt;/titles&gt;&lt;periodical&gt;&lt;full-title&gt;Journal, genetic engineering &amp;amp; biotechnology&lt;/full-title&gt;&lt;abbr-1&gt;J Genet Eng Biotechnol&lt;/abbr-1&gt;&lt;/periodical&gt;&lt;alt-periodical&gt;&lt;full-title&gt;Journal, genetic engineering &amp;amp; biotechnology&lt;/full-title&gt;&lt;abbr-1&gt;J Genet Eng Biotechnol&lt;/abbr-1&gt;&lt;/alt-periodical&gt;&lt;pages&gt;497-504&lt;/pages&gt;&lt;volume&gt;15&lt;/volume&gt;&lt;number&gt;2&lt;/number&gt;&lt;edition&gt;2017/08/10&lt;/edition&gt;&lt;keywords&gt;&lt;keyword&gt;Biosynthesis&lt;/keyword&gt;&lt;keyword&gt;Characterization&lt;/keyword&gt;&lt;keyword&gt;Nanosilver&lt;/keyword&gt;&lt;keyword&gt;Response surface methodology&lt;/keyword&gt;&lt;keyword&gt;Trichoderma viride&lt;/keyword&gt;&lt;/keywords&gt;&lt;dates&gt;&lt;year&gt;2017&lt;/year&gt;&lt;/dates&gt;&lt;publisher&gt;Academy of Scientific Research and Technology, Egypt&lt;/publisher&gt;&lt;isbn&gt;2090-5920&amp;#xD;1687-157X&lt;/isbn&gt;&lt;accession-num&gt;30647692&lt;/accession-num&gt;&lt;urls&gt;&lt;related-urls&gt;&lt;url&gt;https://www.ncbi.nlm.nih.gov/pubmed/30647692&lt;/url&gt;&lt;url&gt;https://www.ncbi.nlm.nih.gov/pmc/articles/PMC6296633/&lt;/url&gt;&lt;/related-urls&gt;&lt;/urls&gt;&lt;electronic-resource-num&gt;10.1016/j.jgeb.2017.08.003&lt;/electronic-resource-num&gt;&lt;remote-database-name&gt;PubMed&lt;/remote-database-name&gt;&lt;language&gt;eng&lt;/language&gt;&lt;/record&gt;&lt;/Cite&gt;&lt;/EndNote&gt;</w:instrText>
      </w:r>
      <w:r w:rsidR="0017305E" w:rsidRPr="000865A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865A0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1" w:tooltip="Othman, 2017 #68" w:history="1">
        <w:r w:rsidRPr="000865A0">
          <w:rPr>
            <w:rFonts w:ascii="Times New Roman" w:hAnsi="Times New Roman" w:cs="Times New Roman"/>
            <w:noProof/>
            <w:sz w:val="24"/>
            <w:szCs w:val="24"/>
            <w:lang w:val="en-US"/>
          </w:rPr>
          <w:t>1</w:t>
        </w:r>
      </w:hyperlink>
      <w:r w:rsidRPr="000865A0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17305E" w:rsidRPr="000865A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865A0">
        <w:rPr>
          <w:rFonts w:ascii="Times New Roman" w:hAnsi="Times New Roman" w:cs="Times New Roman"/>
          <w:sz w:val="24"/>
          <w:szCs w:val="24"/>
          <w:lang w:val="en-US"/>
        </w:rPr>
        <w:t>). This highlighted a good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correlation between the observed and predicted values. </w:t>
      </w:r>
    </w:p>
    <w:p w:rsidR="00165441" w:rsidRPr="009F4D5C" w:rsidRDefault="00165441" w:rsidP="00165441">
      <w:pPr>
        <w:pStyle w:val="ListParagraph"/>
        <w:spacing w:before="0" w:beforeAutospacing="0" w:after="240" w:line="480" w:lineRule="auto"/>
        <w:ind w:left="0"/>
        <w:contextualSpacing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F4D5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Model validation</w:t>
      </w:r>
    </w:p>
    <w:p w:rsidR="00165441" w:rsidRDefault="00165441" w:rsidP="00165441">
      <w:pPr>
        <w:pStyle w:val="ListParagraph"/>
        <w:keepNext/>
        <w:spacing w:before="0" w:beforeAutospacing="0" w:afterLines="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Graphical residuals analysis plays an important role on model diagnostic and validation </w:t>
      </w:r>
      <w:r w:rsidR="0017305E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&lt;EndNote&gt;&lt;Cite&gt;&lt;Author&gt;Chowdhury&lt;/Author&gt;&lt;Year&gt;2016&lt;/Year&gt;&lt;RecNum&gt;41&lt;/RecNum&gt;&lt;DisplayText&gt;(2)&lt;/DisplayText&gt;&lt;record&gt;&lt;rec-number&gt;41&lt;/rec-number&gt;&lt;foreign-keys&gt;&lt;key app="EN" db-id="tv02vtzegz05wvez9rnpa0vt9tvaz5vffsat"&gt;41&lt;/key&gt;&lt;/foreign-keys&gt;&lt;ref-type name="Book"&gt;6&lt;/ref-type&gt;&lt;contributors&gt;&lt;authors&gt;&lt;author&gt;Chowdhury, Silvia&lt;/author&gt;&lt;author&gt;Yusof, Faridah&lt;/author&gt;&lt;author&gt;Faruck, Mohammad&lt;/author&gt;&lt;author&gt;Sulaiman, Nadzril&lt;/author&gt;&lt;/authors&gt;&lt;/contributors&gt;&lt;titles&gt;&lt;title&gt;Process Optimization of Silver Nanoparticle Synthesis Using Response Surface Methodology&lt;/title&gt;&lt;alt-title&gt;Procedia Engineering&lt;/alt-title&gt;&lt;/titles&gt;&lt;pages&gt;992-999&lt;/pages&gt;&lt;volume&gt;148&lt;/volume&gt;&lt;dates&gt;&lt;year&gt;2016&lt;/year&gt;&lt;/dates&gt;&lt;urls&gt;&lt;/urls&gt;&lt;electronic-resource-num&gt;10.1016/j.proeng.2016.06.552&lt;/electronic-resource-num&gt;&lt;/record&gt;&lt;/Cite&gt;&lt;/EndNote&gt;</w:instrText>
      </w:r>
      <w:r w:rsidR="0017305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hyperlink w:anchor="_ENREF_2" w:tooltip="Chowdhury, 2016 #41" w:history="1">
        <w:r>
          <w:rPr>
            <w:rFonts w:ascii="Times New Roman" w:hAnsi="Times New Roman" w:cs="Times New Roman"/>
            <w:noProof/>
            <w:sz w:val="24"/>
            <w:szCs w:val="24"/>
            <w:lang w:val="en-US"/>
          </w:rPr>
          <w:t>2</w:t>
        </w:r>
      </w:hyperlink>
      <w:r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17305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>Residuals are defined as the difference between experimental response and predicted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response from 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the model. This analysis consists on scatters plot of normal probability of residuals distribution, residuals </w:t>
      </w:r>
      <w:r w:rsidRPr="009F4D5C">
        <w:rPr>
          <w:rFonts w:ascii="Times New Roman" w:hAnsi="Times New Roman" w:cs="Times New Roman"/>
          <w:i/>
          <w:iCs/>
          <w:sz w:val="24"/>
          <w:szCs w:val="24"/>
          <w:lang w:val="en-US"/>
        </w:rPr>
        <w:t>vs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predicted plot and residuals </w:t>
      </w:r>
      <w:r w:rsidRPr="009F4D5C">
        <w:rPr>
          <w:rFonts w:ascii="Times New Roman" w:hAnsi="Times New Roman" w:cs="Times New Roman"/>
          <w:i/>
          <w:iCs/>
          <w:sz w:val="24"/>
          <w:szCs w:val="24"/>
          <w:lang w:val="en-US"/>
        </w:rPr>
        <w:t>vs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experiment order.</w:t>
      </w:r>
    </w:p>
    <w:p w:rsidR="009F332B" w:rsidRDefault="00165441" w:rsidP="00165441">
      <w:pPr>
        <w:ind w:left="0" w:firstLine="0"/>
      </w:pPr>
      <w:r w:rsidRPr="009F4D5C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319423" cy="398956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58" cy="400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41" w:rsidRPr="009F4D5C" w:rsidRDefault="00165441" w:rsidP="00165441">
      <w:pPr>
        <w:pStyle w:val="Caption"/>
        <w:spacing w:after="24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Figure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9F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proofErr w:type="spellEnd"/>
      <w:r w:rsidRPr="009F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(a)</w:t>
      </w:r>
      <w:r w:rsidRPr="009F4D5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  <w:t xml:space="preserve"> Normal plots of residuals. (</w:t>
      </w:r>
      <w:r w:rsidRPr="009F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b)</w:t>
      </w:r>
      <w:r w:rsidRPr="009F4D5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  <w:t xml:space="preserve"> Residuals </w:t>
      </w:r>
      <w:r w:rsidRPr="009F4D5C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lang w:val="en-US"/>
        </w:rPr>
        <w:t>vs</w:t>
      </w:r>
      <w:r w:rsidRPr="009F4D5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  <w:t xml:space="preserve"> predicted values. (</w:t>
      </w:r>
      <w:r w:rsidRPr="009F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c)</w:t>
      </w:r>
      <w:r w:rsidRPr="009F4D5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  <w:t xml:space="preserve"> Residuals </w:t>
      </w:r>
      <w:r w:rsidRPr="009F4D5C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lang w:val="en-US"/>
        </w:rPr>
        <w:t>vs</w:t>
      </w:r>
      <w:r w:rsidRPr="009F4D5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  <w:t xml:space="preserve"> experiment number.</w:t>
      </w:r>
      <w:r w:rsidRPr="009F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(d) </w:t>
      </w:r>
      <w:r w:rsidRPr="009F4D5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  <w:t xml:space="preserve">Predicted </w:t>
      </w:r>
      <w:r w:rsidRPr="009F4D5C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lang w:val="en-US"/>
        </w:rPr>
        <w:t>vs</w:t>
      </w:r>
      <w:r w:rsidRPr="009F4D5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  <w:t xml:space="preserve"> experimental values of </w:t>
      </w:r>
      <w:proofErr w:type="spellStart"/>
      <w:r w:rsidRPr="009F4D5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  <w:t>AuNPs</w:t>
      </w:r>
      <w:proofErr w:type="spellEnd"/>
      <w:r w:rsidRPr="009F4D5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/>
        </w:rPr>
        <w:t xml:space="preserve"> size.</w:t>
      </w:r>
    </w:p>
    <w:p w:rsidR="00165441" w:rsidRPr="009F4D5C" w:rsidRDefault="00165441" w:rsidP="00165441">
      <w:pPr>
        <w:pStyle w:val="ListParagraph"/>
        <w:keepNext/>
        <w:spacing w:after="240" w:line="480" w:lineRule="auto"/>
        <w:ind w:left="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:rsidR="00165441" w:rsidRDefault="00165441" w:rsidP="00165441">
      <w:pPr>
        <w:pStyle w:val="ListParagraph"/>
        <w:spacing w:after="24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The normal probability plot (Fig.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>1a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) provided a linear trend, which indicates that errors follow a normal distribution. A random scatter was also observed in the residuals </w:t>
      </w:r>
      <w:r w:rsidRPr="009F4D5C">
        <w:rPr>
          <w:rFonts w:ascii="Times New Roman" w:hAnsi="Times New Roman" w:cs="Times New Roman"/>
          <w:i/>
          <w:iCs/>
          <w:sz w:val="24"/>
          <w:szCs w:val="24"/>
          <w:lang w:val="en-US"/>
        </w:rPr>
        <w:t>vs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predicted plot (</w:t>
      </w:r>
      <w:proofErr w:type="spellStart"/>
      <w:r w:rsidRPr="009F4D5C">
        <w:rPr>
          <w:rFonts w:ascii="Times New Roman" w:hAnsi="Times New Roman" w:cs="Times New Roman"/>
          <w:sz w:val="24"/>
          <w:szCs w:val="24"/>
          <w:lang w:val="en-US"/>
        </w:rPr>
        <w:t>Fig.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>1b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), and residuals appear homogeneously distributed in positive and negative interval. Moreover, the residuals for different </w:t>
      </w:r>
      <w:proofErr w:type="spellStart"/>
      <w:r w:rsidRPr="009F4D5C">
        <w:rPr>
          <w:rFonts w:ascii="Times New Roman" w:hAnsi="Times New Roman" w:cs="Times New Roman"/>
          <w:sz w:val="24"/>
          <w:szCs w:val="24"/>
          <w:lang w:val="en-US"/>
        </w:rPr>
        <w:t>PSD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values obtained for each experimental </w:t>
      </w:r>
      <w:proofErr w:type="gramStart"/>
      <w:r w:rsidRPr="009F4D5C">
        <w:rPr>
          <w:rFonts w:ascii="Times New Roman" w:hAnsi="Times New Roman" w:cs="Times New Roman"/>
          <w:sz w:val="24"/>
          <w:szCs w:val="24"/>
          <w:lang w:val="en-US"/>
        </w:rPr>
        <w:t>condition  (</w:t>
      </w:r>
      <w:proofErr w:type="gram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Fig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>1c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) appeared structureless and displayed a random pattern, which indicates that all residuals are not correlated with each other. Therefore, </w:t>
      </w:r>
      <w:proofErr w:type="gramStart"/>
      <w:r w:rsidRPr="009F4D5C">
        <w:rPr>
          <w:rFonts w:ascii="Times New Roman" w:hAnsi="Times New Roman" w:cs="Times New Roman"/>
          <w:sz w:val="24"/>
          <w:szCs w:val="24"/>
          <w:lang w:val="en-US"/>
        </w:rPr>
        <w:t>these residuals displays</w:t>
      </w:r>
      <w:proofErr w:type="gram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homogeneity, normality and independence and support the developed model. </w:t>
      </w:r>
      <w:proofErr w:type="gramStart"/>
      <w:r w:rsidRPr="009F4D5C">
        <w:rPr>
          <w:rFonts w:ascii="Times New Roman" w:hAnsi="Times New Roman" w:cs="Times New Roman"/>
          <w:sz w:val="24"/>
          <w:szCs w:val="24"/>
          <w:lang w:val="en-US"/>
        </w:rPr>
        <w:t>The Fig.</w:t>
      </w:r>
      <w:proofErr w:type="gram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>1d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that represents the predicted </w:t>
      </w:r>
      <w:r w:rsidRPr="009F4D5C">
        <w:rPr>
          <w:rFonts w:ascii="Times New Roman" w:hAnsi="Times New Roman" w:cs="Times New Roman"/>
          <w:i/>
          <w:iCs/>
          <w:sz w:val="24"/>
          <w:szCs w:val="24"/>
          <w:lang w:val="en-US"/>
        </w:rPr>
        <w:t>vs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. experimental values of </w:t>
      </w:r>
      <w:proofErr w:type="spellStart"/>
      <w:r w:rsidRPr="009F4D5C">
        <w:rPr>
          <w:rFonts w:ascii="Times New Roman" w:hAnsi="Times New Roman" w:cs="Times New Roman"/>
          <w:sz w:val="24"/>
          <w:szCs w:val="24"/>
          <w:lang w:val="en-US"/>
        </w:rPr>
        <w:t>AuNPs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>, highlighted a close relationship between these values indifferent experiments. This confirms the good predictive ability of the developed model.</w:t>
      </w:r>
    </w:p>
    <w:p w:rsidR="00165441" w:rsidRDefault="00165441" w:rsidP="00165441">
      <w:pPr>
        <w:pStyle w:val="ListParagraph"/>
        <w:spacing w:after="24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As a model validation, three experiments were conducted, randomly, within the range of the experimental design (Table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S3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). The experimental </w:t>
      </w:r>
      <w:proofErr w:type="spellStart"/>
      <w:r w:rsidRPr="009F4D5C">
        <w:rPr>
          <w:rFonts w:ascii="Times New Roman" w:hAnsi="Times New Roman" w:cs="Times New Roman"/>
          <w:sz w:val="24"/>
          <w:szCs w:val="24"/>
          <w:lang w:val="en-US"/>
        </w:rPr>
        <w:t>D50</w:t>
      </w:r>
      <w:proofErr w:type="spell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values were determined and compared with the predicted values. As shown in Table </w:t>
      </w:r>
      <w:proofErr w:type="spellStart"/>
      <w:r w:rsidR="00E4365B">
        <w:rPr>
          <w:rFonts w:ascii="Times New Roman" w:hAnsi="Times New Roman" w:cs="Times New Roman"/>
          <w:sz w:val="24"/>
          <w:szCs w:val="24"/>
          <w:lang w:val="en-US"/>
        </w:rPr>
        <w:t>S3</w:t>
      </w:r>
      <w:proofErr w:type="spellEnd"/>
      <w:r w:rsidR="00E436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the experimental </w:t>
      </w:r>
      <w:proofErr w:type="gramStart"/>
      <w:r w:rsidRPr="009F4D5C">
        <w:rPr>
          <w:rFonts w:ascii="Times New Roman" w:hAnsi="Times New Roman" w:cs="Times New Roman"/>
          <w:sz w:val="24"/>
          <w:szCs w:val="24"/>
          <w:lang w:val="en-US"/>
        </w:rPr>
        <w:t>value were</w:t>
      </w:r>
      <w:proofErr w:type="gramEnd"/>
      <w:r w:rsidRPr="009F4D5C">
        <w:rPr>
          <w:rFonts w:ascii="Times New Roman" w:hAnsi="Times New Roman" w:cs="Times New Roman"/>
          <w:sz w:val="24"/>
          <w:szCs w:val="24"/>
          <w:lang w:val="en-US"/>
        </w:rPr>
        <w:t xml:space="preserve"> closely related to the model calculated value, confirming thus the model validity.</w:t>
      </w:r>
    </w:p>
    <w:p w:rsidR="00165441" w:rsidRDefault="00165441" w:rsidP="00165441">
      <w:pPr>
        <w:pStyle w:val="ListParagraph"/>
        <w:spacing w:after="240"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65441" w:rsidRPr="009F4D5C" w:rsidRDefault="00165441" w:rsidP="00165441">
      <w:pPr>
        <w:pStyle w:val="ListParagraph"/>
        <w:spacing w:before="0" w:beforeAutospacing="0" w:after="240"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F4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S3</w:t>
      </w:r>
      <w:proofErr w:type="spellEnd"/>
      <w:r w:rsidRPr="009F4D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F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Comparison between experimental and predicted values for nanoparticles size at different combinations of factors; </w:t>
      </w:r>
      <w:proofErr w:type="spellStart"/>
      <w:r w:rsidRPr="009F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D50</w:t>
      </w:r>
      <w:proofErr w:type="spellEnd"/>
      <w:r w:rsidRPr="009F4D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means median value.</w:t>
      </w:r>
    </w:p>
    <w:tbl>
      <w:tblPr>
        <w:tblStyle w:val="TableGrid"/>
        <w:tblW w:w="855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3"/>
        <w:gridCol w:w="1147"/>
        <w:gridCol w:w="969"/>
        <w:gridCol w:w="773"/>
        <w:gridCol w:w="1465"/>
        <w:gridCol w:w="1537"/>
        <w:gridCol w:w="1176"/>
      </w:tblGrid>
      <w:tr w:rsidR="00165441" w:rsidRPr="009F4D5C" w:rsidTr="00724743">
        <w:trPr>
          <w:trHeight w:val="310"/>
        </w:trPr>
        <w:tc>
          <w:tcPr>
            <w:tcW w:w="14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5441" w:rsidRPr="009F4D5C" w:rsidRDefault="00165441" w:rsidP="00724743">
            <w:pPr>
              <w:pStyle w:val="ListParagraph"/>
              <w:spacing w:beforeAutospacing="0"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iment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5441" w:rsidRPr="009F4D5C" w:rsidRDefault="00165441" w:rsidP="00724743">
            <w:pPr>
              <w:pStyle w:val="ListParagraph"/>
              <w:spacing w:beforeAutospacing="0"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Melanin (µg/mL)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5441" w:rsidRPr="009F4D5C" w:rsidRDefault="00165441" w:rsidP="00724743">
            <w:pPr>
              <w:pStyle w:val="ListParagraph"/>
              <w:spacing w:beforeAutospacing="0"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Gold (mM)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5441" w:rsidRPr="009F4D5C" w:rsidRDefault="00165441" w:rsidP="00724743">
            <w:pPr>
              <w:pStyle w:val="ListParagraph"/>
              <w:spacing w:beforeAutospacing="0"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5441" w:rsidRPr="009F4D5C" w:rsidRDefault="00165441" w:rsidP="00724743">
            <w:pPr>
              <w:pStyle w:val="ListParagraph"/>
              <w:spacing w:beforeAutospacing="0"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Temperature (°C)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441" w:rsidRPr="009F4D5C" w:rsidRDefault="00165441" w:rsidP="00724743">
            <w:pPr>
              <w:pStyle w:val="ListParagraph"/>
              <w:spacing w:beforeAutospacing="0"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D50</w:t>
            </w:r>
            <w:proofErr w:type="spellEnd"/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(nm)</w:t>
            </w:r>
          </w:p>
        </w:tc>
      </w:tr>
      <w:tr w:rsidR="00165441" w:rsidRPr="009F4D5C" w:rsidTr="00724743">
        <w:trPr>
          <w:trHeight w:val="310"/>
        </w:trPr>
        <w:tc>
          <w:tcPr>
            <w:tcW w:w="14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Experimental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Predicted</w:t>
            </w:r>
          </w:p>
        </w:tc>
      </w:tr>
      <w:tr w:rsidR="00165441" w:rsidRPr="009F4D5C" w:rsidTr="00724743">
        <w:tc>
          <w:tcPr>
            <w:tcW w:w="1483" w:type="dxa"/>
            <w:tcBorders>
              <w:top w:val="single" w:sz="4" w:space="0" w:color="auto"/>
              <w:bottom w:val="nil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bottom w:val="nil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500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1.5</w:t>
            </w:r>
          </w:p>
        </w:tc>
        <w:tc>
          <w:tcPr>
            <w:tcW w:w="773" w:type="dxa"/>
            <w:tcBorders>
              <w:top w:val="single" w:sz="4" w:space="0" w:color="auto"/>
              <w:bottom w:val="nil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6.5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537" w:type="dxa"/>
            <w:tcBorders>
              <w:top w:val="single" w:sz="4" w:space="0" w:color="auto"/>
              <w:bottom w:val="nil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90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92</w:t>
            </w:r>
          </w:p>
        </w:tc>
      </w:tr>
      <w:tr w:rsidR="00165441" w:rsidRPr="009F4D5C" w:rsidTr="00724743">
        <w:tc>
          <w:tcPr>
            <w:tcW w:w="1483" w:type="dxa"/>
            <w:tcBorders>
              <w:top w:val="nil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47" w:type="dxa"/>
            <w:tcBorders>
              <w:top w:val="nil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500</w:t>
            </w:r>
          </w:p>
        </w:tc>
        <w:tc>
          <w:tcPr>
            <w:tcW w:w="969" w:type="dxa"/>
            <w:tcBorders>
              <w:top w:val="nil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</w:t>
            </w:r>
          </w:p>
        </w:tc>
        <w:tc>
          <w:tcPr>
            <w:tcW w:w="773" w:type="dxa"/>
            <w:tcBorders>
              <w:top w:val="nil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465" w:type="dxa"/>
            <w:tcBorders>
              <w:top w:val="nil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537" w:type="dxa"/>
            <w:tcBorders>
              <w:top w:val="nil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105</w:t>
            </w:r>
          </w:p>
        </w:tc>
        <w:tc>
          <w:tcPr>
            <w:tcW w:w="1176" w:type="dxa"/>
            <w:tcBorders>
              <w:top w:val="nil"/>
            </w:tcBorders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97</w:t>
            </w:r>
          </w:p>
        </w:tc>
      </w:tr>
      <w:tr w:rsidR="00165441" w:rsidRPr="009F4D5C" w:rsidTr="00724743">
        <w:tc>
          <w:tcPr>
            <w:tcW w:w="1483" w:type="dxa"/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47" w:type="dxa"/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69" w:type="dxa"/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</w:t>
            </w:r>
          </w:p>
        </w:tc>
        <w:tc>
          <w:tcPr>
            <w:tcW w:w="773" w:type="dxa"/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6.5</w:t>
            </w:r>
          </w:p>
        </w:tc>
        <w:tc>
          <w:tcPr>
            <w:tcW w:w="1465" w:type="dxa"/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  <w:tc>
          <w:tcPr>
            <w:tcW w:w="1537" w:type="dxa"/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49</w:t>
            </w:r>
          </w:p>
        </w:tc>
        <w:tc>
          <w:tcPr>
            <w:tcW w:w="1176" w:type="dxa"/>
          </w:tcPr>
          <w:p w:rsidR="00165441" w:rsidRPr="009F4D5C" w:rsidRDefault="00165441" w:rsidP="00724743">
            <w:pPr>
              <w:pStyle w:val="ListParagraph"/>
              <w:spacing w:after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4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</w:t>
            </w:r>
          </w:p>
        </w:tc>
      </w:tr>
    </w:tbl>
    <w:p w:rsidR="00165441" w:rsidRPr="001C623A" w:rsidRDefault="0017305E" w:rsidP="00165441">
      <w:pPr>
        <w:spacing w:after="0" w:line="240" w:lineRule="auto"/>
        <w:ind w:left="0" w:firstLine="0"/>
        <w:rPr>
          <w:rFonts w:ascii="Calibri" w:hAnsi="Calibri" w:cs="Times New Roman"/>
          <w:noProof/>
        </w:rPr>
      </w:pPr>
      <w:r>
        <w:rPr>
          <w:rFonts w:ascii="Times New Roman" w:hAnsi="Times New Roman" w:cs="Times New Roman"/>
        </w:rPr>
        <w:lastRenderedPageBreak/>
        <w:fldChar w:fldCharType="begin"/>
      </w:r>
      <w:r w:rsidR="00165441"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bookmarkStart w:id="2" w:name="_ENREF_1"/>
      <w:r w:rsidR="00165441" w:rsidRPr="001C623A">
        <w:rPr>
          <w:rFonts w:ascii="Calibri" w:hAnsi="Calibri" w:cs="Times New Roman"/>
          <w:noProof/>
        </w:rPr>
        <w:t>1.</w:t>
      </w:r>
      <w:r w:rsidR="00165441" w:rsidRPr="001C623A">
        <w:rPr>
          <w:rFonts w:ascii="Calibri" w:hAnsi="Calibri" w:cs="Times New Roman"/>
          <w:noProof/>
        </w:rPr>
        <w:tab/>
        <w:t>Othman AM, Elsayed MA, Elshafei AM, Hassan MM. Application of response surface methodology to optimize the extracellular fungal mediated nanosilver green synthesis. J Genet Eng Biotechnol. 2017;15(2):497-504.</w:t>
      </w:r>
      <w:bookmarkEnd w:id="2"/>
    </w:p>
    <w:p w:rsidR="00165441" w:rsidRPr="001C623A" w:rsidRDefault="00165441" w:rsidP="00165441">
      <w:pPr>
        <w:spacing w:line="240" w:lineRule="auto"/>
        <w:ind w:left="0" w:firstLine="0"/>
        <w:rPr>
          <w:rFonts w:ascii="Calibri" w:hAnsi="Calibri" w:cs="Times New Roman"/>
          <w:noProof/>
        </w:rPr>
      </w:pPr>
      <w:bookmarkStart w:id="3" w:name="_ENREF_2"/>
      <w:r w:rsidRPr="001C623A">
        <w:rPr>
          <w:rFonts w:ascii="Calibri" w:hAnsi="Calibri" w:cs="Times New Roman"/>
          <w:noProof/>
        </w:rPr>
        <w:t>2.</w:t>
      </w:r>
      <w:r w:rsidRPr="001C623A">
        <w:rPr>
          <w:rFonts w:ascii="Calibri" w:hAnsi="Calibri" w:cs="Times New Roman"/>
          <w:noProof/>
        </w:rPr>
        <w:tab/>
        <w:t>Chowdhury S, Yusof F, Faruck M, Sulaiman N. Process Optimization of Silver Nanoparticle Synthesis Using Response Surface Methodology2016.</w:t>
      </w:r>
      <w:bookmarkEnd w:id="3"/>
    </w:p>
    <w:p w:rsidR="00165441" w:rsidRDefault="00165441" w:rsidP="00165441">
      <w:pPr>
        <w:spacing w:line="240" w:lineRule="auto"/>
        <w:rPr>
          <w:rFonts w:ascii="Calibri" w:hAnsi="Calibri" w:cs="Times New Roman"/>
          <w:noProof/>
        </w:rPr>
      </w:pPr>
    </w:p>
    <w:p w:rsidR="00165441" w:rsidRPr="00275572" w:rsidRDefault="0017305E" w:rsidP="00165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165441" w:rsidRDefault="00165441" w:rsidP="00165441">
      <w:pPr>
        <w:ind w:left="0" w:firstLine="0"/>
      </w:pPr>
    </w:p>
    <w:sectPr w:rsidR="00165441" w:rsidSect="0017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5441"/>
    <w:rsid w:val="00165441"/>
    <w:rsid w:val="0017305E"/>
    <w:rsid w:val="00560E4A"/>
    <w:rsid w:val="00642E7D"/>
    <w:rsid w:val="009F332B"/>
    <w:rsid w:val="00E4365B"/>
    <w:rsid w:val="00F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41"/>
    <w:pPr>
      <w:spacing w:before="100" w:beforeAutospacing="1" w:after="100" w:afterAutospacing="1" w:line="360" w:lineRule="auto"/>
      <w:ind w:left="425" w:hanging="425"/>
      <w:jc w:val="both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65441"/>
    <w:pPr>
      <w:spacing w:before="0" w:after="200" w:line="240" w:lineRule="auto"/>
    </w:pPr>
    <w:rPr>
      <w:b/>
      <w:bCs/>
      <w:color w:val="4472C4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441"/>
    <w:pPr>
      <w:spacing w:afterLines="100" w:afterAutospacing="0"/>
      <w:ind w:left="720" w:firstLine="0"/>
      <w:contextualSpacing/>
    </w:pPr>
  </w:style>
  <w:style w:type="table" w:styleId="TableGrid">
    <w:name w:val="Table Grid"/>
    <w:basedOn w:val="TableNormal"/>
    <w:uiPriority w:val="59"/>
    <w:rsid w:val="00165441"/>
    <w:pPr>
      <w:spacing w:beforeAutospacing="1" w:afterLines="100" w:line="240" w:lineRule="auto"/>
      <w:jc w:val="both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ify">
    <w:name w:val="linkify"/>
    <w:basedOn w:val="DefaultParagraphFont"/>
    <w:rsid w:val="00165441"/>
  </w:style>
  <w:style w:type="table" w:customStyle="1" w:styleId="PlainTable2">
    <w:name w:val="Plain Table 2"/>
    <w:basedOn w:val="TableNormal"/>
    <w:uiPriority w:val="42"/>
    <w:rsid w:val="00165441"/>
    <w:pPr>
      <w:spacing w:before="100" w:beforeAutospacing="1" w:after="0" w:afterAutospacing="1" w:line="240" w:lineRule="auto"/>
      <w:ind w:left="425" w:hanging="425"/>
      <w:jc w:val="both"/>
    </w:pPr>
    <w:rPr>
      <w:lang w:val="fr-FR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2E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7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Kus-Liśkiewicz</dc:creator>
  <cp:keywords/>
  <dc:description/>
  <cp:lastModifiedBy>0011692</cp:lastModifiedBy>
  <cp:revision>5</cp:revision>
  <dcterms:created xsi:type="dcterms:W3CDTF">2019-10-27T16:08:00Z</dcterms:created>
  <dcterms:modified xsi:type="dcterms:W3CDTF">2019-11-15T02:04:00Z</dcterms:modified>
</cp:coreProperties>
</file>