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1FA" w:rsidRPr="00F75026" w:rsidRDefault="00475176" w:rsidP="00F701FA">
      <w:pPr>
        <w:keepNext/>
        <w:spacing w:line="360" w:lineRule="auto"/>
        <w:jc w:val="both"/>
        <w:rPr>
          <w:rFonts w:asciiTheme="minorHAnsi" w:hAnsiTheme="minorHAnsi" w:cstheme="minorHAnsi"/>
          <w:sz w:val="22"/>
        </w:rPr>
      </w:pPr>
      <w:bookmarkStart w:id="0" w:name="_Ref10640740"/>
      <w:r>
        <w:rPr>
          <w:rFonts w:asciiTheme="minorHAnsi" w:hAnsiTheme="minorHAnsi" w:cstheme="minorHAnsi"/>
          <w:noProof/>
          <w:sz w:val="22"/>
        </w:rPr>
        <w:drawing>
          <wp:inline distT="0" distB="0" distL="0" distR="0">
            <wp:extent cx="5396230" cy="2624455"/>
            <wp:effectExtent l="0" t="0" r="127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FA" w:rsidRPr="00F75026" w:rsidRDefault="00F701FA" w:rsidP="00F701FA">
      <w:pPr>
        <w:spacing w:after="200" w:line="36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75026">
        <w:rPr>
          <w:rFonts w:asciiTheme="minorHAnsi" w:hAnsiTheme="minorHAnsi" w:cstheme="minorHAnsi"/>
          <w:b/>
          <w:iCs/>
          <w:sz w:val="20"/>
          <w:szCs w:val="18"/>
        </w:rPr>
        <w:t xml:space="preserve">Supplementary Figure </w:t>
      </w:r>
      <w:bookmarkEnd w:id="0"/>
      <w:r w:rsidRPr="00F75026">
        <w:rPr>
          <w:rFonts w:asciiTheme="minorHAnsi" w:hAnsiTheme="minorHAnsi" w:cstheme="minorHAnsi"/>
          <w:b/>
          <w:iCs/>
          <w:sz w:val="20"/>
          <w:szCs w:val="18"/>
        </w:rPr>
        <w:t>1.</w:t>
      </w:r>
      <w:r w:rsidRPr="00F75026">
        <w:rPr>
          <w:rFonts w:asciiTheme="minorHAnsi" w:hAnsiTheme="minorHAnsi" w:cstheme="minorHAnsi"/>
          <w:iCs/>
          <w:sz w:val="21"/>
          <w:szCs w:val="20"/>
        </w:rPr>
        <w:t xml:space="preserve"> Distribution of methylation levels in PCa patients according with metastatic dissemination. </w:t>
      </w:r>
      <w:r w:rsidRPr="00F75026">
        <w:rPr>
          <w:rFonts w:asciiTheme="minorHAnsi" w:hAnsiTheme="minorHAnsi" w:cstheme="minorHAnsi"/>
          <w:iCs/>
          <w:sz w:val="20"/>
          <w:szCs w:val="20"/>
        </w:rPr>
        <w:t xml:space="preserve">(A) </w:t>
      </w:r>
      <w:r w:rsidRPr="00F75026">
        <w:rPr>
          <w:rFonts w:asciiTheme="minorHAnsi" w:hAnsiTheme="minorHAnsi" w:cstheme="minorHAnsi"/>
          <w:i/>
          <w:sz w:val="20"/>
          <w:szCs w:val="20"/>
        </w:rPr>
        <w:t>APC</w:t>
      </w:r>
      <w:r w:rsidRPr="00F75026">
        <w:rPr>
          <w:rFonts w:asciiTheme="minorHAnsi" w:hAnsiTheme="minorHAnsi" w:cstheme="minorHAnsi"/>
          <w:iCs/>
          <w:sz w:val="20"/>
          <w:szCs w:val="20"/>
        </w:rPr>
        <w:t xml:space="preserve">, (B) </w:t>
      </w:r>
      <w:r w:rsidRPr="00F75026">
        <w:rPr>
          <w:rFonts w:asciiTheme="minorHAnsi" w:hAnsiTheme="minorHAnsi" w:cstheme="minorHAnsi"/>
          <w:i/>
          <w:sz w:val="20"/>
          <w:szCs w:val="20"/>
        </w:rPr>
        <w:t>GSTP1</w:t>
      </w:r>
      <w:r w:rsidRPr="00F75026">
        <w:rPr>
          <w:rFonts w:asciiTheme="minorHAnsi" w:hAnsiTheme="minorHAnsi" w:cstheme="minorHAnsi"/>
          <w:iCs/>
          <w:sz w:val="20"/>
          <w:szCs w:val="20"/>
        </w:rPr>
        <w:t xml:space="preserve">, (C) </w:t>
      </w:r>
      <w:r w:rsidRPr="00F75026">
        <w:rPr>
          <w:rFonts w:asciiTheme="minorHAnsi" w:hAnsiTheme="minorHAnsi" w:cstheme="minorHAnsi"/>
          <w:i/>
          <w:sz w:val="20"/>
          <w:szCs w:val="20"/>
        </w:rPr>
        <w:t>HOXD3</w:t>
      </w:r>
      <w:r w:rsidRPr="00F75026">
        <w:rPr>
          <w:rFonts w:asciiTheme="minorHAnsi" w:hAnsiTheme="minorHAnsi" w:cstheme="minorHAnsi"/>
          <w:iCs/>
          <w:sz w:val="20"/>
          <w:szCs w:val="20"/>
        </w:rPr>
        <w:t xml:space="preserve">, (D) </w:t>
      </w:r>
      <w:r w:rsidRPr="00F75026">
        <w:rPr>
          <w:rFonts w:asciiTheme="minorHAnsi" w:hAnsiTheme="minorHAnsi" w:cstheme="minorHAnsi"/>
          <w:i/>
          <w:sz w:val="20"/>
          <w:szCs w:val="20"/>
        </w:rPr>
        <w:t>RAR</w:t>
      </w:r>
      <w:r w:rsidRPr="00F75026">
        <w:rPr>
          <w:rFonts w:asciiTheme="minorHAnsi" w:hAnsiTheme="minorHAnsi" w:cstheme="minorHAnsi"/>
          <w:i/>
          <w:sz w:val="20"/>
          <w:szCs w:val="20"/>
        </w:rPr>
        <w:sym w:font="Symbol" w:char="F062"/>
      </w:r>
      <w:r w:rsidRPr="00F75026">
        <w:rPr>
          <w:rFonts w:asciiTheme="minorHAnsi" w:hAnsiTheme="minorHAnsi" w:cstheme="minorHAnsi"/>
          <w:i/>
          <w:sz w:val="20"/>
          <w:szCs w:val="20"/>
        </w:rPr>
        <w:t>2</w:t>
      </w:r>
      <w:r w:rsidRPr="00F75026">
        <w:rPr>
          <w:rFonts w:asciiTheme="minorHAnsi" w:hAnsiTheme="minorHAnsi" w:cstheme="minorHAnsi"/>
          <w:iCs/>
          <w:sz w:val="20"/>
          <w:szCs w:val="20"/>
        </w:rPr>
        <w:t xml:space="preserve">, (E) </w:t>
      </w:r>
      <w:r w:rsidRPr="00F75026">
        <w:rPr>
          <w:rFonts w:asciiTheme="minorHAnsi" w:hAnsiTheme="minorHAnsi" w:cstheme="minorHAnsi"/>
          <w:i/>
          <w:sz w:val="20"/>
          <w:szCs w:val="20"/>
        </w:rPr>
        <w:t>RASSF1A</w:t>
      </w:r>
      <w:r w:rsidRPr="00F75026">
        <w:rPr>
          <w:rFonts w:asciiTheme="minorHAnsi" w:hAnsiTheme="minorHAnsi" w:cstheme="minorHAnsi"/>
          <w:iCs/>
          <w:sz w:val="20"/>
          <w:szCs w:val="20"/>
        </w:rPr>
        <w:t xml:space="preserve"> and (F) </w:t>
      </w:r>
      <w:r w:rsidRPr="00F75026">
        <w:rPr>
          <w:rFonts w:asciiTheme="minorHAnsi" w:hAnsiTheme="minorHAnsi" w:cstheme="minorHAnsi"/>
          <w:i/>
          <w:sz w:val="20"/>
          <w:szCs w:val="20"/>
        </w:rPr>
        <w:t xml:space="preserve">SEPT9 </w:t>
      </w:r>
      <w:r w:rsidRPr="00F75026">
        <w:rPr>
          <w:rFonts w:asciiTheme="minorHAnsi" w:hAnsiTheme="minorHAnsi" w:cstheme="minorHAnsi"/>
          <w:iCs/>
          <w:sz w:val="20"/>
          <w:szCs w:val="20"/>
        </w:rPr>
        <w:t>promoter’s methylation levels between non-metastatic (M0) (n=116) and metastatic (M+) (n=5) PCa patients. Mann-Whitney U Test, ***</w:t>
      </w:r>
      <w:r w:rsidRPr="00673D75">
        <w:rPr>
          <w:rFonts w:asciiTheme="minorHAnsi" w:hAnsiTheme="minorHAnsi" w:cstheme="minorHAnsi"/>
          <w:i/>
          <w:sz w:val="20"/>
          <w:szCs w:val="20"/>
        </w:rPr>
        <w:t>p</w:t>
      </w:r>
      <w:r w:rsidRPr="00F75026">
        <w:rPr>
          <w:rFonts w:asciiTheme="minorHAnsi" w:hAnsiTheme="minorHAnsi" w:cstheme="minorHAnsi"/>
          <w:iCs/>
          <w:sz w:val="20"/>
          <w:szCs w:val="20"/>
        </w:rPr>
        <w:t>&lt;0.001, ****</w:t>
      </w:r>
      <w:r w:rsidRPr="00673D75">
        <w:rPr>
          <w:rFonts w:asciiTheme="minorHAnsi" w:hAnsiTheme="minorHAnsi" w:cstheme="minorHAnsi"/>
          <w:i/>
          <w:sz w:val="20"/>
          <w:szCs w:val="20"/>
        </w:rPr>
        <w:t>p</w:t>
      </w:r>
      <w:r w:rsidRPr="00F75026">
        <w:rPr>
          <w:rFonts w:asciiTheme="minorHAnsi" w:hAnsiTheme="minorHAnsi" w:cstheme="minorHAnsi"/>
          <w:iCs/>
          <w:sz w:val="20"/>
          <w:szCs w:val="20"/>
        </w:rPr>
        <w:t>&lt;0.0001. Red horizontal lines represent median methylation levels.</w:t>
      </w:r>
    </w:p>
    <w:p w:rsidR="00F701FA" w:rsidRDefault="00F701FA"/>
    <w:p w:rsidR="00F701FA" w:rsidRPr="0044295B" w:rsidRDefault="0044295B" w:rsidP="0044295B">
      <w:pPr>
        <w:jc w:val="center"/>
      </w:pPr>
      <w:r>
        <w:rPr>
          <w:noProof/>
        </w:rPr>
        <w:drawing>
          <wp:inline distT="0" distB="0" distL="0" distR="0">
            <wp:extent cx="3835400" cy="38989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lementary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FA" w:rsidRPr="00F75026" w:rsidRDefault="00F701FA" w:rsidP="00F701FA">
      <w:pPr>
        <w:spacing w:after="200" w:line="36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75026">
        <w:rPr>
          <w:rFonts w:asciiTheme="minorHAnsi" w:hAnsiTheme="minorHAnsi" w:cstheme="minorHAnsi"/>
          <w:b/>
          <w:bCs/>
          <w:iCs/>
          <w:sz w:val="20"/>
          <w:szCs w:val="20"/>
        </w:rPr>
        <w:t>Supplementary Figure 2</w:t>
      </w:r>
      <w:r w:rsidRPr="00F75026">
        <w:rPr>
          <w:rFonts w:asciiTheme="minorHAnsi" w:hAnsiTheme="minorHAnsi" w:cstheme="minorHAnsi"/>
          <w:iCs/>
          <w:sz w:val="20"/>
          <w:szCs w:val="20"/>
        </w:rPr>
        <w:t xml:space="preserve">. </w:t>
      </w:r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>Cumulative incidence function plots</w:t>
      </w:r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 </w:t>
      </w:r>
      <w:r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>according to clinicopathological variables (A) regional node, (B) distant metastasis, (C) clinical stage and (D) histological subtype in LC patients.</w:t>
      </w:r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 </w:t>
      </w:r>
      <w:r w:rsidR="00FE4D88" w:rsidRPr="00FE4D88">
        <w:rPr>
          <w:rFonts w:asciiTheme="minorHAnsi" w:hAnsiTheme="minorHAnsi" w:cstheme="minorHAnsi"/>
          <w:i/>
          <w:sz w:val="20"/>
          <w:szCs w:val="20"/>
          <w:highlight w:val="yellow"/>
        </w:rPr>
        <w:t>p</w:t>
      </w:r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-values obtained by </w:t>
      </w:r>
      <w:proofErr w:type="spellStart"/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>Gray’s</w:t>
      </w:r>
      <w:proofErr w:type="spellEnd"/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 test for disease-specific mortality.</w:t>
      </w:r>
    </w:p>
    <w:p w:rsidR="00F701FA" w:rsidRDefault="00F701FA"/>
    <w:p w:rsidR="00F701FA" w:rsidRPr="00F75026" w:rsidRDefault="0044295B" w:rsidP="00F701FA">
      <w:pPr>
        <w:spacing w:line="360" w:lineRule="auto"/>
        <w:jc w:val="center"/>
        <w:rPr>
          <w:rFonts w:asciiTheme="minorHAnsi" w:hAnsiTheme="minorHAnsi" w:cstheme="minorHAnsi"/>
          <w:b/>
          <w:caps/>
          <w:sz w:val="28"/>
        </w:rPr>
      </w:pPr>
      <w:r>
        <w:rPr>
          <w:rFonts w:asciiTheme="minorHAnsi" w:hAnsiTheme="minorHAnsi" w:cstheme="minorHAnsi"/>
          <w:b/>
          <w:caps/>
          <w:noProof/>
          <w:sz w:val="28"/>
        </w:rPr>
        <w:lastRenderedPageBreak/>
        <w:drawing>
          <wp:inline distT="0" distB="0" distL="0" distR="0">
            <wp:extent cx="5396230" cy="5468620"/>
            <wp:effectExtent l="0" t="0" r="127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D88" w:rsidRPr="00F75026" w:rsidRDefault="00F701FA" w:rsidP="00FE4D88">
      <w:pPr>
        <w:spacing w:after="200" w:line="36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E4D88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Supplementary Figure 3.</w:t>
      </w:r>
      <w:r w:rsidRPr="00FE4D88">
        <w:rPr>
          <w:rFonts w:asciiTheme="minorHAnsi" w:hAnsiTheme="minorHAnsi" w:cstheme="minorHAnsi"/>
          <w:b/>
          <w:bCs/>
          <w:sz w:val="21"/>
          <w:szCs w:val="21"/>
          <w:highlight w:val="yellow"/>
        </w:rPr>
        <w:t xml:space="preserve"> </w:t>
      </w:r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Cumulative incidence function plots 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according to clinicopathological variables (A) ISUP Grade Group, (B) serum PSA levels, (C) clinical stage, and (D) 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APC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, (E) 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GSTP1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, (F) 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RAR</w:t>
      </w:r>
      <w:r w:rsidRPr="00FE4D88">
        <w:rPr>
          <w:rFonts w:asciiTheme="minorHAnsi" w:hAnsiTheme="minorHAnsi" w:cstheme="minorHAnsi"/>
          <w:i/>
          <w:sz w:val="20"/>
          <w:szCs w:val="20"/>
          <w:highlight w:val="yellow"/>
        </w:rPr>
        <w:sym w:font="Symbol" w:char="F062"/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2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, (G) 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RASSF1A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, (H) 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SEPT9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, (I) 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SOX17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 promoter methylation levels in PCa patients.</w:t>
      </w:r>
      <w:r w:rsidR="00FE4D88"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 </w:t>
      </w:r>
      <w:r w:rsidR="00FE4D88" w:rsidRPr="00FE4D88">
        <w:rPr>
          <w:rFonts w:asciiTheme="minorHAnsi" w:hAnsiTheme="minorHAnsi" w:cstheme="minorHAnsi"/>
          <w:i/>
          <w:sz w:val="20"/>
          <w:szCs w:val="20"/>
          <w:highlight w:val="yellow"/>
        </w:rPr>
        <w:t>p</w:t>
      </w:r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-values obtained by </w:t>
      </w:r>
      <w:proofErr w:type="spellStart"/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>Gray’s</w:t>
      </w:r>
      <w:proofErr w:type="spellEnd"/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 test for disease-specific mortality.</w:t>
      </w:r>
    </w:p>
    <w:p w:rsidR="00F701FA" w:rsidRPr="00F75026" w:rsidRDefault="00F701FA" w:rsidP="00F701FA">
      <w:pPr>
        <w:spacing w:after="20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F701FA" w:rsidRDefault="00F701FA" w:rsidP="00F701FA">
      <w:pPr>
        <w:spacing w:after="200" w:line="360" w:lineRule="auto"/>
        <w:jc w:val="both"/>
      </w:pPr>
    </w:p>
    <w:p w:rsidR="00391F27" w:rsidRPr="00F75026" w:rsidRDefault="00391F27" w:rsidP="00F701FA">
      <w:pPr>
        <w:spacing w:after="20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F701FA" w:rsidRPr="00F75026" w:rsidRDefault="0044295B" w:rsidP="00F701FA">
      <w:pPr>
        <w:spacing w:line="360" w:lineRule="auto"/>
        <w:jc w:val="center"/>
        <w:rPr>
          <w:rFonts w:asciiTheme="minorHAnsi" w:hAnsiTheme="minorHAnsi" w:cstheme="minorHAnsi"/>
          <w:b/>
          <w:caps/>
          <w:sz w:val="28"/>
        </w:rPr>
      </w:pPr>
      <w:r>
        <w:rPr>
          <w:rFonts w:asciiTheme="minorHAnsi" w:hAnsiTheme="minorHAnsi" w:cstheme="minorHAnsi"/>
          <w:b/>
          <w:caps/>
          <w:noProof/>
          <w:sz w:val="28"/>
        </w:rPr>
        <w:lastRenderedPageBreak/>
        <w:drawing>
          <wp:inline distT="0" distB="0" distL="0" distR="0">
            <wp:extent cx="3835400" cy="38227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lementary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D88" w:rsidRPr="00F75026" w:rsidRDefault="00F701FA" w:rsidP="00FE4D88">
      <w:pPr>
        <w:spacing w:after="200" w:line="36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E4D88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Supplementary Figure 4.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 </w:t>
      </w:r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Cumulative incidence function plots 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according to clinicopathological variable (A) distant metastasis, and (B) 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RAR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sym w:font="Symbol" w:char="F062"/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2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, (C) 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SEPT9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 and (D) </w:t>
      </w:r>
      <w:r w:rsidRPr="00FE4D88">
        <w:rPr>
          <w:rFonts w:asciiTheme="minorHAnsi" w:hAnsiTheme="minorHAnsi" w:cstheme="minorHAnsi"/>
          <w:i/>
          <w:iCs/>
          <w:sz w:val="20"/>
          <w:szCs w:val="20"/>
          <w:highlight w:val="yellow"/>
        </w:rPr>
        <w:t>SOX17</w:t>
      </w:r>
      <w:r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 promoter methylation levels in CRC patients.</w:t>
      </w:r>
      <w:r w:rsidR="00FE4D88" w:rsidRPr="00FE4D88">
        <w:rPr>
          <w:rFonts w:asciiTheme="minorHAnsi" w:hAnsiTheme="minorHAnsi" w:cstheme="minorHAnsi"/>
          <w:sz w:val="20"/>
          <w:szCs w:val="20"/>
          <w:highlight w:val="yellow"/>
        </w:rPr>
        <w:t xml:space="preserve"> </w:t>
      </w:r>
      <w:r w:rsidR="00FE4D88" w:rsidRPr="00FE4D88">
        <w:rPr>
          <w:rFonts w:asciiTheme="minorHAnsi" w:hAnsiTheme="minorHAnsi" w:cstheme="minorHAnsi"/>
          <w:i/>
          <w:sz w:val="20"/>
          <w:szCs w:val="20"/>
          <w:highlight w:val="yellow"/>
        </w:rPr>
        <w:t>p</w:t>
      </w:r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-values obtained by </w:t>
      </w:r>
      <w:proofErr w:type="spellStart"/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>Gray’s</w:t>
      </w:r>
      <w:proofErr w:type="spellEnd"/>
      <w:r w:rsidR="00FE4D88" w:rsidRPr="00FE4D88">
        <w:rPr>
          <w:rFonts w:asciiTheme="minorHAnsi" w:hAnsiTheme="minorHAnsi" w:cstheme="minorHAnsi"/>
          <w:iCs/>
          <w:sz w:val="20"/>
          <w:szCs w:val="20"/>
          <w:highlight w:val="yellow"/>
        </w:rPr>
        <w:t xml:space="preserve"> test for disease-specific mortality.</w:t>
      </w:r>
    </w:p>
    <w:p w:rsidR="00F701FA" w:rsidRPr="00F75026" w:rsidRDefault="00F701FA" w:rsidP="00F701FA">
      <w:pPr>
        <w:spacing w:after="200"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1" w:name="_GoBack"/>
      <w:bookmarkEnd w:id="1"/>
    </w:p>
    <w:p w:rsidR="00F701FA" w:rsidRDefault="00F701FA"/>
    <w:sectPr w:rsidR="00F701FA" w:rsidSect="00391F27">
      <w:pgSz w:w="11900" w:h="16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DAB" w:rsidRDefault="00EF3DAB" w:rsidP="00F701FA">
      <w:r>
        <w:separator/>
      </w:r>
    </w:p>
  </w:endnote>
  <w:endnote w:type="continuationSeparator" w:id="0">
    <w:p w:rsidR="00EF3DAB" w:rsidRDefault="00EF3DAB" w:rsidP="00F70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DAB" w:rsidRDefault="00EF3DAB" w:rsidP="00F701FA">
      <w:r>
        <w:separator/>
      </w:r>
    </w:p>
  </w:footnote>
  <w:footnote w:type="continuationSeparator" w:id="0">
    <w:p w:rsidR="00EF3DAB" w:rsidRDefault="00EF3DAB" w:rsidP="00F701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1FA"/>
    <w:rsid w:val="00033192"/>
    <w:rsid w:val="0003340D"/>
    <w:rsid w:val="00084C06"/>
    <w:rsid w:val="00132C43"/>
    <w:rsid w:val="00137EA9"/>
    <w:rsid w:val="00145816"/>
    <w:rsid w:val="002715E5"/>
    <w:rsid w:val="002B19E7"/>
    <w:rsid w:val="00310B5E"/>
    <w:rsid w:val="00391F27"/>
    <w:rsid w:val="00425BCE"/>
    <w:rsid w:val="0044295B"/>
    <w:rsid w:val="00475176"/>
    <w:rsid w:val="004B3B27"/>
    <w:rsid w:val="004C1D2E"/>
    <w:rsid w:val="0053050E"/>
    <w:rsid w:val="0053299B"/>
    <w:rsid w:val="005F03A7"/>
    <w:rsid w:val="00635811"/>
    <w:rsid w:val="0065177A"/>
    <w:rsid w:val="00651C31"/>
    <w:rsid w:val="00673D75"/>
    <w:rsid w:val="00685C28"/>
    <w:rsid w:val="006B5F32"/>
    <w:rsid w:val="007B5CB7"/>
    <w:rsid w:val="007E6111"/>
    <w:rsid w:val="00814755"/>
    <w:rsid w:val="008662E9"/>
    <w:rsid w:val="008A32F1"/>
    <w:rsid w:val="008D2964"/>
    <w:rsid w:val="008E4B18"/>
    <w:rsid w:val="0093284A"/>
    <w:rsid w:val="009D6EC0"/>
    <w:rsid w:val="009E1DBA"/>
    <w:rsid w:val="00AA3DBE"/>
    <w:rsid w:val="00B31027"/>
    <w:rsid w:val="00C25908"/>
    <w:rsid w:val="00CD7761"/>
    <w:rsid w:val="00D2569E"/>
    <w:rsid w:val="00D31A76"/>
    <w:rsid w:val="00DB3BBC"/>
    <w:rsid w:val="00DF751A"/>
    <w:rsid w:val="00E51D18"/>
    <w:rsid w:val="00EC0D65"/>
    <w:rsid w:val="00ED3890"/>
    <w:rsid w:val="00EF0513"/>
    <w:rsid w:val="00EF3DAB"/>
    <w:rsid w:val="00F37FAD"/>
    <w:rsid w:val="00F701FA"/>
    <w:rsid w:val="00FE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A1C12"/>
  <w14:defaultImageDpi w14:val="32767"/>
  <w15:chartTrackingRefBased/>
  <w15:docId w15:val="{461CDD45-9140-4942-9613-25C869A1F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701FA"/>
    <w:rPr>
      <w:rFonts w:ascii="Times New Roman" w:eastAsia="Times New Roman" w:hAnsi="Times New Roman" w:cs="Times New Roman"/>
      <w:lang w:val="en-GB" w:eastAsia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F701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itulo-indice">
    <w:name w:val="subtitulo - indice"/>
    <w:basedOn w:val="Ttulo1"/>
    <w:qFormat/>
    <w:rsid w:val="00F701FA"/>
    <w:rPr>
      <w:rFonts w:ascii="Arial" w:hAnsi="Arial" w:cs="Arial"/>
      <w:color w:val="auto"/>
      <w:sz w:val="28"/>
      <w:szCs w:val="24"/>
    </w:rPr>
  </w:style>
  <w:style w:type="table" w:styleId="TabelacomGrelha">
    <w:name w:val="Table Grid"/>
    <w:basedOn w:val="Tabelanormal"/>
    <w:uiPriority w:val="39"/>
    <w:rsid w:val="00F701FA"/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F701F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F701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F701FA"/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F701F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701FA"/>
    <w:rPr>
      <w:rFonts w:ascii="Times New Roman" w:eastAsia="Times New Roman" w:hAnsi="Times New Roman" w:cs="Times New Roman"/>
      <w:lang w:val="en-GB" w:eastAsia="pt-PT"/>
    </w:rPr>
  </w:style>
  <w:style w:type="paragraph" w:styleId="Rodap">
    <w:name w:val="footer"/>
    <w:basedOn w:val="Normal"/>
    <w:link w:val="RodapCarter"/>
    <w:uiPriority w:val="99"/>
    <w:unhideWhenUsed/>
    <w:rsid w:val="00F701F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701FA"/>
    <w:rPr>
      <w:rFonts w:ascii="Times New Roman" w:eastAsia="Times New Roman" w:hAnsi="Times New Roman" w:cs="Times New Roman"/>
      <w:lang w:val="en-GB" w:eastAsia="pt-PT"/>
    </w:rPr>
  </w:style>
  <w:style w:type="character" w:styleId="Nmerodepgina">
    <w:name w:val="page number"/>
    <w:basedOn w:val="Tipodeletrapredefinidodopargrafo"/>
    <w:uiPriority w:val="99"/>
    <w:semiHidden/>
    <w:unhideWhenUsed/>
    <w:rsid w:val="00F701FA"/>
  </w:style>
  <w:style w:type="paragraph" w:styleId="Textodebalo">
    <w:name w:val="Balloon Text"/>
    <w:basedOn w:val="Normal"/>
    <w:link w:val="TextodebaloCarter"/>
    <w:uiPriority w:val="99"/>
    <w:semiHidden/>
    <w:unhideWhenUsed/>
    <w:rsid w:val="0044295B"/>
    <w:rPr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4295B"/>
    <w:rPr>
      <w:rFonts w:ascii="Times New Roman" w:eastAsia="Times New Roman" w:hAnsi="Times New Roman" w:cs="Times New Roman"/>
      <w:sz w:val="18"/>
      <w:szCs w:val="18"/>
      <w:lang w:val="en-GB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23AC7F-C226-D648-8AD6-F098250E8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204</Words>
  <Characters>1102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Constâncio</dc:creator>
  <cp:keywords/>
  <dc:description/>
  <cp:lastModifiedBy>Vera Constâncio</cp:lastModifiedBy>
  <cp:revision>7</cp:revision>
  <dcterms:created xsi:type="dcterms:W3CDTF">2019-07-27T14:25:00Z</dcterms:created>
  <dcterms:modified xsi:type="dcterms:W3CDTF">2019-10-24T15:27:00Z</dcterms:modified>
</cp:coreProperties>
</file>