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0B" w:rsidRPr="00D04D25" w:rsidRDefault="00AE060B" w:rsidP="00AE060B">
      <w:pPr>
        <w:rPr>
          <w:b/>
          <w:sz w:val="24"/>
        </w:rPr>
      </w:pPr>
      <w:r w:rsidRPr="00D04D25">
        <w:rPr>
          <w:b/>
          <w:sz w:val="24"/>
        </w:rPr>
        <w:t xml:space="preserve">SUPPLEMENTARY </w:t>
      </w:r>
      <w:r w:rsidR="00AD092B">
        <w:rPr>
          <w:b/>
          <w:sz w:val="24"/>
        </w:rPr>
        <w:t>NOTE</w:t>
      </w:r>
    </w:p>
    <w:p w:rsidR="00AE060B" w:rsidRPr="00D04D25" w:rsidRDefault="00AE060B" w:rsidP="00AE060B">
      <w:pPr>
        <w:pStyle w:val="ListParagraph"/>
        <w:numPr>
          <w:ilvl w:val="0"/>
          <w:numId w:val="1"/>
        </w:numPr>
        <w:rPr>
          <w:b/>
          <w:sz w:val="24"/>
        </w:rPr>
      </w:pPr>
      <w:r w:rsidRPr="00D04D25">
        <w:rPr>
          <w:b/>
          <w:sz w:val="24"/>
        </w:rPr>
        <w:t xml:space="preserve">Generation of High impact variant </w:t>
      </w:r>
      <w:r w:rsidR="009A475D">
        <w:rPr>
          <w:b/>
          <w:sz w:val="24"/>
        </w:rPr>
        <w:t>consequence</w:t>
      </w:r>
    </w:p>
    <w:p w:rsidR="00AE060B" w:rsidRDefault="00AE060B" w:rsidP="00AE060B">
      <w:pPr>
        <w:pStyle w:val="ListParagraph"/>
        <w:rPr>
          <w:sz w:val="24"/>
        </w:rPr>
      </w:pPr>
      <w:r w:rsidRPr="00D04D25">
        <w:rPr>
          <w:sz w:val="24"/>
        </w:rPr>
        <w:t>We used ENSEMBL Variant Effect Predictor (VEP) software (</w:t>
      </w:r>
      <w:hyperlink r:id="rId5" w:history="1">
        <w:r w:rsidRPr="00D04D25">
          <w:rPr>
            <w:rStyle w:val="Hyperlink"/>
            <w:sz w:val="24"/>
          </w:rPr>
          <w:t>http://www.ensembl.org/info/docs/tools/vep/index.html</w:t>
        </w:r>
      </w:hyperlink>
      <w:r w:rsidRPr="00D04D25">
        <w:rPr>
          <w:sz w:val="24"/>
        </w:rPr>
        <w:t xml:space="preserve"> ) to assign every variant a binary flag based on whether it was annotated with one of the “high impact” classifiers as described in VEP documentation (</w:t>
      </w:r>
      <w:hyperlink r:id="rId6" w:history="1">
        <w:r w:rsidRPr="00D04D25">
          <w:rPr>
            <w:rStyle w:val="Hyperlink"/>
            <w:sz w:val="24"/>
          </w:rPr>
          <w:t>http://www.ensembl.org/info/genome/variation/prediction/predicted_data.html</w:t>
        </w:r>
      </w:hyperlink>
      <w:r w:rsidRPr="00D04D25">
        <w:rPr>
          <w:sz w:val="24"/>
        </w:rPr>
        <w:t xml:space="preserve"> ).</w:t>
      </w:r>
      <w:r w:rsidR="00E5530A">
        <w:rPr>
          <w:sz w:val="24"/>
        </w:rPr>
        <w:t xml:space="preserve"> One could use other variant annotation software packages to generate “high impact” </w:t>
      </w:r>
      <w:r w:rsidR="00926187">
        <w:rPr>
          <w:sz w:val="24"/>
        </w:rPr>
        <w:t xml:space="preserve">consequence </w:t>
      </w:r>
      <w:r w:rsidR="00E5530A">
        <w:rPr>
          <w:sz w:val="24"/>
        </w:rPr>
        <w:t>classifiers.</w:t>
      </w:r>
    </w:p>
    <w:p w:rsidR="005F08B1" w:rsidRDefault="005F08B1" w:rsidP="00AE060B">
      <w:pPr>
        <w:pStyle w:val="ListParagraph"/>
        <w:rPr>
          <w:sz w:val="24"/>
        </w:rPr>
      </w:pPr>
    </w:p>
    <w:p w:rsidR="005F08B1" w:rsidRPr="005F08B1" w:rsidRDefault="005F08B1" w:rsidP="005F08B1">
      <w:pPr>
        <w:pStyle w:val="ListParagraph"/>
        <w:numPr>
          <w:ilvl w:val="0"/>
          <w:numId w:val="1"/>
        </w:numPr>
        <w:rPr>
          <w:b/>
          <w:sz w:val="24"/>
        </w:rPr>
      </w:pPr>
      <w:r w:rsidRPr="005F08B1">
        <w:rPr>
          <w:b/>
          <w:sz w:val="24"/>
        </w:rPr>
        <w:t xml:space="preserve">Preparing snpfile </w:t>
      </w:r>
    </w:p>
    <w:p w:rsidR="005F08B1" w:rsidRPr="00D04D25" w:rsidRDefault="005F08B1" w:rsidP="005F08B1">
      <w:pPr>
        <w:pStyle w:val="ListParagraph"/>
        <w:rPr>
          <w:sz w:val="24"/>
        </w:rPr>
      </w:pPr>
      <w:r>
        <w:rPr>
          <w:sz w:val="24"/>
        </w:rPr>
        <w:t xml:space="preserve">We have provided a Perl utility script in our GitHub </w:t>
      </w:r>
      <w:r w:rsidRPr="005F08B1">
        <w:rPr>
          <w:sz w:val="24"/>
        </w:rPr>
        <w:t>page that can parse the summary statistics file to prepare a loci information (snpfile). The script calls a locus if the p-value is beyond a certain threshold and the variant is certain distance away from the adjacent locus. The gene name assigned to a variant are proximity based. There are 2 gene databases that we have provided in our GitHub page for hg19 &amp; hg38 from PLINK website (https://www.cog-genomics.org/plink/1.9/resources#genelist) but as long as the gene database is formatted accordingly, the script can cope with future builds too assuming the summary statistics also are from that genome build.</w:t>
      </w:r>
      <w:r w:rsidR="002D5A6E">
        <w:rPr>
          <w:sz w:val="24"/>
        </w:rPr>
        <w:t xml:space="preserve"> </w:t>
      </w:r>
      <w:r w:rsidR="002D5A6E" w:rsidRPr="002D5A6E">
        <w:rPr>
          <w:sz w:val="24"/>
        </w:rPr>
        <w:t>The analyst still need to add a column describing which locus is known/novel.</w:t>
      </w:r>
    </w:p>
    <w:p w:rsidR="00AE060B" w:rsidRPr="00D04D25" w:rsidRDefault="00AE060B" w:rsidP="00AE060B">
      <w:pPr>
        <w:pStyle w:val="ListParagraph"/>
        <w:rPr>
          <w:sz w:val="24"/>
        </w:rPr>
      </w:pPr>
    </w:p>
    <w:p w:rsidR="00AE060B" w:rsidRPr="00D04D25" w:rsidRDefault="00AE060B" w:rsidP="00AE060B">
      <w:pPr>
        <w:pStyle w:val="ListParagraph"/>
        <w:numPr>
          <w:ilvl w:val="0"/>
          <w:numId w:val="1"/>
        </w:numPr>
        <w:rPr>
          <w:b/>
          <w:sz w:val="24"/>
        </w:rPr>
      </w:pPr>
      <w:r w:rsidRPr="00D04D25">
        <w:rPr>
          <w:b/>
          <w:sz w:val="24"/>
        </w:rPr>
        <w:t>Existing software packages and their output</w:t>
      </w:r>
    </w:p>
    <w:p w:rsidR="00AE060B" w:rsidRPr="00D04D25" w:rsidRDefault="00AE060B" w:rsidP="00AE060B">
      <w:pPr>
        <w:pStyle w:val="ListParagraph"/>
        <w:rPr>
          <w:sz w:val="24"/>
        </w:rPr>
      </w:pPr>
      <w:r w:rsidRPr="00D04D25">
        <w:rPr>
          <w:sz w:val="24"/>
        </w:rPr>
        <w:t>Manhattan plots generated from existing softwar</w:t>
      </w:r>
      <w:r w:rsidR="00834EF6">
        <w:rPr>
          <w:sz w:val="24"/>
        </w:rPr>
        <w:t>e packages/script. The data plotted</w:t>
      </w:r>
      <w:r w:rsidRPr="00D04D25">
        <w:rPr>
          <w:sz w:val="24"/>
        </w:rPr>
        <w:t xml:space="preserve"> is the same</w:t>
      </w:r>
      <w:r w:rsidR="00834EF6">
        <w:rPr>
          <w:sz w:val="24"/>
        </w:rPr>
        <w:t xml:space="preserve"> as </w:t>
      </w:r>
      <w:r w:rsidR="00303EF5">
        <w:rPr>
          <w:sz w:val="24"/>
        </w:rPr>
        <w:t>which</w:t>
      </w:r>
      <w:r w:rsidR="00834EF6">
        <w:rPr>
          <w:sz w:val="24"/>
        </w:rPr>
        <w:t xml:space="preserve"> was used to plot in </w:t>
      </w:r>
      <w:r w:rsidR="00C10FD6">
        <w:rPr>
          <w:sz w:val="24"/>
        </w:rPr>
        <w:t>Figure 2</w:t>
      </w:r>
      <w:r w:rsidR="00834EF6">
        <w:rPr>
          <w:sz w:val="24"/>
        </w:rPr>
        <w:t xml:space="preserve"> (</w:t>
      </w:r>
      <w:r w:rsidRPr="00D04D25">
        <w:rPr>
          <w:sz w:val="24"/>
        </w:rPr>
        <w:t>from the CARDIoGRAMplusC4D 2015 Nature Genetics summary statistics</w:t>
      </w:r>
      <w:r w:rsidR="00834EF6">
        <w:rPr>
          <w:sz w:val="24"/>
        </w:rPr>
        <w:t>)</w:t>
      </w:r>
      <w:r w:rsidRPr="00D04D25">
        <w:rPr>
          <w:sz w:val="24"/>
        </w:rPr>
        <w:t>.</w:t>
      </w:r>
      <w:r>
        <w:rPr>
          <w:sz w:val="24"/>
        </w:rPr>
        <w:t xml:space="preserve"> This data can be accessed from the GIT Hub project page.</w:t>
      </w:r>
    </w:p>
    <w:p w:rsidR="00AE060B" w:rsidRPr="00D04D25" w:rsidRDefault="00AE060B" w:rsidP="00AE060B">
      <w:pPr>
        <w:pStyle w:val="ListParagraph"/>
        <w:rPr>
          <w:sz w:val="24"/>
        </w:rPr>
      </w:pPr>
    </w:p>
    <w:p w:rsidR="00AE060B" w:rsidRDefault="00B9665D" w:rsidP="008614F1">
      <w:pPr>
        <w:pStyle w:val="ListParagraph"/>
        <w:numPr>
          <w:ilvl w:val="0"/>
          <w:numId w:val="2"/>
        </w:numPr>
      </w:pPr>
      <w:hyperlink r:id="rId7" w:history="1">
        <w:r w:rsidR="00AE060B" w:rsidRPr="00D04D25">
          <w:rPr>
            <w:rStyle w:val="Hyperlink"/>
            <w:sz w:val="24"/>
          </w:rPr>
          <w:t>https://genome.sph.umich.edu/wiki/Code_Sample:_Generating_Manhattan_Plots_in_R</w:t>
        </w:r>
      </w:hyperlink>
      <w:r w:rsidR="00AE060B">
        <w:tab/>
      </w:r>
    </w:p>
    <w:p w:rsidR="00AE060B" w:rsidRDefault="00AE060B" w:rsidP="00AE060B">
      <w:pPr>
        <w:ind w:left="360"/>
      </w:pPr>
      <w:r>
        <w:rPr>
          <w:noProof/>
          <w:lang w:eastAsia="en-GB"/>
        </w:rPr>
        <w:lastRenderedPageBreak/>
        <w:drawing>
          <wp:inline distT="0" distB="0" distL="0" distR="0" wp14:anchorId="59A6189F" wp14:editId="540B6659">
            <wp:extent cx="5731510" cy="39300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7AE" w:rsidRDefault="000C47AE" w:rsidP="00AE060B">
      <w:pPr>
        <w:ind w:left="360" w:firstLine="360"/>
      </w:pPr>
    </w:p>
    <w:p w:rsidR="000C47AE" w:rsidRDefault="000C47AE" w:rsidP="00AE060B">
      <w:pPr>
        <w:ind w:left="360" w:firstLine="360"/>
      </w:pPr>
    </w:p>
    <w:p w:rsidR="000C47AE" w:rsidRDefault="000C47AE" w:rsidP="00AE060B">
      <w:pPr>
        <w:ind w:left="360" w:firstLine="360"/>
      </w:pPr>
    </w:p>
    <w:p w:rsidR="000C47AE" w:rsidRDefault="000C47AE" w:rsidP="00AE060B">
      <w:pPr>
        <w:ind w:left="360" w:firstLine="360"/>
      </w:pPr>
    </w:p>
    <w:p w:rsidR="000C47AE" w:rsidRDefault="000C47AE" w:rsidP="00AE060B">
      <w:pPr>
        <w:ind w:left="360" w:firstLine="360"/>
      </w:pPr>
    </w:p>
    <w:p w:rsidR="00AE060B" w:rsidRDefault="00AE060B" w:rsidP="008614F1">
      <w:pPr>
        <w:pStyle w:val="ListParagraph"/>
        <w:numPr>
          <w:ilvl w:val="0"/>
          <w:numId w:val="2"/>
        </w:numPr>
      </w:pPr>
      <w:r>
        <w:t xml:space="preserve">QQMAN: </w:t>
      </w:r>
    </w:p>
    <w:p w:rsidR="00AE060B" w:rsidRDefault="00AE060B" w:rsidP="00AE060B">
      <w:pPr>
        <w:ind w:left="360"/>
      </w:pPr>
      <w:r>
        <w:rPr>
          <w:noProof/>
          <w:lang w:eastAsia="en-GB"/>
        </w:rPr>
        <w:lastRenderedPageBreak/>
        <w:drawing>
          <wp:inline distT="0" distB="0" distL="0" distR="0" wp14:anchorId="54625553" wp14:editId="5B7027B1">
            <wp:extent cx="5731510" cy="3790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78A" w:rsidRDefault="009F678A" w:rsidP="009F678A">
      <w:pPr>
        <w:pStyle w:val="ListParagraph"/>
        <w:numPr>
          <w:ilvl w:val="0"/>
          <w:numId w:val="1"/>
        </w:numPr>
        <w:rPr>
          <w:b/>
          <w:sz w:val="24"/>
        </w:rPr>
      </w:pPr>
      <w:r w:rsidRPr="009F678A">
        <w:rPr>
          <w:b/>
          <w:sz w:val="24"/>
        </w:rPr>
        <w:t>Comparison of existing Manhattan software with Manhattan++</w:t>
      </w:r>
    </w:p>
    <w:p w:rsidR="009F678A" w:rsidRPr="009F678A" w:rsidRDefault="009F678A" w:rsidP="009F678A">
      <w:pPr>
        <w:ind w:left="360"/>
        <w:rPr>
          <w:sz w:val="24"/>
        </w:rPr>
      </w:pPr>
      <w:r>
        <w:rPr>
          <w:sz w:val="24"/>
        </w:rPr>
        <w:t>Supplementary Table 1. Comparison of the functionalities between existing Manhattan software tools and Manhattan++.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276"/>
        <w:gridCol w:w="1275"/>
        <w:gridCol w:w="1650"/>
      </w:tblGrid>
      <w:tr w:rsidR="009F678A" w:rsidTr="00B778F9">
        <w:tc>
          <w:tcPr>
            <w:tcW w:w="3539" w:type="dxa"/>
          </w:tcPr>
          <w:p w:rsidR="009F678A" w:rsidRDefault="009F678A" w:rsidP="00B778F9"/>
        </w:tc>
        <w:tc>
          <w:tcPr>
            <w:tcW w:w="1276" w:type="dxa"/>
          </w:tcPr>
          <w:p w:rsidR="009F678A" w:rsidRDefault="009F678A" w:rsidP="00B778F9">
            <w:r>
              <w:t>UMich</w:t>
            </w:r>
          </w:p>
        </w:tc>
        <w:tc>
          <w:tcPr>
            <w:tcW w:w="1276" w:type="dxa"/>
          </w:tcPr>
          <w:p w:rsidR="009F678A" w:rsidRDefault="009F678A" w:rsidP="00B778F9">
            <w:r>
              <w:t>QQMAN</w:t>
            </w:r>
          </w:p>
        </w:tc>
        <w:tc>
          <w:tcPr>
            <w:tcW w:w="1275" w:type="dxa"/>
          </w:tcPr>
          <w:p w:rsidR="009F678A" w:rsidRDefault="009F678A" w:rsidP="00B778F9">
            <w:r>
              <w:t>GWAMA</w:t>
            </w:r>
          </w:p>
        </w:tc>
        <w:tc>
          <w:tcPr>
            <w:tcW w:w="1650" w:type="dxa"/>
          </w:tcPr>
          <w:p w:rsidR="009F678A" w:rsidRDefault="009F678A" w:rsidP="00B778F9">
            <w:r>
              <w:t>Manhattan++</w:t>
            </w:r>
          </w:p>
        </w:tc>
      </w:tr>
      <w:tr w:rsidR="009F678A" w:rsidTr="00B778F9">
        <w:tc>
          <w:tcPr>
            <w:tcW w:w="3539" w:type="dxa"/>
          </w:tcPr>
          <w:p w:rsidR="009F678A" w:rsidRDefault="009F678A" w:rsidP="00B778F9">
            <w:r>
              <w:t>Software language</w:t>
            </w:r>
          </w:p>
        </w:tc>
        <w:tc>
          <w:tcPr>
            <w:tcW w:w="1276" w:type="dxa"/>
          </w:tcPr>
          <w:p w:rsidR="009F678A" w:rsidRDefault="009F678A" w:rsidP="00B778F9">
            <w:r>
              <w:t>R</w:t>
            </w:r>
          </w:p>
        </w:tc>
        <w:tc>
          <w:tcPr>
            <w:tcW w:w="1276" w:type="dxa"/>
          </w:tcPr>
          <w:p w:rsidR="009F678A" w:rsidRDefault="009F678A" w:rsidP="00B778F9">
            <w:r>
              <w:t>R</w:t>
            </w:r>
          </w:p>
        </w:tc>
        <w:tc>
          <w:tcPr>
            <w:tcW w:w="1275" w:type="dxa"/>
          </w:tcPr>
          <w:p w:rsidR="009F678A" w:rsidRDefault="009F678A" w:rsidP="00B778F9">
            <w:r>
              <w:t>R</w:t>
            </w:r>
          </w:p>
        </w:tc>
        <w:tc>
          <w:tcPr>
            <w:tcW w:w="1650" w:type="dxa"/>
          </w:tcPr>
          <w:p w:rsidR="009F678A" w:rsidRDefault="009F678A" w:rsidP="00B778F9">
            <w:r>
              <w:t>R</w:t>
            </w:r>
          </w:p>
        </w:tc>
      </w:tr>
      <w:tr w:rsidR="009F678A" w:rsidTr="00B778F9">
        <w:tc>
          <w:tcPr>
            <w:tcW w:w="3539" w:type="dxa"/>
          </w:tcPr>
          <w:p w:rsidR="009F678A" w:rsidRDefault="009F678A" w:rsidP="00B778F9">
            <w:r>
              <w:t>Software version number (date where version not available)</w:t>
            </w:r>
          </w:p>
        </w:tc>
        <w:tc>
          <w:tcPr>
            <w:tcW w:w="1276" w:type="dxa"/>
          </w:tcPr>
          <w:p w:rsidR="009F678A" w:rsidRDefault="009F678A" w:rsidP="00B778F9">
            <w:r>
              <w:t>Sep-2019</w:t>
            </w:r>
          </w:p>
        </w:tc>
        <w:tc>
          <w:tcPr>
            <w:tcW w:w="1276" w:type="dxa"/>
          </w:tcPr>
          <w:p w:rsidR="009F678A" w:rsidRDefault="009F678A" w:rsidP="00B778F9">
            <w:r>
              <w:t>0.1.4</w:t>
            </w:r>
          </w:p>
        </w:tc>
        <w:tc>
          <w:tcPr>
            <w:tcW w:w="1275" w:type="dxa"/>
          </w:tcPr>
          <w:p w:rsidR="009F678A" w:rsidRDefault="009F678A" w:rsidP="00B778F9">
            <w:r>
              <w:t>Sep-2019</w:t>
            </w:r>
          </w:p>
        </w:tc>
        <w:tc>
          <w:tcPr>
            <w:tcW w:w="1650" w:type="dxa"/>
          </w:tcPr>
          <w:p w:rsidR="009F678A" w:rsidRDefault="009F678A" w:rsidP="00B778F9">
            <w:r>
              <w:t>1.0</w:t>
            </w:r>
          </w:p>
        </w:tc>
      </w:tr>
      <w:tr w:rsidR="009F678A" w:rsidTr="00B778F9">
        <w:tc>
          <w:tcPr>
            <w:tcW w:w="3539" w:type="dxa"/>
          </w:tcPr>
          <w:p w:rsidR="009F678A" w:rsidRDefault="009F678A" w:rsidP="00B778F9">
            <w:r>
              <w:t>Gene name</w:t>
            </w:r>
          </w:p>
        </w:tc>
        <w:tc>
          <w:tcPr>
            <w:tcW w:w="1276" w:type="dxa"/>
          </w:tcPr>
          <w:p w:rsidR="009F678A" w:rsidRDefault="009F678A" w:rsidP="00B778F9">
            <w:r>
              <w:t>Yes</w:t>
            </w:r>
          </w:p>
        </w:tc>
        <w:tc>
          <w:tcPr>
            <w:tcW w:w="1276" w:type="dxa"/>
          </w:tcPr>
          <w:p w:rsidR="009F678A" w:rsidRDefault="009F678A" w:rsidP="00B778F9">
            <w:r>
              <w:t>Yes</w:t>
            </w:r>
          </w:p>
        </w:tc>
        <w:tc>
          <w:tcPr>
            <w:tcW w:w="1275" w:type="dxa"/>
          </w:tcPr>
          <w:p w:rsidR="009F678A" w:rsidRDefault="009F678A" w:rsidP="00B778F9">
            <w:r>
              <w:t>No</w:t>
            </w:r>
          </w:p>
        </w:tc>
        <w:tc>
          <w:tcPr>
            <w:tcW w:w="1650" w:type="dxa"/>
          </w:tcPr>
          <w:p w:rsidR="009F678A" w:rsidRDefault="009F678A" w:rsidP="00B778F9">
            <w:r>
              <w:t>Yes</w:t>
            </w:r>
          </w:p>
        </w:tc>
      </w:tr>
      <w:tr w:rsidR="009F678A" w:rsidTr="00B778F9">
        <w:tc>
          <w:tcPr>
            <w:tcW w:w="3539" w:type="dxa"/>
          </w:tcPr>
          <w:p w:rsidR="009F678A" w:rsidRDefault="009F678A" w:rsidP="00B778F9">
            <w:r>
              <w:t>High resolution vector graphics output (PDF)</w:t>
            </w:r>
          </w:p>
        </w:tc>
        <w:tc>
          <w:tcPr>
            <w:tcW w:w="1276" w:type="dxa"/>
          </w:tcPr>
          <w:p w:rsidR="009F678A" w:rsidRDefault="009F678A" w:rsidP="00B778F9">
            <w:r>
              <w:t>Yes</w:t>
            </w:r>
          </w:p>
        </w:tc>
        <w:tc>
          <w:tcPr>
            <w:tcW w:w="1276" w:type="dxa"/>
          </w:tcPr>
          <w:p w:rsidR="009F678A" w:rsidRDefault="009F678A" w:rsidP="00B778F9">
            <w:r>
              <w:t>Yes</w:t>
            </w:r>
          </w:p>
        </w:tc>
        <w:tc>
          <w:tcPr>
            <w:tcW w:w="1275" w:type="dxa"/>
          </w:tcPr>
          <w:p w:rsidR="009F678A" w:rsidRDefault="009F678A" w:rsidP="00B778F9">
            <w:r>
              <w:t>Yes</w:t>
            </w:r>
          </w:p>
        </w:tc>
        <w:tc>
          <w:tcPr>
            <w:tcW w:w="1650" w:type="dxa"/>
          </w:tcPr>
          <w:p w:rsidR="009F678A" w:rsidRDefault="009F678A" w:rsidP="00B778F9">
            <w:r>
              <w:t>Yes</w:t>
            </w:r>
          </w:p>
        </w:tc>
      </w:tr>
      <w:tr w:rsidR="009F678A" w:rsidTr="00B778F9">
        <w:tc>
          <w:tcPr>
            <w:tcW w:w="3539" w:type="dxa"/>
          </w:tcPr>
          <w:p w:rsidR="009F678A" w:rsidRDefault="009F678A" w:rsidP="00B778F9">
            <w:r>
              <w:t>Flexibility on positioning of gene name</w:t>
            </w:r>
            <w:r w:rsidR="00B9665D">
              <w:t xml:space="preserve"> (by known/novel)</w:t>
            </w:r>
          </w:p>
        </w:tc>
        <w:tc>
          <w:tcPr>
            <w:tcW w:w="1276" w:type="dxa"/>
          </w:tcPr>
          <w:p w:rsidR="009F678A" w:rsidRDefault="009F678A" w:rsidP="00B778F9">
            <w:r>
              <w:t>No</w:t>
            </w:r>
          </w:p>
        </w:tc>
        <w:tc>
          <w:tcPr>
            <w:tcW w:w="1276" w:type="dxa"/>
          </w:tcPr>
          <w:p w:rsidR="009F678A" w:rsidRDefault="009F678A" w:rsidP="00B778F9">
            <w:r>
              <w:t>No</w:t>
            </w:r>
          </w:p>
        </w:tc>
        <w:tc>
          <w:tcPr>
            <w:tcW w:w="1275" w:type="dxa"/>
          </w:tcPr>
          <w:p w:rsidR="009F678A" w:rsidRDefault="009F678A" w:rsidP="00B778F9">
            <w:r>
              <w:t>No</w:t>
            </w:r>
          </w:p>
        </w:tc>
        <w:tc>
          <w:tcPr>
            <w:tcW w:w="1650" w:type="dxa"/>
          </w:tcPr>
          <w:p w:rsidR="009F678A" w:rsidRDefault="009F678A" w:rsidP="00B778F9">
            <w:r>
              <w:t>Yes</w:t>
            </w:r>
          </w:p>
        </w:tc>
      </w:tr>
      <w:tr w:rsidR="009F678A" w:rsidTr="00B778F9">
        <w:tc>
          <w:tcPr>
            <w:tcW w:w="3539" w:type="dxa"/>
          </w:tcPr>
          <w:p w:rsidR="009F678A" w:rsidRDefault="009F678A" w:rsidP="00B778F9">
            <w:r>
              <w:t>Capability to use external variant map file</w:t>
            </w:r>
          </w:p>
        </w:tc>
        <w:tc>
          <w:tcPr>
            <w:tcW w:w="1276" w:type="dxa"/>
          </w:tcPr>
          <w:p w:rsidR="009F678A" w:rsidRDefault="009F678A" w:rsidP="00B778F9">
            <w:r>
              <w:t>No</w:t>
            </w:r>
          </w:p>
        </w:tc>
        <w:tc>
          <w:tcPr>
            <w:tcW w:w="1276" w:type="dxa"/>
          </w:tcPr>
          <w:p w:rsidR="009F678A" w:rsidRDefault="009F678A" w:rsidP="00B778F9">
            <w:r>
              <w:t>No</w:t>
            </w:r>
          </w:p>
        </w:tc>
        <w:tc>
          <w:tcPr>
            <w:tcW w:w="1275" w:type="dxa"/>
          </w:tcPr>
          <w:p w:rsidR="009F678A" w:rsidRDefault="009F678A" w:rsidP="00B778F9">
            <w:r>
              <w:t>Yes</w:t>
            </w:r>
          </w:p>
        </w:tc>
        <w:tc>
          <w:tcPr>
            <w:tcW w:w="1650" w:type="dxa"/>
          </w:tcPr>
          <w:p w:rsidR="009F678A" w:rsidRDefault="009F678A" w:rsidP="00B778F9">
            <w:r>
              <w:t>No</w:t>
            </w:r>
          </w:p>
        </w:tc>
      </w:tr>
      <w:tr w:rsidR="009F678A" w:rsidTr="00B778F9">
        <w:tc>
          <w:tcPr>
            <w:tcW w:w="3539" w:type="dxa"/>
          </w:tcPr>
          <w:p w:rsidR="009F678A" w:rsidRDefault="00B9665D" w:rsidP="00B9665D">
            <w:r>
              <w:t>A</w:t>
            </w:r>
            <w:r w:rsidR="009F678A">
              <w:t xml:space="preserve">llele </w:t>
            </w:r>
            <w:r>
              <w:t xml:space="preserve">frequency </w:t>
            </w:r>
            <w:r w:rsidR="009F678A">
              <w:t>data</w:t>
            </w:r>
          </w:p>
        </w:tc>
        <w:tc>
          <w:tcPr>
            <w:tcW w:w="1276" w:type="dxa"/>
          </w:tcPr>
          <w:p w:rsidR="009F678A" w:rsidRDefault="009F678A" w:rsidP="00B778F9">
            <w:r>
              <w:t>No</w:t>
            </w:r>
          </w:p>
        </w:tc>
        <w:tc>
          <w:tcPr>
            <w:tcW w:w="1276" w:type="dxa"/>
          </w:tcPr>
          <w:p w:rsidR="009F678A" w:rsidRDefault="009F678A" w:rsidP="00B778F9">
            <w:r>
              <w:t>No</w:t>
            </w:r>
          </w:p>
        </w:tc>
        <w:tc>
          <w:tcPr>
            <w:tcW w:w="1275" w:type="dxa"/>
          </w:tcPr>
          <w:p w:rsidR="009F678A" w:rsidRDefault="009F678A" w:rsidP="00B778F9">
            <w:r>
              <w:t>No</w:t>
            </w:r>
          </w:p>
        </w:tc>
        <w:tc>
          <w:tcPr>
            <w:tcW w:w="1650" w:type="dxa"/>
          </w:tcPr>
          <w:p w:rsidR="009F678A" w:rsidRDefault="009F678A" w:rsidP="00B778F9">
            <w:r>
              <w:t>Yes</w:t>
            </w:r>
          </w:p>
        </w:tc>
      </w:tr>
      <w:tr w:rsidR="009F678A" w:rsidTr="00B778F9">
        <w:tc>
          <w:tcPr>
            <w:tcW w:w="3539" w:type="dxa"/>
          </w:tcPr>
          <w:p w:rsidR="009F678A" w:rsidRDefault="009F678A" w:rsidP="00B778F9">
            <w:r>
              <w:t>Functional consequence</w:t>
            </w:r>
            <w:r w:rsidR="00B9665D">
              <w:t xml:space="preserve"> information</w:t>
            </w:r>
          </w:p>
        </w:tc>
        <w:tc>
          <w:tcPr>
            <w:tcW w:w="1276" w:type="dxa"/>
          </w:tcPr>
          <w:p w:rsidR="009F678A" w:rsidRDefault="009F678A" w:rsidP="00B778F9">
            <w:r>
              <w:t>No</w:t>
            </w:r>
          </w:p>
        </w:tc>
        <w:tc>
          <w:tcPr>
            <w:tcW w:w="1276" w:type="dxa"/>
          </w:tcPr>
          <w:p w:rsidR="009F678A" w:rsidRDefault="009F678A" w:rsidP="00B778F9">
            <w:r>
              <w:t>No</w:t>
            </w:r>
          </w:p>
        </w:tc>
        <w:tc>
          <w:tcPr>
            <w:tcW w:w="1275" w:type="dxa"/>
          </w:tcPr>
          <w:p w:rsidR="009F678A" w:rsidRDefault="009F678A" w:rsidP="00B778F9">
            <w:r>
              <w:t>No</w:t>
            </w:r>
          </w:p>
        </w:tc>
        <w:tc>
          <w:tcPr>
            <w:tcW w:w="1650" w:type="dxa"/>
          </w:tcPr>
          <w:p w:rsidR="009F678A" w:rsidRDefault="009F678A" w:rsidP="00B778F9">
            <w:r>
              <w:t>Yes</w:t>
            </w:r>
          </w:p>
        </w:tc>
      </w:tr>
      <w:tr w:rsidR="009F678A" w:rsidTr="00B778F9">
        <w:tc>
          <w:tcPr>
            <w:tcW w:w="3539" w:type="dxa"/>
          </w:tcPr>
          <w:p w:rsidR="009F678A" w:rsidRDefault="009F678A" w:rsidP="00B778F9">
            <w:r>
              <w:t>Transposed</w:t>
            </w:r>
            <w:r w:rsidR="00B9665D">
              <w:t xml:space="preserve"> plot</w:t>
            </w:r>
          </w:p>
        </w:tc>
        <w:tc>
          <w:tcPr>
            <w:tcW w:w="1276" w:type="dxa"/>
          </w:tcPr>
          <w:p w:rsidR="009F678A" w:rsidRDefault="009F678A" w:rsidP="00B778F9">
            <w:r>
              <w:t>No</w:t>
            </w:r>
          </w:p>
        </w:tc>
        <w:tc>
          <w:tcPr>
            <w:tcW w:w="1276" w:type="dxa"/>
          </w:tcPr>
          <w:p w:rsidR="009F678A" w:rsidRDefault="009F678A" w:rsidP="00B778F9">
            <w:r>
              <w:t>No</w:t>
            </w:r>
          </w:p>
        </w:tc>
        <w:tc>
          <w:tcPr>
            <w:tcW w:w="1275" w:type="dxa"/>
          </w:tcPr>
          <w:p w:rsidR="009F678A" w:rsidRDefault="009F678A" w:rsidP="00B778F9">
            <w:r>
              <w:t>No</w:t>
            </w:r>
          </w:p>
        </w:tc>
        <w:tc>
          <w:tcPr>
            <w:tcW w:w="1650" w:type="dxa"/>
          </w:tcPr>
          <w:p w:rsidR="009F678A" w:rsidRDefault="009F678A" w:rsidP="00B778F9">
            <w:r>
              <w:t>Yes</w:t>
            </w:r>
          </w:p>
        </w:tc>
      </w:tr>
      <w:tr w:rsidR="009F678A" w:rsidTr="00B778F9">
        <w:tc>
          <w:tcPr>
            <w:tcW w:w="3539" w:type="dxa"/>
          </w:tcPr>
          <w:p w:rsidR="009F678A" w:rsidRDefault="009F678A" w:rsidP="00B9665D">
            <w:r>
              <w:t>Additional SNP information (O</w:t>
            </w:r>
            <w:r w:rsidR="00B9665D">
              <w:t xml:space="preserve">dds </w:t>
            </w:r>
            <w:r>
              <w:t>R</w:t>
            </w:r>
            <w:r w:rsidR="00B9665D">
              <w:t>atio</w:t>
            </w:r>
            <w:r>
              <w:t>, p-values)</w:t>
            </w:r>
            <w:r w:rsidR="00B9665D">
              <w:t xml:space="preserve"> on the plot</w:t>
            </w:r>
            <w:bookmarkStart w:id="0" w:name="_GoBack"/>
            <w:bookmarkEnd w:id="0"/>
          </w:p>
        </w:tc>
        <w:tc>
          <w:tcPr>
            <w:tcW w:w="1276" w:type="dxa"/>
          </w:tcPr>
          <w:p w:rsidR="009F678A" w:rsidRDefault="009F678A" w:rsidP="00B778F9">
            <w:r>
              <w:t>No</w:t>
            </w:r>
          </w:p>
        </w:tc>
        <w:tc>
          <w:tcPr>
            <w:tcW w:w="1276" w:type="dxa"/>
          </w:tcPr>
          <w:p w:rsidR="009F678A" w:rsidRDefault="009F678A" w:rsidP="00B778F9">
            <w:r>
              <w:t>No</w:t>
            </w:r>
          </w:p>
        </w:tc>
        <w:tc>
          <w:tcPr>
            <w:tcW w:w="1275" w:type="dxa"/>
          </w:tcPr>
          <w:p w:rsidR="009F678A" w:rsidRDefault="009F678A" w:rsidP="00B778F9">
            <w:r>
              <w:t>No</w:t>
            </w:r>
          </w:p>
        </w:tc>
        <w:tc>
          <w:tcPr>
            <w:tcW w:w="1650" w:type="dxa"/>
          </w:tcPr>
          <w:p w:rsidR="009F678A" w:rsidRDefault="009F678A" w:rsidP="00B778F9">
            <w:r>
              <w:t>Yes</w:t>
            </w:r>
          </w:p>
        </w:tc>
      </w:tr>
    </w:tbl>
    <w:p w:rsidR="009F678A" w:rsidRDefault="009F678A" w:rsidP="009F678A">
      <w:pPr>
        <w:pStyle w:val="ListParagraph"/>
      </w:pPr>
    </w:p>
    <w:p w:rsidR="00AE060B" w:rsidRDefault="00AE060B" w:rsidP="00AE060B"/>
    <w:p w:rsidR="00A60E10" w:rsidRDefault="00B9665D"/>
    <w:sectPr w:rsidR="00A60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61A4"/>
    <w:multiLevelType w:val="hybridMultilevel"/>
    <w:tmpl w:val="D2C2EA2C"/>
    <w:lvl w:ilvl="0" w:tplc="3B489CAA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63517"/>
    <w:multiLevelType w:val="hybridMultilevel"/>
    <w:tmpl w:val="DB304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0B"/>
    <w:rsid w:val="000C47AE"/>
    <w:rsid w:val="002D5A6E"/>
    <w:rsid w:val="00303EF5"/>
    <w:rsid w:val="00515A9B"/>
    <w:rsid w:val="005F08B1"/>
    <w:rsid w:val="007D2734"/>
    <w:rsid w:val="00834EF6"/>
    <w:rsid w:val="008614F1"/>
    <w:rsid w:val="00926187"/>
    <w:rsid w:val="009A475D"/>
    <w:rsid w:val="009F678A"/>
    <w:rsid w:val="00A570E6"/>
    <w:rsid w:val="00AB406C"/>
    <w:rsid w:val="00AD092B"/>
    <w:rsid w:val="00AE060B"/>
    <w:rsid w:val="00B9665D"/>
    <w:rsid w:val="00C10FD6"/>
    <w:rsid w:val="00E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C7FA"/>
  <w15:chartTrackingRefBased/>
  <w15:docId w15:val="{D6E14B6E-B38A-4B18-A863-664DE1BB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6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enome.sph.umich.edu/wiki/Code_Sample:_Generating_Manhattan_Plots_in_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sembl.org/info/genome/variation/prediction/predicted_dat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sembl.org/info/docs/tools/vep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 Goel</dc:creator>
  <cp:keywords/>
  <dc:description/>
  <cp:lastModifiedBy>Anuj Goel</cp:lastModifiedBy>
  <cp:revision>16</cp:revision>
  <dcterms:created xsi:type="dcterms:W3CDTF">2019-02-15T09:51:00Z</dcterms:created>
  <dcterms:modified xsi:type="dcterms:W3CDTF">2019-10-02T13:11:00Z</dcterms:modified>
</cp:coreProperties>
</file>