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9BE3" w14:textId="008CC193" w:rsidR="00244227" w:rsidRDefault="00244227"/>
    <w:p w14:paraId="32EAD136" w14:textId="0AE23218" w:rsidR="001B11A9" w:rsidRDefault="001B11A9" w:rsidP="001B11A9">
      <w:pPr>
        <w:jc w:val="center"/>
      </w:pPr>
      <w:r>
        <w:rPr>
          <w:noProof/>
        </w:rPr>
        <w:drawing>
          <wp:inline distT="0" distB="0" distL="0" distR="0" wp14:anchorId="22A874A0" wp14:editId="4871823B">
            <wp:extent cx="4239716" cy="5600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8129" cy="56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E6AB6" w14:textId="0EFA7005" w:rsidR="001B11A9" w:rsidRDefault="001B11A9" w:rsidP="005D73C1">
      <w:pPr>
        <w:spacing w:line="480" w:lineRule="auto"/>
        <w:jc w:val="both"/>
      </w:pPr>
      <w:r>
        <w:t>Flowchart illustrating the bioinformatics analysis pipeline for a typical sequencing run consisting of plasma samples. The same pipeline applies for paternal samples with the last step being performed for variant calling (monogenic diseases) only</w:t>
      </w:r>
      <w:r w:rsidR="00620A25">
        <w:t>.</w:t>
      </w:r>
      <w:bookmarkStart w:id="0" w:name="_GoBack"/>
      <w:bookmarkEnd w:id="0"/>
    </w:p>
    <w:sectPr w:rsidR="001B1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A9"/>
    <w:rsid w:val="001B11A9"/>
    <w:rsid w:val="00244227"/>
    <w:rsid w:val="005D73C1"/>
    <w:rsid w:val="006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DF25"/>
  <w15:chartTrackingRefBased/>
  <w15:docId w15:val="{52BD9085-544B-4419-8460-C15D7D44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 Ioannides</dc:creator>
  <cp:keywords/>
  <dc:description/>
  <cp:lastModifiedBy>Marios Ioannides</cp:lastModifiedBy>
  <cp:revision>3</cp:revision>
  <dcterms:created xsi:type="dcterms:W3CDTF">2019-10-11T09:44:00Z</dcterms:created>
  <dcterms:modified xsi:type="dcterms:W3CDTF">2019-10-15T11:52:00Z</dcterms:modified>
</cp:coreProperties>
</file>