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A3ABC" w14:textId="06BE4120" w:rsidR="003E0EAB" w:rsidRDefault="003E0EAB" w:rsidP="005C401C">
      <w:pPr>
        <w:spacing w:line="240" w:lineRule="auto"/>
        <w:contextualSpacing/>
        <w:jc w:val="both"/>
        <w:rPr>
          <w:szCs w:val="24"/>
          <w:lang w:val="en-US"/>
        </w:rPr>
      </w:pPr>
      <w:bookmarkStart w:id="0" w:name="_GoBack"/>
      <w:bookmarkEnd w:id="0"/>
      <w:proofErr w:type="gramStart"/>
      <w:r w:rsidRPr="003E0EAB">
        <w:rPr>
          <w:szCs w:val="24"/>
          <w:lang w:val="en-US"/>
        </w:rPr>
        <w:t>The theoretical and estimated risk for the</w:t>
      </w:r>
      <w:r w:rsidR="006D708D">
        <w:rPr>
          <w:szCs w:val="24"/>
          <w:lang w:val="en-US"/>
        </w:rPr>
        <w:t xml:space="preserve"> parents</w:t>
      </w:r>
      <w:r w:rsidRPr="003E0EAB">
        <w:rPr>
          <w:szCs w:val="24"/>
          <w:lang w:val="en-US"/>
        </w:rPr>
        <w:t xml:space="preserve"> and the fetus.</w:t>
      </w:r>
      <w:proofErr w:type="gramEnd"/>
    </w:p>
    <w:p w14:paraId="0F071E81" w14:textId="1F29E919" w:rsidR="005C401C" w:rsidRDefault="005C401C" w:rsidP="005C401C">
      <w:pPr>
        <w:spacing w:line="240" w:lineRule="auto"/>
        <w:contextualSpacing/>
        <w:jc w:val="both"/>
        <w:rPr>
          <w:szCs w:val="24"/>
          <w:lang w:val="en-US"/>
        </w:rPr>
      </w:pPr>
    </w:p>
    <w:tbl>
      <w:tblPr>
        <w:tblpPr w:leftFromText="180" w:rightFromText="180" w:vertAnchor="page" w:horzAnchor="margin" w:tblpY="1966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27"/>
        <w:gridCol w:w="829"/>
      </w:tblGrid>
      <w:tr w:rsidR="005C401C" w:rsidRPr="00DA455D" w14:paraId="3B2B721E" w14:textId="77777777" w:rsidTr="005C401C">
        <w:trPr>
          <w:trHeight w:val="460"/>
        </w:trPr>
        <w:tc>
          <w:tcPr>
            <w:tcW w:w="8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6BE55C" w14:textId="77777777" w:rsidR="005C401C" w:rsidRPr="00DA455D" w:rsidRDefault="005C401C" w:rsidP="005C401C">
            <w:pPr>
              <w:suppressAutoHyphens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36"/>
                <w:lang w:val="en-US"/>
              </w:rPr>
            </w:pPr>
            <w:r w:rsidRPr="00DA455D">
              <w:rPr>
                <w:rFonts w:eastAsia="Times New Roman"/>
                <w:b/>
                <w:bCs/>
                <w:color w:val="000000" w:themeColor="text1"/>
                <w:kern w:val="24"/>
                <w:sz w:val="20"/>
                <w:szCs w:val="36"/>
                <w:lang w:val="en-US"/>
              </w:rPr>
              <w:t>Risk for the pregnancy and the fetus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4AC9C5" w14:textId="77777777" w:rsidR="005C401C" w:rsidRPr="00DA455D" w:rsidRDefault="005C401C" w:rsidP="005C401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36"/>
                <w:lang w:val="en-US"/>
              </w:rPr>
            </w:pPr>
            <w:r w:rsidRPr="00DA455D">
              <w:rPr>
                <w:rFonts w:eastAsia="Times New Roman"/>
                <w:b/>
                <w:bCs/>
                <w:color w:val="000000" w:themeColor="text1"/>
                <w:kern w:val="24"/>
                <w:sz w:val="20"/>
                <w:szCs w:val="36"/>
                <w:lang w:val="en-US"/>
              </w:rPr>
              <w:t>Risk</w:t>
            </w:r>
          </w:p>
        </w:tc>
      </w:tr>
      <w:tr w:rsidR="005C401C" w:rsidRPr="00DA455D" w14:paraId="61BCC6BC" w14:textId="77777777" w:rsidTr="005C401C">
        <w:trPr>
          <w:trHeight w:val="460"/>
        </w:trPr>
        <w:tc>
          <w:tcPr>
            <w:tcW w:w="8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C5C3CA" w14:textId="77777777" w:rsidR="005C401C" w:rsidRPr="00DA455D" w:rsidRDefault="005C401C" w:rsidP="005C401C">
            <w:pPr>
              <w:suppressAutoHyphens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36"/>
                <w:lang w:val="en-US"/>
              </w:rPr>
            </w:pPr>
            <w:r w:rsidRPr="00DA455D">
              <w:rPr>
                <w:rFonts w:eastAsia="Times New Roman"/>
                <w:color w:val="000000" w:themeColor="text1"/>
                <w:sz w:val="20"/>
                <w:szCs w:val="36"/>
              </w:rPr>
              <w:t xml:space="preserve">Theoretical risk of being a carrier </w:t>
            </w:r>
            <w:r>
              <w:rPr>
                <w:rFonts w:eastAsia="Times New Roman"/>
                <w:color w:val="000000" w:themeColor="text1"/>
                <w:sz w:val="20"/>
                <w:szCs w:val="36"/>
              </w:rPr>
              <w:t>for</w:t>
            </w:r>
            <w:r w:rsidRPr="00DA455D">
              <w:rPr>
                <w:rFonts w:eastAsia="Times New Roman"/>
                <w:color w:val="000000" w:themeColor="text1"/>
                <w:sz w:val="20"/>
                <w:szCs w:val="36"/>
              </w:rPr>
              <w:t xml:space="preserve"> at least one of the 50 single gene diseases screened by the comprehensive NIPT</w:t>
            </w:r>
            <w:r w:rsidRPr="00DA455D">
              <w:rPr>
                <w:rFonts w:eastAsia="Times New Roman"/>
                <w:color w:val="000000" w:themeColor="text1"/>
                <w:position w:val="11"/>
                <w:sz w:val="20"/>
                <w:szCs w:val="36"/>
                <w:vertAlign w:val="superscript"/>
              </w:rPr>
              <w:t>(a)</w:t>
            </w:r>
          </w:p>
        </w:tc>
        <w:tc>
          <w:tcPr>
            <w:tcW w:w="8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F4DC86" w14:textId="77777777" w:rsidR="005C401C" w:rsidRPr="00DA455D" w:rsidRDefault="005C401C" w:rsidP="005C401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36"/>
                <w:lang w:val="en-US"/>
              </w:rPr>
            </w:pPr>
            <w:r w:rsidRPr="00DA455D">
              <w:rPr>
                <w:rFonts w:eastAsia="Times New Roman"/>
                <w:color w:val="000000" w:themeColor="text1"/>
                <w:kern w:val="24"/>
                <w:sz w:val="20"/>
                <w:szCs w:val="36"/>
                <w:lang w:val="en-US"/>
              </w:rPr>
              <w:t>1/3</w:t>
            </w:r>
          </w:p>
        </w:tc>
      </w:tr>
      <w:tr w:rsidR="005C401C" w:rsidRPr="00DA455D" w14:paraId="3A81B2AB" w14:textId="77777777" w:rsidTr="005C401C">
        <w:trPr>
          <w:trHeight w:val="460"/>
        </w:trPr>
        <w:tc>
          <w:tcPr>
            <w:tcW w:w="8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211422" w14:textId="77777777" w:rsidR="005C401C" w:rsidRPr="00DA455D" w:rsidRDefault="005C401C" w:rsidP="005C401C">
            <w:pPr>
              <w:suppressAutoHyphens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36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36"/>
              </w:rPr>
              <w:t>Empirical</w:t>
            </w:r>
            <w:r w:rsidRPr="00DA455D">
              <w:rPr>
                <w:rFonts w:eastAsia="Times New Roman"/>
                <w:color w:val="000000" w:themeColor="text1"/>
                <w:sz w:val="20"/>
                <w:szCs w:val="36"/>
              </w:rPr>
              <w:t xml:space="preserve"> risk of being a carrier </w:t>
            </w:r>
            <w:r>
              <w:rPr>
                <w:rFonts w:eastAsia="Times New Roman"/>
                <w:color w:val="000000" w:themeColor="text1"/>
                <w:sz w:val="20"/>
                <w:szCs w:val="36"/>
              </w:rPr>
              <w:t>for</w:t>
            </w:r>
            <w:r w:rsidRPr="00DA455D">
              <w:rPr>
                <w:rFonts w:eastAsia="Times New Roman"/>
                <w:color w:val="000000" w:themeColor="text1"/>
                <w:sz w:val="20"/>
                <w:szCs w:val="36"/>
              </w:rPr>
              <w:t xml:space="preserve"> at least one of the 50 single gene diseases screened by the comprehensive NIPT in our cohort</w:t>
            </w:r>
          </w:p>
        </w:tc>
        <w:tc>
          <w:tcPr>
            <w:tcW w:w="8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0E1D2A" w14:textId="77777777" w:rsidR="005C401C" w:rsidRPr="00DA455D" w:rsidRDefault="005C401C" w:rsidP="005C401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36"/>
                <w:lang w:val="en-US"/>
              </w:rPr>
            </w:pPr>
            <w:r w:rsidRPr="00DA455D">
              <w:rPr>
                <w:rFonts w:eastAsia="Times New Roman"/>
                <w:color w:val="000000" w:themeColor="text1"/>
                <w:kern w:val="24"/>
                <w:sz w:val="20"/>
                <w:szCs w:val="36"/>
                <w:lang w:val="en-US"/>
              </w:rPr>
              <w:t>1/4</w:t>
            </w:r>
          </w:p>
        </w:tc>
      </w:tr>
      <w:tr w:rsidR="005C401C" w:rsidRPr="00DA455D" w14:paraId="3E834675" w14:textId="77777777" w:rsidTr="005C401C">
        <w:trPr>
          <w:trHeight w:val="460"/>
        </w:trPr>
        <w:tc>
          <w:tcPr>
            <w:tcW w:w="8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B01EDE" w14:textId="77777777" w:rsidR="005C401C" w:rsidRPr="00DA455D" w:rsidRDefault="005C401C" w:rsidP="005C401C">
            <w:pPr>
              <w:suppressAutoHyphens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36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36"/>
              </w:rPr>
              <w:t>Empirical</w:t>
            </w:r>
            <w:r w:rsidRPr="00DA455D">
              <w:rPr>
                <w:rFonts w:eastAsia="Times New Roman"/>
                <w:color w:val="000000" w:themeColor="text1"/>
                <w:sz w:val="20"/>
                <w:szCs w:val="36"/>
              </w:rPr>
              <w:t xml:space="preserve"> risk for the </w:t>
            </w:r>
            <w:proofErr w:type="spellStart"/>
            <w:r w:rsidRPr="00DA455D">
              <w:rPr>
                <w:rFonts w:eastAsia="Times New Roman"/>
                <w:color w:val="000000" w:themeColor="text1"/>
                <w:sz w:val="20"/>
                <w:szCs w:val="36"/>
              </w:rPr>
              <w:t>fetus</w:t>
            </w:r>
            <w:proofErr w:type="spellEnd"/>
            <w:r w:rsidRPr="00DA455D">
              <w:rPr>
                <w:rFonts w:eastAsia="Times New Roman"/>
                <w:color w:val="000000" w:themeColor="text1"/>
                <w:sz w:val="20"/>
                <w:szCs w:val="36"/>
              </w:rPr>
              <w:t xml:space="preserve"> to be affected for one of the 50 single gene diseases screened by the comprehensive NIPT in our cohort</w:t>
            </w:r>
          </w:p>
        </w:tc>
        <w:tc>
          <w:tcPr>
            <w:tcW w:w="8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9CEED6" w14:textId="77777777" w:rsidR="005C401C" w:rsidRPr="00DA455D" w:rsidRDefault="005C401C" w:rsidP="005C401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36"/>
                <w:lang w:val="en-US"/>
              </w:rPr>
            </w:pPr>
            <w:r w:rsidRPr="00DA455D">
              <w:rPr>
                <w:rFonts w:eastAsia="Times New Roman"/>
                <w:color w:val="000000" w:themeColor="text1"/>
                <w:kern w:val="24"/>
                <w:sz w:val="20"/>
                <w:szCs w:val="36"/>
                <w:lang w:val="en-US"/>
              </w:rPr>
              <w:t>1/196</w:t>
            </w:r>
          </w:p>
        </w:tc>
      </w:tr>
      <w:tr w:rsidR="005C401C" w:rsidRPr="00DA455D" w14:paraId="72E0221B" w14:textId="77777777" w:rsidTr="005C401C">
        <w:trPr>
          <w:trHeight w:val="460"/>
        </w:trPr>
        <w:tc>
          <w:tcPr>
            <w:tcW w:w="8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32D19E" w14:textId="77777777" w:rsidR="005C401C" w:rsidRPr="00DA455D" w:rsidRDefault="005C401C" w:rsidP="005C401C">
            <w:pPr>
              <w:suppressAutoHyphens w:val="0"/>
              <w:spacing w:after="0" w:line="240" w:lineRule="auto"/>
              <w:contextualSpacing/>
              <w:rPr>
                <w:rFonts w:eastAsia="Times New Roman"/>
                <w:color w:val="000000" w:themeColor="text1"/>
                <w:sz w:val="20"/>
                <w:szCs w:val="36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36"/>
                <w:lang w:val="en-US"/>
              </w:rPr>
              <w:t>Empirical</w:t>
            </w:r>
            <w:r w:rsidRPr="00DA455D">
              <w:rPr>
                <w:rFonts w:eastAsia="Times New Roman"/>
                <w:color w:val="000000" w:themeColor="text1"/>
                <w:sz w:val="20"/>
                <w:szCs w:val="36"/>
                <w:lang w:val="en-US"/>
              </w:rPr>
              <w:t xml:space="preserve"> risk for the fetus to be affected for one of the aneuploidies, four microdeletion syndromes and 50 single gene diseases screened by the comprehensive NIPT in our cohort</w:t>
            </w:r>
            <w:r w:rsidRPr="00DA455D">
              <w:rPr>
                <w:rFonts w:eastAsia="Times New Roman"/>
                <w:color w:val="000000" w:themeColor="text1"/>
                <w:position w:val="11"/>
                <w:sz w:val="20"/>
                <w:szCs w:val="36"/>
                <w:vertAlign w:val="superscript"/>
                <w:lang w:val="en-US"/>
              </w:rPr>
              <w:t>(b)</w:t>
            </w:r>
          </w:p>
        </w:tc>
        <w:tc>
          <w:tcPr>
            <w:tcW w:w="8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A06F71" w14:textId="77777777" w:rsidR="005C401C" w:rsidRPr="00DA455D" w:rsidRDefault="005C401C" w:rsidP="005C401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36"/>
                <w:lang w:val="en-US"/>
              </w:rPr>
            </w:pPr>
            <w:r w:rsidRPr="00DA455D">
              <w:rPr>
                <w:rFonts w:eastAsia="Times New Roman"/>
                <w:color w:val="000000" w:themeColor="text1"/>
                <w:kern w:val="24"/>
                <w:sz w:val="20"/>
                <w:szCs w:val="36"/>
                <w:lang w:val="en-US"/>
              </w:rPr>
              <w:t>1/65</w:t>
            </w:r>
          </w:p>
        </w:tc>
      </w:tr>
    </w:tbl>
    <w:p w14:paraId="25E01A55" w14:textId="77777777" w:rsidR="005C401C" w:rsidRDefault="005C401C" w:rsidP="005C401C">
      <w:pPr>
        <w:spacing w:line="240" w:lineRule="auto"/>
        <w:contextualSpacing/>
        <w:jc w:val="both"/>
        <w:rPr>
          <w:szCs w:val="24"/>
          <w:lang w:val="en-US"/>
        </w:rPr>
      </w:pPr>
    </w:p>
    <w:p w14:paraId="4BA14933" w14:textId="4BD509F8" w:rsidR="00850F41" w:rsidRPr="00F517F3" w:rsidRDefault="00850F41" w:rsidP="00850F41">
      <w:pPr>
        <w:suppressAutoHyphens w:val="0"/>
        <w:spacing w:after="160" w:line="480" w:lineRule="auto"/>
        <w:jc w:val="both"/>
        <w:rPr>
          <w:lang w:val="en-US"/>
        </w:rPr>
      </w:pPr>
      <w:proofErr w:type="gramStart"/>
      <w:r w:rsidRPr="00F517F3">
        <w:rPr>
          <w:szCs w:val="24"/>
          <w:lang w:val="en-US"/>
        </w:rPr>
        <w:t xml:space="preserve">The theoretical and </w:t>
      </w:r>
      <w:r>
        <w:rPr>
          <w:szCs w:val="24"/>
          <w:lang w:val="en-US"/>
        </w:rPr>
        <w:t>empirical</w:t>
      </w:r>
      <w:r w:rsidRPr="00F517F3">
        <w:rPr>
          <w:szCs w:val="24"/>
          <w:lang w:val="en-US"/>
        </w:rPr>
        <w:t xml:space="preserve"> risk for </w:t>
      </w:r>
      <w:r w:rsidR="006D708D">
        <w:rPr>
          <w:szCs w:val="24"/>
          <w:lang w:val="en-US"/>
        </w:rPr>
        <w:t xml:space="preserve">the parents and </w:t>
      </w:r>
      <w:r w:rsidRPr="00F517F3">
        <w:rPr>
          <w:szCs w:val="24"/>
          <w:lang w:val="en-US"/>
        </w:rPr>
        <w:t>the fetus.</w:t>
      </w:r>
      <w:proofErr w:type="gramEnd"/>
      <w:r w:rsidRPr="00F517F3">
        <w:rPr>
          <w:szCs w:val="24"/>
          <w:lang w:val="en-US"/>
        </w:rPr>
        <w:t xml:space="preserve"> (a) Carrier frequency is based on numbers obtained from online databases (</w:t>
      </w:r>
      <w:proofErr w:type="spellStart"/>
      <w:r w:rsidRPr="00F517F3">
        <w:rPr>
          <w:szCs w:val="24"/>
          <w:lang w:val="en-US"/>
        </w:rPr>
        <w:t>Orphanet</w:t>
      </w:r>
      <w:proofErr w:type="spellEnd"/>
      <w:r w:rsidRPr="00F517F3">
        <w:rPr>
          <w:szCs w:val="24"/>
          <w:lang w:val="en-US"/>
        </w:rPr>
        <w:t xml:space="preserve">, </w:t>
      </w:r>
      <w:proofErr w:type="spellStart"/>
      <w:r w:rsidRPr="00F517F3">
        <w:rPr>
          <w:szCs w:val="24"/>
          <w:lang w:val="en-US"/>
        </w:rPr>
        <w:t>GeneReviews</w:t>
      </w:r>
      <w:proofErr w:type="spellEnd"/>
      <w:r w:rsidRPr="00F517F3">
        <w:rPr>
          <w:szCs w:val="24"/>
          <w:lang w:val="en-US"/>
        </w:rPr>
        <w:t>®, The Human Gene Mutation Database [HGMD], Online Mendelian Inheritance in Man® [OMIM]) an</w:t>
      </w:r>
      <w:r>
        <w:rPr>
          <w:szCs w:val="24"/>
          <w:lang w:val="en-US"/>
        </w:rPr>
        <w:t>d references therein. R</w:t>
      </w:r>
      <w:r w:rsidRPr="00F517F3">
        <w:rPr>
          <w:szCs w:val="24"/>
          <w:lang w:val="en-US"/>
        </w:rPr>
        <w:t xml:space="preserve">ates </w:t>
      </w:r>
      <w:r>
        <w:rPr>
          <w:szCs w:val="24"/>
          <w:lang w:val="en-US"/>
        </w:rPr>
        <w:t xml:space="preserve">of affected pregnancies </w:t>
      </w:r>
      <w:r w:rsidRPr="00F517F3">
        <w:rPr>
          <w:szCs w:val="24"/>
          <w:lang w:val="en-US"/>
        </w:rPr>
        <w:t>were calculated for each condition using the carrier rates. We consider that an affected fetus is the result of two carrier parents with 25% probability; i.e.:</w:t>
      </w:r>
      <w:r>
        <w:rPr>
          <w:szCs w:val="24"/>
          <w:lang w:val="en-US"/>
        </w:rPr>
        <w:t xml:space="preserve"> affected rate = (carrier rate)</w:t>
      </w:r>
      <w:r w:rsidRPr="00A356F5"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x</w:t>
      </w:r>
      <w:r w:rsidRPr="00F517F3">
        <w:rPr>
          <w:szCs w:val="24"/>
          <w:lang w:val="en-US"/>
        </w:rPr>
        <w:t>25%. The cumulative affected rate is taken to be the sum of all the individual condition rates. (b) 1/100 for 13</w:t>
      </w:r>
      <w:proofErr w:type="gramStart"/>
      <w:r w:rsidRPr="00F517F3">
        <w:rPr>
          <w:szCs w:val="24"/>
          <w:lang w:val="en-US"/>
        </w:rPr>
        <w:t>,18,21,X,Y,MDs</w:t>
      </w:r>
      <w:proofErr w:type="gramEnd"/>
      <w:r w:rsidRPr="00F517F3">
        <w:rPr>
          <w:szCs w:val="24"/>
          <w:lang w:val="en-US"/>
        </w:rPr>
        <w:t xml:space="preserve"> + 1/1</w:t>
      </w:r>
      <w:r>
        <w:rPr>
          <w:szCs w:val="24"/>
          <w:lang w:val="en-US"/>
        </w:rPr>
        <w:t>96 for the single gene disease i</w:t>
      </w:r>
      <w:r w:rsidRPr="00F517F3">
        <w:rPr>
          <w:szCs w:val="24"/>
          <w:lang w:val="en-US"/>
        </w:rPr>
        <w:t>n the general population.</w:t>
      </w:r>
    </w:p>
    <w:p w14:paraId="65E9F2D1" w14:textId="4ED139C0" w:rsidR="0074669D" w:rsidRPr="00850F41" w:rsidRDefault="00146BBA" w:rsidP="00850F41">
      <w:pPr>
        <w:spacing w:line="480" w:lineRule="auto"/>
        <w:jc w:val="both"/>
        <w:rPr>
          <w:lang w:val="en-US"/>
        </w:rPr>
      </w:pPr>
    </w:p>
    <w:sectPr w:rsidR="0074669D" w:rsidRPr="00850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icrosoft YaHei"/>
    <w:charset w:val="86"/>
    <w:family w:val="decorative"/>
    <w:pitch w:val="default"/>
    <w:sig w:usb0="910002FF" w:usb1="2BDFFCFB" w:usb2="00000036" w:usb3="00000000" w:csb0="203F01FF" w:csb1="D7FF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os Ioannides">
    <w15:presenceInfo w15:providerId="AD" w15:userId="S-1-5-21-1237613001-2761142579-1622546178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8D4A3E"/>
    <w:rsid w:val="0000025F"/>
    <w:rsid w:val="000E6A46"/>
    <w:rsid w:val="00146BBA"/>
    <w:rsid w:val="00213187"/>
    <w:rsid w:val="0028550E"/>
    <w:rsid w:val="003E0EAB"/>
    <w:rsid w:val="004671B9"/>
    <w:rsid w:val="004E611F"/>
    <w:rsid w:val="005C401C"/>
    <w:rsid w:val="006D708D"/>
    <w:rsid w:val="00850F41"/>
    <w:rsid w:val="008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3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3E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3E"/>
    <w:rPr>
      <w:rFonts w:ascii="Segoe UI" w:eastAsia="Droid Sans Fallback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3E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3E"/>
    <w:rPr>
      <w:rFonts w:ascii="Segoe UI" w:eastAsia="Droid Sans Fallback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E2389-F0F3-476F-BBCF-8A345C7F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1161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Nicolaou</dc:creator>
  <cp:keywords/>
  <dc:description/>
  <cp:lastModifiedBy>S3G_Reference_Citation_Sequence</cp:lastModifiedBy>
  <cp:revision>3</cp:revision>
  <dcterms:created xsi:type="dcterms:W3CDTF">2019-10-25T09:53:00Z</dcterms:created>
  <dcterms:modified xsi:type="dcterms:W3CDTF">2019-11-07T13:26:00Z</dcterms:modified>
</cp:coreProperties>
</file>