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76" w:rsidRPr="007C6689" w:rsidRDefault="00C01076" w:rsidP="00C01076">
      <w:pPr>
        <w:rPr>
          <w:rFonts w:ascii="Times New Roman" w:hAnsi="Times New Roman" w:cs="Times New Roman"/>
        </w:rPr>
      </w:pPr>
      <w:r w:rsidRPr="007C6689">
        <w:rPr>
          <w:rFonts w:ascii="Times New Roman" w:hAnsi="Times New Roman" w:cs="Times New Roman"/>
          <w:sz w:val="24"/>
          <w:szCs w:val="24"/>
        </w:rPr>
        <w:t xml:space="preserve">Table </w:t>
      </w:r>
      <w:r w:rsidR="008132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6689">
        <w:rPr>
          <w:rFonts w:ascii="Times New Roman" w:hAnsi="Times New Roman" w:cs="Times New Roman"/>
          <w:sz w:val="24"/>
          <w:szCs w:val="24"/>
        </w:rPr>
        <w:t>. Baseline conditions by study periods among those patients suffering infective endocarditis with</w:t>
      </w:r>
      <w:r w:rsidR="009832F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C6689">
        <w:rPr>
          <w:rFonts w:ascii="Times New Roman" w:hAnsi="Times New Roman" w:cs="Times New Roman"/>
          <w:sz w:val="24"/>
          <w:szCs w:val="24"/>
        </w:rPr>
        <w:t>concomitant Type 2 Diabetes Mellitus.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260"/>
        <w:gridCol w:w="923"/>
        <w:gridCol w:w="923"/>
        <w:gridCol w:w="923"/>
        <w:gridCol w:w="923"/>
        <w:gridCol w:w="1003"/>
        <w:gridCol w:w="1133"/>
      </w:tblGrid>
      <w:tr w:rsidR="00A95E74" w:rsidRPr="00A95E74" w:rsidTr="00BF2FEE">
        <w:trPr>
          <w:trHeight w:val="20"/>
        </w:trPr>
        <w:tc>
          <w:tcPr>
            <w:tcW w:w="4379" w:type="dxa"/>
            <w:gridSpan w:val="2"/>
            <w:vMerge w:val="restart"/>
            <w:shd w:val="clear" w:color="auto" w:fill="auto"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8" w:type="dxa"/>
            <w:gridSpan w:val="6"/>
            <w:shd w:val="clear" w:color="auto" w:fill="auto"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5E74" w:rsidRPr="00A95E74" w:rsidTr="00BF2FEE">
        <w:trPr>
          <w:trHeight w:val="20"/>
        </w:trPr>
        <w:tc>
          <w:tcPr>
            <w:tcW w:w="4379" w:type="dxa"/>
            <w:gridSpan w:val="2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2001-2003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2004-2006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2007-2009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2010-2012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2013-2015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A95E74" w:rsidRPr="00A95E74" w:rsidRDefault="00A95E74" w:rsidP="00C0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Sex, n (%)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215(62,32)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293(60,29)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370(61,36)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614(63,83)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704(67,69)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0,023</w:t>
            </w: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/>
            <w:vAlign w:val="center"/>
            <w:hideMark/>
          </w:tcPr>
          <w:p w:rsidR="00A95E74" w:rsidRPr="00A95E74" w:rsidRDefault="00A95E74" w:rsidP="00C0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130(37,68)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193(39,71)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233(38,64)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348(36,17)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336(32,31)</w:t>
            </w:r>
          </w:p>
        </w:tc>
        <w:tc>
          <w:tcPr>
            <w:tcW w:w="1133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95E74" w:rsidRPr="00A95E74" w:rsidRDefault="00A95E74" w:rsidP="00C0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groups, n (%)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40-66 years old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129(37,39)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170(34,98)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189(31,34)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255(26,51)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287(27,6)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67-75 years old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132(38,26)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178(36,63)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203(33,67)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302(31,39)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338(32,5)</w:t>
            </w:r>
          </w:p>
        </w:tc>
        <w:tc>
          <w:tcPr>
            <w:tcW w:w="1133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≥76 years old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84(24,35)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138(28,4)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211(34,99)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405(42,1)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415(39,9)</w:t>
            </w:r>
          </w:p>
        </w:tc>
        <w:tc>
          <w:tcPr>
            <w:tcW w:w="1133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Prosthetic valve carriers, n (%)</w:t>
            </w: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318(92,17)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445(91,56)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546(90,55)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856(88,98)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938(90,19)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0,375</w:t>
            </w: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27(7,83)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41(8,44)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57(9,45)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106(11,02)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102(9,81)</w:t>
            </w:r>
          </w:p>
        </w:tc>
        <w:tc>
          <w:tcPr>
            <w:tcW w:w="1133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Previous mitral valve disease, n (%)</w:t>
            </w: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246(71,3)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364(74,9)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447(74,13)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691(71,83)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776(74,62)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0,478</w:t>
            </w: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99(28,7)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122(25,1)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156(25,87)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271(28,17)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264(25,38)</w:t>
            </w:r>
          </w:p>
        </w:tc>
        <w:tc>
          <w:tcPr>
            <w:tcW w:w="1133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Previous aortic valve disease, n (%)</w:t>
            </w: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270(78,26)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372(76,54)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454(75,29)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711(73,91)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760(73,08)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0,280</w:t>
            </w: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75(21,74)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114(23,46)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149(24,71)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251(26,09)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280(26,92)</w:t>
            </w:r>
          </w:p>
        </w:tc>
        <w:tc>
          <w:tcPr>
            <w:tcW w:w="1133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Congestive heart failure, n (%)</w:t>
            </w: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268(77,68)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357(73,46)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441(73,13)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674(70,06)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724(69,62)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77(22,32)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129(26,54)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162(26,87)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288(29,94)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316(30,38)</w:t>
            </w:r>
          </w:p>
        </w:tc>
        <w:tc>
          <w:tcPr>
            <w:tcW w:w="1133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Septic arterial embolism, n (%)</w:t>
            </w: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345(100)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486(100)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603(100)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942(97,92)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1021(98,17)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20(2,08)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19(1,83)</w:t>
            </w:r>
          </w:p>
        </w:tc>
        <w:tc>
          <w:tcPr>
            <w:tcW w:w="1133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Dementia, n (%)</w:t>
            </w: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336(97,39)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479(98,56)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594(98,51)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941(97,82)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1025(98,56)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0,472</w:t>
            </w: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9(2,61)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7(1,44)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9(1,49)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21(2,18)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15(1,44)</w:t>
            </w:r>
          </w:p>
        </w:tc>
        <w:tc>
          <w:tcPr>
            <w:tcW w:w="1133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Acute renal disease, n (%)</w:t>
            </w: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296(85,8)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408(83,95)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515(85,41)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776(80,67)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824(79,23)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49(14,2)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78(16,05)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88(14,59)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186(19,33)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216(20,77)</w:t>
            </w:r>
          </w:p>
        </w:tc>
        <w:tc>
          <w:tcPr>
            <w:tcW w:w="1133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Chronic renal disease, n (%)</w:t>
            </w: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316(91,59)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441(90,74)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518(85,9)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759(78,9)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810(77,88)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29(8,41)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45(9,26)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85(14,1)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203(21,1)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230(22,12)</w:t>
            </w:r>
          </w:p>
        </w:tc>
        <w:tc>
          <w:tcPr>
            <w:tcW w:w="1133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Ischemic heart disease, n (%)</w:t>
            </w: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291(84,35)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402(82,72)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499(82,75)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791(82,22)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826(79,42)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0,185</w:t>
            </w: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54(15,65)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84(17,28)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104(17,25)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171(17,78)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214(20,58)</w:t>
            </w:r>
          </w:p>
        </w:tc>
        <w:tc>
          <w:tcPr>
            <w:tcW w:w="1133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COPD, n (%)</w:t>
            </w: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294(85,22)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407(83,74)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503(83,42)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793(82,43)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837(80,48)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0,234</w:t>
            </w: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51(14,78)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79(16,26)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100(16,58)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169(17,57)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203(19,52)</w:t>
            </w:r>
          </w:p>
        </w:tc>
        <w:tc>
          <w:tcPr>
            <w:tcW w:w="1133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Atrial fibrillation, n (%)</w:t>
            </w: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258(74,78)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372(76,54)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462(76,62)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724(75,26)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757(72,79)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0,383</w:t>
            </w: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87(25,22)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114(23,46)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141(23,38)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238(24,74)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283(27,21)</w:t>
            </w:r>
          </w:p>
        </w:tc>
        <w:tc>
          <w:tcPr>
            <w:tcW w:w="1133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Shock, n (%) </w:t>
            </w: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318(92,17)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445(91,56)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557(92,37)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898(93,35)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979(94,13)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0,340</w:t>
            </w: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27(7,83)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41(8,44)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46(7,63)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64(6,65)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61(5,87)</w:t>
            </w:r>
          </w:p>
        </w:tc>
        <w:tc>
          <w:tcPr>
            <w:tcW w:w="1133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Periannular complications / atrioventricular block, n (%)</w:t>
            </w: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339(98,26)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470(96,71)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588(97,51)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920(95,63)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990(95,19)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0,026</w:t>
            </w: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6(1,74)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16(3,29)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15(2,49)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42(4,37)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50(4,81)</w:t>
            </w:r>
          </w:p>
        </w:tc>
        <w:tc>
          <w:tcPr>
            <w:tcW w:w="1133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Heart valve surgery, n (%)</w:t>
            </w: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313(90,72)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413(84,98)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515(85,41)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840(87,32)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876(84,23)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32(9,28)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73(15,02)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88(14,59)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122(12,68)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164(15,77)</w:t>
            </w:r>
          </w:p>
        </w:tc>
        <w:tc>
          <w:tcPr>
            <w:tcW w:w="1133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Dialysis, n (%)</w:t>
            </w: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322(93,33)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451(92,8)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558(92,54)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894(92,93)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963(92,6)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0,990</w:t>
            </w: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23(6,67)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35(7,2)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45(7,46)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68(7,07)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77(7,4)</w:t>
            </w:r>
          </w:p>
        </w:tc>
        <w:tc>
          <w:tcPr>
            <w:tcW w:w="1133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Pacemaker implantation, n (%)</w:t>
            </w: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344(99,71)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477(98,15)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592(98,18)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923(95,95)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1011(97,21)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1(0,29)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9(1,85)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11(1,82)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39(4,05)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29(2,79)</w:t>
            </w:r>
          </w:p>
        </w:tc>
        <w:tc>
          <w:tcPr>
            <w:tcW w:w="1133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Mechanical ventilation, n (%)</w:t>
            </w: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304(88,12)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438(90,12)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532(88,23)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854(88,77)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898(86,35)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0,252</w:t>
            </w: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41(11,88)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48(9,88)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71(11,77)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108(11,23)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142(13,65)</w:t>
            </w:r>
          </w:p>
        </w:tc>
        <w:tc>
          <w:tcPr>
            <w:tcW w:w="1133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Coagulase-negative staphylococci, n (%)</w:t>
            </w: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317(91,88)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425(87,45)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550(91,21)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814(84,62)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889(85,48)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28(8,12)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61(12,55)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53(8,79)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148(15,38)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151(14,52)</w:t>
            </w:r>
          </w:p>
        </w:tc>
        <w:tc>
          <w:tcPr>
            <w:tcW w:w="1133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Staphylococcus aureus,</w:t>
            </w: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 (%)</w:t>
            </w: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285(82,61)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416(85,6)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515(85,41)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832(86,49)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884(85)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0,527</w:t>
            </w: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60(17,39)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70(14,4)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88(14,59)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130(13,51)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156(15)</w:t>
            </w:r>
          </w:p>
        </w:tc>
        <w:tc>
          <w:tcPr>
            <w:tcW w:w="1133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Streptococci, n (%) </w:t>
            </w: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266(77,1)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379(77,98)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482(79,93)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796(82,74)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864(83,08)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0,021</w:t>
            </w: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79(22,9)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107(22,02)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121(20,07)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166(17,26)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176(16,92)</w:t>
            </w:r>
          </w:p>
        </w:tc>
        <w:tc>
          <w:tcPr>
            <w:tcW w:w="1133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Enterococci, n (%) </w:t>
            </w: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301(87,25)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425(87,45)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494(81,92)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803(83,47)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856(82,31)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44(12,75)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61(12,55)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109(18,08)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159(16,53)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184(17,69)</w:t>
            </w:r>
          </w:p>
        </w:tc>
        <w:tc>
          <w:tcPr>
            <w:tcW w:w="1133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Streptococcus pneumoniae,</w:t>
            </w: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 (%)</w:t>
            </w: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344(99,71)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482(99,18)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601(99,67)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959(99,69)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1035(99,52)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0,665</w:t>
            </w: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1(0,29)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4(0,82)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2(0,33)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3(0,31)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5(0,48)</w:t>
            </w:r>
          </w:p>
        </w:tc>
        <w:tc>
          <w:tcPr>
            <w:tcW w:w="1133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Anaerobes, n (%)</w:t>
            </w: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344(99,71)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485(99,79)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600(99,5)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956(99,38)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1030(99,04)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0,388</w:t>
            </w: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1(0,29)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1(0,21)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3(0,5)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6(0,62)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10(0,96)</w:t>
            </w:r>
          </w:p>
        </w:tc>
        <w:tc>
          <w:tcPr>
            <w:tcW w:w="1133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Gram-negative bacilli, n (%)</w:t>
            </w: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332(96,23)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450(92,59)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557(92,37)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883(91,79)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950(91,35)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0,055</w:t>
            </w: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13(3,77)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36(7,41)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46(7,63)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79(8,21)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90(8,65)</w:t>
            </w:r>
          </w:p>
        </w:tc>
        <w:tc>
          <w:tcPr>
            <w:tcW w:w="1133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Candidiasis / Aspergillosis, n (%)</w:t>
            </w: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345(100)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485(99,79)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602(99,83)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962(100)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1039(99,9)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0,670</w:t>
            </w: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1(0,21)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1(0,17)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1(0,1)</w:t>
            </w:r>
          </w:p>
        </w:tc>
        <w:tc>
          <w:tcPr>
            <w:tcW w:w="1133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Readmissions, n (%)</w:t>
            </w: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287(83,19)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395(81,28)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487(80,76)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763(79,31)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817(78,56)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0,338</w:t>
            </w: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58(16,81)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91(18,72)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116(19,24)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199(20,69)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223(21,44)</w:t>
            </w:r>
          </w:p>
        </w:tc>
        <w:tc>
          <w:tcPr>
            <w:tcW w:w="1133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In-hospital mortality, n (%)</w:t>
            </w: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258(74,78)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385(79,22)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468(77,61)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753(78,27)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858(82,5)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</w:tr>
      <w:tr w:rsidR="00A95E74" w:rsidRPr="00A95E74" w:rsidTr="00BF2FEE">
        <w:trPr>
          <w:trHeight w:val="20"/>
        </w:trPr>
        <w:tc>
          <w:tcPr>
            <w:tcW w:w="3119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87(25,22)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101(20,78)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135(22,39)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209(21,73)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182(17,5)</w:t>
            </w:r>
          </w:p>
        </w:tc>
        <w:tc>
          <w:tcPr>
            <w:tcW w:w="1133" w:type="dxa"/>
            <w:vMerge/>
            <w:vAlign w:val="center"/>
            <w:hideMark/>
          </w:tcPr>
          <w:p w:rsidR="00A95E74" w:rsidRPr="00A95E74" w:rsidRDefault="00A95E74" w:rsidP="00A9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95E74" w:rsidRDefault="00A95E74" w:rsidP="00C01076">
      <w:pPr>
        <w:rPr>
          <w:rFonts w:ascii="Times New Roman" w:hAnsi="Times New Roman" w:cs="Times New Roman"/>
        </w:rPr>
      </w:pPr>
    </w:p>
    <w:sectPr w:rsidR="00A95E74" w:rsidSect="00BF2FEE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B600E7"/>
    <w:rsid w:val="00294690"/>
    <w:rsid w:val="002B0846"/>
    <w:rsid w:val="00393EA0"/>
    <w:rsid w:val="004550B6"/>
    <w:rsid w:val="006D7559"/>
    <w:rsid w:val="0074488D"/>
    <w:rsid w:val="00772A93"/>
    <w:rsid w:val="0079054E"/>
    <w:rsid w:val="00813285"/>
    <w:rsid w:val="008E329C"/>
    <w:rsid w:val="009832FE"/>
    <w:rsid w:val="00A95E74"/>
    <w:rsid w:val="00B06D6E"/>
    <w:rsid w:val="00B600E7"/>
    <w:rsid w:val="00BF2FEE"/>
    <w:rsid w:val="00C01076"/>
    <w:rsid w:val="00C17C45"/>
    <w:rsid w:val="00E96DED"/>
    <w:rsid w:val="00FC54E9"/>
    <w:rsid w:val="00FD3135"/>
    <w:rsid w:val="00FD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E7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0E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3944</Characters>
  <Application>Microsoft Office Word</Application>
  <DocSecurity>0</DocSecurity>
  <Lines>101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Jiménez García</dc:creator>
  <cp:lastModifiedBy>0013357</cp:lastModifiedBy>
  <cp:revision>4</cp:revision>
  <dcterms:created xsi:type="dcterms:W3CDTF">2019-11-09T15:40:00Z</dcterms:created>
  <dcterms:modified xsi:type="dcterms:W3CDTF">2019-11-15T15:18:00Z</dcterms:modified>
</cp:coreProperties>
</file>