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8D" w:rsidRPr="00EC7D82" w:rsidRDefault="004F038D" w:rsidP="004F038D">
      <w:pPr>
        <w:spacing w:line="288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 w:rsidRPr="00EC7D82">
        <w:rPr>
          <w:rFonts w:ascii="Times New Roman" w:hAnsi="Times New Roman" w:cs="Times New Roman"/>
          <w:b/>
          <w:color w:val="000000" w:themeColor="text1"/>
          <w:szCs w:val="20"/>
        </w:rPr>
        <w:t xml:space="preserve">Additional file 3. </w:t>
      </w:r>
      <w:r w:rsidRPr="00EC7D82">
        <w:rPr>
          <w:rFonts w:ascii="Times New Roman" w:hAnsi="Times New Roman" w:cs="Times New Roman"/>
          <w:color w:val="000000" w:themeColor="text1"/>
          <w:szCs w:val="20"/>
        </w:rPr>
        <w:t>Variation in expression of the reference genes in sorghum before and after removal of batch effect.</w:t>
      </w:r>
    </w:p>
    <w:tbl>
      <w:tblPr>
        <w:tblW w:w="13520" w:type="dxa"/>
        <w:tblLook w:val="04A0"/>
      </w:tblPr>
      <w:tblGrid>
        <w:gridCol w:w="2972"/>
        <w:gridCol w:w="1701"/>
        <w:gridCol w:w="2126"/>
        <w:gridCol w:w="803"/>
        <w:gridCol w:w="808"/>
        <w:gridCol w:w="809"/>
        <w:gridCol w:w="938"/>
        <w:gridCol w:w="808"/>
        <w:gridCol w:w="809"/>
        <w:gridCol w:w="808"/>
        <w:gridCol w:w="938"/>
      </w:tblGrid>
      <w:tr w:rsidR="004F038D" w:rsidRPr="00864C6A" w:rsidTr="00F967EF">
        <w:trPr>
          <w:trHeight w:val="325"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Gene Annotation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geneID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References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Before normalization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After normalization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　</w:t>
            </w:r>
          </w:p>
        </w:tc>
      </w:tr>
      <w:tr w:rsidR="004F038D" w:rsidRPr="00864C6A" w:rsidTr="00F967EF">
        <w:trPr>
          <w:trHeight w:val="480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CV_data1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CV_data2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CV_data3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CV_allData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CV_data1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CV_data2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CV_data3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20"/>
              </w:rPr>
              <w:t>CV_allData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ubiquitin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Sobic.001G136900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Abdel-Ghny SE et al. 2016</w:t>
            </w:r>
          </w:p>
        </w:tc>
        <w:tc>
          <w:tcPr>
            <w:tcW w:w="8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0.258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0.244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0.098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0.261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0.246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0.210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0.107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0.229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ACP2 [Acyl carrier protein2]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Sobic.002G280400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Reddy PS et al. 2016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0.196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0.128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0.432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0.252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0.185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0.132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0.455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0.238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EIF 4a [Eukaryotic Initiation factor 4A]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Sobic.004G039400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Reddy PS et al. 2016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0.292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0.249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0.394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0.341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0.305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0.280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0.398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0.326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PP2A [Serine/threonine- protein Phosphatase]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Sobic.004G092500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Reddy PS et al. 2016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0.154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0.090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0.221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0.168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0.153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0.082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0.171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0.151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Ubiquitin (protein1 isoformC)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Sobic.004G273300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Reddy PS et al. 2016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0.237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0.181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0.220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0.284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0.245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0.162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0.209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0.274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6PGDH [6-phosphogluconate dehydrogenase]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Sobic.005G115600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Reddy PS et al. 2016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0.414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0.491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0.406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0.520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0.411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0.439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0.352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0.500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ACTIN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Sobic.008G047000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Li et al. 2014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0.273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0.464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0.470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0.351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0.293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0.378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0.377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0.346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ACTIN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Sobic.009G005900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Li et al. 2014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0.187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0.286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0.375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0.270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0.203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0.241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0.363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0.253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EF1a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Sobic.010G182200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Milne RJ et al. 2013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0.202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0.263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0.370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0.297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0.213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0.244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0.383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0.281</w:t>
            </w:r>
          </w:p>
        </w:tc>
      </w:tr>
      <w:tr w:rsidR="004F038D" w:rsidRPr="00864C6A" w:rsidTr="00F967EF">
        <w:trPr>
          <w:trHeight w:val="220"/>
        </w:trPr>
        <w:tc>
          <w:tcPr>
            <w:tcW w:w="29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EF1a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Sobic.010G182600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Milne RJ et al. 2013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0.355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0.189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0.474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0.395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0.309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0.252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0.480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4F038D" w:rsidRPr="00556672" w:rsidRDefault="004F038D" w:rsidP="00F967EF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</w:pPr>
            <w:r w:rsidRPr="00556672">
              <w:rPr>
                <w:rFonts w:ascii="Times New Roman" w:eastAsia="DengXian" w:hAnsi="Times New Roman" w:cs="Times New Roman"/>
                <w:color w:val="000000"/>
                <w:sz w:val="18"/>
                <w:szCs w:val="20"/>
              </w:rPr>
              <w:t>0.372</w:t>
            </w:r>
          </w:p>
        </w:tc>
      </w:tr>
    </w:tbl>
    <w:p w:rsidR="004F038D" w:rsidRPr="004B1A5B" w:rsidRDefault="004F038D" w:rsidP="004F038D">
      <w:pPr>
        <w:spacing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1A5B">
        <w:rPr>
          <w:rFonts w:ascii="Times New Roman" w:hAnsi="Times New Roman" w:cs="Times New Roman"/>
          <w:color w:val="000000" w:themeColor="text1"/>
          <w:sz w:val="20"/>
          <w:szCs w:val="20"/>
        </w:rPr>
        <w:t>Note: CV= coefficient of variance; Data1 = RIO/R9188/BTx406 RNA-seq dataset; Data2 = Della RNA-seq dataset; Data3 = SIL-05 RNA-seq dataset; References where these genes were used as reference genes for qRT--PCR in sorghum are given as below.</w:t>
      </w:r>
    </w:p>
    <w:p w:rsidR="004F038D" w:rsidRPr="004B1A5B" w:rsidRDefault="004F038D" w:rsidP="004F038D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1A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 for Additional file 3:</w:t>
      </w:r>
    </w:p>
    <w:p w:rsidR="004F038D" w:rsidRPr="00864C6A" w:rsidRDefault="004F038D" w:rsidP="004F038D">
      <w:pPr>
        <w:pStyle w:val="ListParagraph"/>
        <w:numPr>
          <w:ilvl w:val="0"/>
          <w:numId w:val="1"/>
        </w:numPr>
        <w:spacing w:afterLines="50"/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4C6A">
        <w:rPr>
          <w:rFonts w:ascii="Times New Roman" w:hAnsi="Times New Roman" w:cs="Times New Roman"/>
          <w:color w:val="000000" w:themeColor="text1"/>
          <w:sz w:val="20"/>
          <w:szCs w:val="20"/>
        </w:rPr>
        <w:t>Abdel-Ghany SE, Hamilton M, Jacobi JL, Ngam P, Devitt N, Schilkey F, Ben-Hur A, Reddy ASN. 2016. A survey of the sorghum transcriptome usingcsingle-molecule long reads. Nature Communications, 7, 11706.</w:t>
      </w:r>
    </w:p>
    <w:p w:rsidR="004F038D" w:rsidRPr="00864C6A" w:rsidRDefault="004F038D" w:rsidP="004F038D">
      <w:pPr>
        <w:pStyle w:val="ListParagraph"/>
        <w:numPr>
          <w:ilvl w:val="0"/>
          <w:numId w:val="1"/>
        </w:numPr>
        <w:spacing w:afterLines="50"/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4C6A">
        <w:rPr>
          <w:rFonts w:ascii="Times New Roman" w:hAnsi="Times New Roman" w:cs="Times New Roman"/>
          <w:color w:val="000000" w:themeColor="text1"/>
          <w:sz w:val="20"/>
          <w:szCs w:val="20"/>
        </w:rPr>
        <w:t>Reddy PS, Reddy DS, Sivasakthi K, Bhatnagar-Mathur P, Vadez V, Sharma KK. 2016. Evaluation of Sorghum [Sorghumbicolor(L.)] Reference Genes in Various Tissues and under Abiotic Stress Conditions for Quantitative Real-Time PCR Data Normalization. Frontiers in Plant Science, 7, 529.</w:t>
      </w:r>
    </w:p>
    <w:p w:rsidR="004F038D" w:rsidRPr="00864C6A" w:rsidRDefault="004F038D" w:rsidP="004F038D">
      <w:pPr>
        <w:pStyle w:val="ListParagraph"/>
        <w:numPr>
          <w:ilvl w:val="0"/>
          <w:numId w:val="1"/>
        </w:numPr>
        <w:spacing w:afterLines="50"/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4C6A">
        <w:rPr>
          <w:rFonts w:ascii="Times New Roman" w:hAnsi="Times New Roman" w:cs="Times New Roman"/>
          <w:color w:val="000000" w:themeColor="text1"/>
          <w:sz w:val="20"/>
          <w:szCs w:val="20"/>
        </w:rPr>
        <w:t>Li X, Su M, Li X, Cheng L, Qi D, Chen S, Liu G. 2014. Molecular characterization and expression patterns of sucrosetransport-related genes in sweet sorghum under defoliation. Acta Physiol. Plant, 36, 1251-1259.</w:t>
      </w:r>
    </w:p>
    <w:p w:rsidR="004F038D" w:rsidRPr="00864C6A" w:rsidRDefault="004F038D" w:rsidP="004F038D">
      <w:pPr>
        <w:pStyle w:val="ListParagraph"/>
        <w:numPr>
          <w:ilvl w:val="0"/>
          <w:numId w:val="1"/>
        </w:numPr>
        <w:spacing w:afterLines="50"/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4C6A">
        <w:rPr>
          <w:rFonts w:ascii="Times New Roman" w:hAnsi="Times New Roman" w:cs="Times New Roman"/>
          <w:color w:val="000000" w:themeColor="text1"/>
          <w:sz w:val="20"/>
          <w:szCs w:val="20"/>
        </w:rPr>
        <w:t>Milne RJ, Byrt CS, Patrick JW, Grof CP. 2013. Are sucrose transporter expression profiles linked with patterns of biomass partitioning in Sorghum phenotypes? Frontiers in Plant Science, 4, 223.</w:t>
      </w:r>
    </w:p>
    <w:p w:rsidR="00AD0BE3" w:rsidRDefault="00AD0BE3"/>
    <w:sectPr w:rsidR="00AD0BE3" w:rsidSect="00AD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7921"/>
    <w:multiLevelType w:val="hybridMultilevel"/>
    <w:tmpl w:val="983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20"/>
  <w:characterSpacingControl w:val="doNotCompress"/>
  <w:compat/>
  <w:rsids>
    <w:rsidRoot w:val="004F038D"/>
    <w:rsid w:val="004F038D"/>
    <w:rsid w:val="00686398"/>
    <w:rsid w:val="00953636"/>
    <w:rsid w:val="00AD0BE3"/>
    <w:rsid w:val="00D146CC"/>
    <w:rsid w:val="00EA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8D"/>
    <w:pPr>
      <w:spacing w:after="0" w:line="240" w:lineRule="auto"/>
      <w:ind w:firstLineChars="200" w:firstLine="420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0013357</dc:creator>
  <cp:lastModifiedBy>0013357</cp:lastModifiedBy>
  <cp:revision>1</cp:revision>
  <dcterms:created xsi:type="dcterms:W3CDTF">2019-11-11T09:59:00Z</dcterms:created>
  <dcterms:modified xsi:type="dcterms:W3CDTF">2019-11-11T10:00:00Z</dcterms:modified>
</cp:coreProperties>
</file>