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758E" w:rsidRPr="001125E2" w:rsidRDefault="006F758E" w:rsidP="001125E2">
      <w:pPr>
        <w:tabs>
          <w:tab w:val="left" w:pos="1888"/>
        </w:tabs>
        <w:spacing w:line="480" w:lineRule="auto"/>
        <w:jc w:val="center"/>
        <w:rPr>
          <w:rFonts w:asciiTheme="minorHAnsi" w:hAnsiTheme="minorHAnsi"/>
          <w:b/>
          <w:sz w:val="32"/>
          <w:szCs w:val="32"/>
        </w:rPr>
      </w:pPr>
      <w:r w:rsidRPr="001125E2">
        <w:rPr>
          <w:rFonts w:asciiTheme="minorHAnsi" w:hAnsiTheme="minorHAnsi"/>
          <w:b/>
          <w:sz w:val="32"/>
          <w:szCs w:val="32"/>
        </w:rPr>
        <w:t>Additional File to</w:t>
      </w:r>
    </w:p>
    <w:p w:rsidR="006F758E" w:rsidRPr="006F758E" w:rsidRDefault="006F758E" w:rsidP="001125E2">
      <w:pPr>
        <w:tabs>
          <w:tab w:val="left" w:pos="1888"/>
        </w:tabs>
        <w:spacing w:line="480" w:lineRule="auto"/>
        <w:jc w:val="center"/>
        <w:rPr>
          <w:rFonts w:asciiTheme="minorHAnsi" w:hAnsiTheme="minorHAnsi"/>
          <w:b/>
          <w:sz w:val="32"/>
          <w:szCs w:val="32"/>
        </w:rPr>
      </w:pPr>
    </w:p>
    <w:p w:rsidR="006F758E" w:rsidRPr="006F758E" w:rsidRDefault="006F758E" w:rsidP="001125E2">
      <w:pPr>
        <w:tabs>
          <w:tab w:val="left" w:pos="1888"/>
        </w:tabs>
        <w:spacing w:line="480" w:lineRule="auto"/>
        <w:jc w:val="center"/>
        <w:rPr>
          <w:rFonts w:asciiTheme="minorHAnsi" w:hAnsiTheme="minorHAnsi"/>
          <w:b/>
          <w:sz w:val="32"/>
          <w:szCs w:val="32"/>
        </w:rPr>
      </w:pPr>
      <w:r w:rsidRPr="006F758E">
        <w:rPr>
          <w:rFonts w:asciiTheme="minorHAnsi" w:hAnsiTheme="minorHAnsi"/>
          <w:b/>
          <w:sz w:val="32"/>
          <w:szCs w:val="32"/>
        </w:rPr>
        <w:t>Hypo- or hyperactivity of zebrafish embryos provoked by neuroactive substances: A review on how experimental parameters impact the predictability of behavior changes</w:t>
      </w:r>
    </w:p>
    <w:p w:rsidR="006F758E" w:rsidRPr="006F758E" w:rsidRDefault="006F758E" w:rsidP="001125E2">
      <w:pPr>
        <w:spacing w:line="480" w:lineRule="auto"/>
        <w:jc w:val="center"/>
        <w:rPr>
          <w:rFonts w:asciiTheme="minorHAnsi" w:hAnsiTheme="minorHAnsi"/>
          <w:sz w:val="32"/>
          <w:szCs w:val="32"/>
        </w:rPr>
      </w:pPr>
    </w:p>
    <w:p w:rsidR="006F758E" w:rsidRPr="006F758E" w:rsidRDefault="006F758E" w:rsidP="001125E2">
      <w:pPr>
        <w:spacing w:line="480" w:lineRule="auto"/>
        <w:jc w:val="center"/>
        <w:rPr>
          <w:rFonts w:asciiTheme="minorHAnsi" w:hAnsiTheme="minorHAnsi"/>
          <w:sz w:val="32"/>
          <w:szCs w:val="32"/>
        </w:rPr>
      </w:pPr>
    </w:p>
    <w:p w:rsidR="001125E2" w:rsidRPr="006F758E" w:rsidRDefault="006F758E" w:rsidP="001125E2">
      <w:pPr>
        <w:spacing w:after="0" w:line="480" w:lineRule="auto"/>
        <w:jc w:val="center"/>
        <w:rPr>
          <w:rFonts w:asciiTheme="minorHAnsi" w:hAnsiTheme="minorHAnsi"/>
          <w:b/>
          <w:sz w:val="32"/>
          <w:szCs w:val="32"/>
          <w:lang w:val="de-DE"/>
        </w:rPr>
      </w:pPr>
      <w:r w:rsidRPr="006F758E">
        <w:rPr>
          <w:rFonts w:asciiTheme="minorHAnsi" w:hAnsiTheme="minorHAnsi"/>
          <w:b/>
          <w:sz w:val="32"/>
          <w:szCs w:val="32"/>
          <w:lang w:val="de-DE"/>
        </w:rPr>
        <w:t>*Afolarin Ogungbemi</w:t>
      </w:r>
      <w:r w:rsidR="001125E2" w:rsidRPr="001125E2">
        <w:rPr>
          <w:rFonts w:asciiTheme="minorHAnsi" w:hAnsiTheme="minorHAnsi"/>
          <w:b/>
          <w:sz w:val="32"/>
          <w:szCs w:val="32"/>
          <w:lang w:val="de-DE"/>
        </w:rPr>
        <w:t xml:space="preserve">, </w:t>
      </w:r>
      <w:r w:rsidR="001125E2" w:rsidRPr="006F758E">
        <w:rPr>
          <w:rFonts w:asciiTheme="minorHAnsi" w:hAnsiTheme="minorHAnsi"/>
          <w:b/>
          <w:sz w:val="32"/>
          <w:szCs w:val="32"/>
          <w:lang w:val="de-DE"/>
        </w:rPr>
        <w:t>David Leuthold</w:t>
      </w:r>
      <w:r w:rsidR="001125E2" w:rsidRPr="001125E2">
        <w:rPr>
          <w:rFonts w:asciiTheme="minorHAnsi" w:hAnsiTheme="minorHAnsi"/>
          <w:b/>
          <w:sz w:val="32"/>
          <w:szCs w:val="32"/>
          <w:lang w:val="de-DE"/>
        </w:rPr>
        <w:t xml:space="preserve">, </w:t>
      </w:r>
      <w:r w:rsidR="001125E2" w:rsidRPr="006F758E">
        <w:rPr>
          <w:rFonts w:asciiTheme="minorHAnsi" w:hAnsiTheme="minorHAnsi"/>
          <w:b/>
          <w:sz w:val="32"/>
          <w:szCs w:val="32"/>
          <w:lang w:val="de-DE"/>
        </w:rPr>
        <w:t>Stefan Scholz</w:t>
      </w:r>
      <w:r w:rsidR="001125E2" w:rsidRPr="001125E2">
        <w:rPr>
          <w:rFonts w:asciiTheme="minorHAnsi" w:hAnsiTheme="minorHAnsi"/>
          <w:b/>
          <w:sz w:val="32"/>
          <w:szCs w:val="32"/>
          <w:lang w:val="de-DE"/>
        </w:rPr>
        <w:t xml:space="preserve">, </w:t>
      </w:r>
      <w:r w:rsidR="001125E2" w:rsidRPr="006F758E">
        <w:rPr>
          <w:rFonts w:asciiTheme="minorHAnsi" w:hAnsiTheme="minorHAnsi"/>
          <w:b/>
          <w:sz w:val="32"/>
          <w:szCs w:val="32"/>
          <w:lang w:val="de-DE"/>
        </w:rPr>
        <w:t>Eberhard Küster</w:t>
      </w:r>
    </w:p>
    <w:p w:rsidR="006F758E" w:rsidRPr="006F758E" w:rsidRDefault="006F758E" w:rsidP="001125E2">
      <w:pPr>
        <w:spacing w:after="0" w:line="480" w:lineRule="auto"/>
        <w:jc w:val="center"/>
        <w:rPr>
          <w:rFonts w:asciiTheme="minorHAnsi" w:hAnsiTheme="minorHAnsi"/>
          <w:sz w:val="32"/>
          <w:szCs w:val="32"/>
        </w:rPr>
      </w:pPr>
      <w:r w:rsidRPr="006F758E">
        <w:rPr>
          <w:rFonts w:asciiTheme="minorHAnsi" w:hAnsiTheme="minorHAnsi"/>
          <w:sz w:val="32"/>
          <w:szCs w:val="32"/>
        </w:rPr>
        <w:t xml:space="preserve">Department of Bioanalytical Ecotoxicology, Helmholtz Centre for Environmental Research−UFZ, </w:t>
      </w:r>
      <w:proofErr w:type="spellStart"/>
      <w:r w:rsidRPr="006F758E">
        <w:rPr>
          <w:rFonts w:asciiTheme="minorHAnsi" w:hAnsiTheme="minorHAnsi"/>
          <w:sz w:val="32"/>
          <w:szCs w:val="32"/>
        </w:rPr>
        <w:t>Permoserstr</w:t>
      </w:r>
      <w:proofErr w:type="spellEnd"/>
      <w:r w:rsidRPr="006F758E">
        <w:rPr>
          <w:rFonts w:asciiTheme="minorHAnsi" w:hAnsiTheme="minorHAnsi"/>
          <w:sz w:val="32"/>
          <w:szCs w:val="32"/>
        </w:rPr>
        <w:t>. 15, 04318 Leipzig, Germany</w:t>
      </w:r>
    </w:p>
    <w:p w:rsidR="006F758E" w:rsidRPr="006F758E" w:rsidRDefault="006F758E" w:rsidP="001125E2">
      <w:pPr>
        <w:spacing w:after="0" w:line="480" w:lineRule="auto"/>
        <w:jc w:val="center"/>
        <w:rPr>
          <w:rFonts w:asciiTheme="minorHAnsi" w:hAnsiTheme="minorHAnsi"/>
          <w:sz w:val="32"/>
          <w:szCs w:val="32"/>
        </w:rPr>
      </w:pPr>
    </w:p>
    <w:p w:rsidR="006F758E" w:rsidRPr="001125E2" w:rsidRDefault="006F758E" w:rsidP="001125E2">
      <w:pPr>
        <w:spacing w:line="480" w:lineRule="auto"/>
        <w:jc w:val="center"/>
        <w:rPr>
          <w:rFonts w:asciiTheme="minorHAnsi" w:hAnsiTheme="minorHAnsi"/>
          <w:sz w:val="32"/>
          <w:szCs w:val="32"/>
        </w:rPr>
      </w:pPr>
    </w:p>
    <w:p w:rsidR="001125E2" w:rsidRPr="001125E2" w:rsidRDefault="001125E2" w:rsidP="001125E2">
      <w:pPr>
        <w:spacing w:line="480" w:lineRule="auto"/>
        <w:jc w:val="center"/>
        <w:rPr>
          <w:rFonts w:asciiTheme="minorHAnsi" w:hAnsiTheme="minorHAnsi"/>
          <w:sz w:val="32"/>
          <w:szCs w:val="32"/>
        </w:rPr>
      </w:pPr>
      <w:r w:rsidRPr="001125E2">
        <w:rPr>
          <w:rFonts w:asciiTheme="minorHAnsi" w:hAnsiTheme="minorHAnsi"/>
          <w:sz w:val="32"/>
          <w:szCs w:val="32"/>
        </w:rPr>
        <w:t>*Corresponding author: afolarin.ogungbemi@ufz.de</w:t>
      </w:r>
    </w:p>
    <w:p w:rsidR="001125E2" w:rsidRPr="006F758E" w:rsidRDefault="001125E2" w:rsidP="006F758E">
      <w:pPr>
        <w:spacing w:line="480" w:lineRule="auto"/>
        <w:jc w:val="both"/>
        <w:rPr>
          <w:rFonts w:asciiTheme="minorHAnsi" w:hAnsiTheme="minorHAnsi"/>
        </w:rPr>
      </w:pPr>
    </w:p>
    <w:p w:rsidR="006F758E" w:rsidRDefault="006F758E"/>
    <w:p w:rsidR="004B3691" w:rsidRDefault="004B3691">
      <w:r>
        <w:lastRenderedPageBreak/>
        <w:t xml:space="preserve">Table </w:t>
      </w:r>
      <w:r w:rsidR="00DE4C19">
        <w:t>S</w:t>
      </w:r>
      <w:r>
        <w:t xml:space="preserve">1: Sources of </w:t>
      </w:r>
      <w:r w:rsidR="00DE4C19">
        <w:t xml:space="preserve">fish embryo test </w:t>
      </w:r>
      <w:r>
        <w:t>lethality data used in Figure 3 of main text.</w:t>
      </w:r>
    </w:p>
    <w:tbl>
      <w:tblPr>
        <w:tblW w:w="10335" w:type="dxa"/>
        <w:tblInd w:w="93" w:type="dxa"/>
        <w:tblBorders>
          <w:top w:val="single" w:sz="4" w:space="0" w:color="auto"/>
          <w:bottom w:val="single" w:sz="4" w:space="0" w:color="auto"/>
        </w:tblBorders>
        <w:tblLook w:val="04A0" w:firstRow="1" w:lastRow="0" w:firstColumn="1" w:lastColumn="0" w:noHBand="0" w:noVBand="1"/>
      </w:tblPr>
      <w:tblGrid>
        <w:gridCol w:w="1915"/>
        <w:gridCol w:w="3950"/>
        <w:gridCol w:w="1102"/>
        <w:gridCol w:w="263"/>
        <w:gridCol w:w="270"/>
        <w:gridCol w:w="270"/>
        <w:gridCol w:w="1056"/>
        <w:gridCol w:w="1269"/>
        <w:gridCol w:w="240"/>
      </w:tblGrid>
      <w:tr w:rsidR="004B3691" w:rsidRPr="004B3691" w:rsidTr="004B3691">
        <w:trPr>
          <w:trHeight w:val="288"/>
        </w:trPr>
        <w:tc>
          <w:tcPr>
            <w:tcW w:w="1915" w:type="dxa"/>
            <w:tcBorders>
              <w:top w:val="single" w:sz="4" w:space="0" w:color="auto"/>
              <w:bottom w:val="single" w:sz="4" w:space="0" w:color="auto"/>
            </w:tcBorders>
            <w:shd w:val="clear" w:color="auto" w:fill="auto"/>
            <w:noWrap/>
            <w:vAlign w:val="bottom"/>
          </w:tcPr>
          <w:p w:rsidR="004B3691" w:rsidRPr="004B3691" w:rsidRDefault="004B3691" w:rsidP="004B3691">
            <w:pPr>
              <w:suppressAutoHyphens w:val="0"/>
              <w:overflowPunct/>
              <w:spacing w:after="0" w:line="240" w:lineRule="auto"/>
              <w:rPr>
                <w:rFonts w:eastAsia="Times New Roman" w:cs="Times New Roman"/>
                <w:b/>
                <w:color w:val="000000"/>
                <w:lang w:eastAsia="en-US"/>
              </w:rPr>
            </w:pPr>
            <w:r w:rsidRPr="004B3691">
              <w:rPr>
                <w:rFonts w:eastAsia="Times New Roman" w:cs="Times New Roman"/>
                <w:b/>
                <w:color w:val="000000"/>
                <w:lang w:eastAsia="en-US"/>
              </w:rPr>
              <w:t>Substance</w:t>
            </w:r>
          </w:p>
        </w:tc>
        <w:tc>
          <w:tcPr>
            <w:tcW w:w="3950" w:type="dxa"/>
            <w:tcBorders>
              <w:top w:val="single" w:sz="4" w:space="0" w:color="auto"/>
              <w:bottom w:val="single" w:sz="4" w:space="0" w:color="auto"/>
            </w:tcBorders>
            <w:shd w:val="clear" w:color="auto" w:fill="auto"/>
            <w:noWrap/>
            <w:vAlign w:val="bottom"/>
          </w:tcPr>
          <w:p w:rsidR="004B3691" w:rsidRPr="004B3691" w:rsidRDefault="004B3691" w:rsidP="004B3691">
            <w:pPr>
              <w:suppressAutoHyphens w:val="0"/>
              <w:overflowPunct/>
              <w:spacing w:after="0" w:line="240" w:lineRule="auto"/>
              <w:rPr>
                <w:rFonts w:eastAsia="Times New Roman" w:cs="Times New Roman"/>
                <w:b/>
                <w:color w:val="000000"/>
                <w:lang w:eastAsia="en-US"/>
              </w:rPr>
            </w:pPr>
            <w:r>
              <w:rPr>
                <w:rFonts w:eastAsia="Times New Roman" w:cs="Times New Roman"/>
                <w:b/>
                <w:color w:val="000000"/>
                <w:lang w:eastAsia="en-US"/>
              </w:rPr>
              <w:t xml:space="preserve">Data </w:t>
            </w:r>
            <w:r w:rsidRPr="004B3691">
              <w:rPr>
                <w:rFonts w:eastAsia="Times New Roman" w:cs="Times New Roman"/>
                <w:b/>
                <w:color w:val="000000"/>
                <w:lang w:eastAsia="en-US"/>
              </w:rPr>
              <w:t>Source</w:t>
            </w:r>
          </w:p>
        </w:tc>
        <w:tc>
          <w:tcPr>
            <w:tcW w:w="1102" w:type="dxa"/>
            <w:tcBorders>
              <w:top w:val="single" w:sz="4" w:space="0" w:color="auto"/>
              <w:bottom w:val="single" w:sz="4" w:space="0" w:color="auto"/>
            </w:tcBorders>
            <w:shd w:val="clear" w:color="auto" w:fill="auto"/>
            <w:noWrap/>
            <w:vAlign w:val="bottom"/>
          </w:tcPr>
          <w:p w:rsidR="004B3691" w:rsidRPr="004B3691" w:rsidRDefault="004B3691" w:rsidP="004B3691">
            <w:pPr>
              <w:suppressAutoHyphens w:val="0"/>
              <w:overflowPunct/>
              <w:spacing w:after="0" w:line="240" w:lineRule="auto"/>
              <w:jc w:val="right"/>
              <w:rPr>
                <w:rFonts w:eastAsia="Times New Roman" w:cs="Times New Roman"/>
                <w:b/>
                <w:color w:val="000000"/>
                <w:lang w:eastAsia="en-US"/>
              </w:rPr>
            </w:pPr>
            <w:r w:rsidRPr="004B3691">
              <w:rPr>
                <w:rFonts w:eastAsia="Times New Roman" w:cs="Times New Roman"/>
                <w:b/>
                <w:color w:val="000000"/>
                <w:lang w:eastAsia="en-US"/>
              </w:rPr>
              <w:t>LC50</w:t>
            </w:r>
            <w:r>
              <w:rPr>
                <w:rFonts w:eastAsia="Times New Roman" w:cs="Times New Roman"/>
                <w:b/>
                <w:color w:val="000000"/>
                <w:lang w:eastAsia="en-US"/>
              </w:rPr>
              <w:t>(µM)</w:t>
            </w:r>
          </w:p>
        </w:tc>
        <w:tc>
          <w:tcPr>
            <w:tcW w:w="263" w:type="dxa"/>
            <w:tcBorders>
              <w:top w:val="single" w:sz="4" w:space="0" w:color="auto"/>
              <w:bottom w:val="single" w:sz="4" w:space="0" w:color="auto"/>
            </w:tcBorders>
            <w:shd w:val="clear" w:color="auto" w:fill="auto"/>
            <w:noWrap/>
            <w:vAlign w:val="bottom"/>
          </w:tcPr>
          <w:p w:rsidR="004B3691" w:rsidRPr="004B3691" w:rsidRDefault="004B3691" w:rsidP="004B3691">
            <w:pPr>
              <w:suppressAutoHyphens w:val="0"/>
              <w:overflowPunct/>
              <w:spacing w:after="0" w:line="240" w:lineRule="auto"/>
              <w:rPr>
                <w:rFonts w:eastAsia="Times New Roman" w:cs="Times New Roman"/>
                <w:b/>
                <w:color w:val="000000"/>
                <w:lang w:eastAsia="en-US"/>
              </w:rPr>
            </w:pPr>
          </w:p>
        </w:tc>
        <w:tc>
          <w:tcPr>
            <w:tcW w:w="270" w:type="dxa"/>
            <w:tcBorders>
              <w:top w:val="single" w:sz="4" w:space="0" w:color="auto"/>
              <w:bottom w:val="single" w:sz="4" w:space="0" w:color="auto"/>
            </w:tcBorders>
            <w:shd w:val="clear" w:color="auto" w:fill="auto"/>
            <w:noWrap/>
            <w:vAlign w:val="bottom"/>
          </w:tcPr>
          <w:p w:rsidR="004B3691" w:rsidRPr="004B3691" w:rsidRDefault="004B3691" w:rsidP="004B3691">
            <w:pPr>
              <w:suppressAutoHyphens w:val="0"/>
              <w:overflowPunct/>
              <w:spacing w:after="0" w:line="240" w:lineRule="auto"/>
              <w:rPr>
                <w:rFonts w:eastAsia="Times New Roman" w:cs="Times New Roman"/>
                <w:b/>
                <w:color w:val="000000"/>
                <w:lang w:eastAsia="en-US"/>
              </w:rPr>
            </w:pPr>
          </w:p>
        </w:tc>
        <w:tc>
          <w:tcPr>
            <w:tcW w:w="270" w:type="dxa"/>
            <w:tcBorders>
              <w:top w:val="single" w:sz="4" w:space="0" w:color="auto"/>
              <w:bottom w:val="single" w:sz="4" w:space="0" w:color="auto"/>
            </w:tcBorders>
            <w:shd w:val="clear" w:color="auto" w:fill="auto"/>
            <w:noWrap/>
            <w:vAlign w:val="bottom"/>
          </w:tcPr>
          <w:p w:rsidR="004B3691" w:rsidRPr="004B3691" w:rsidRDefault="004B3691" w:rsidP="004B3691">
            <w:pPr>
              <w:suppressAutoHyphens w:val="0"/>
              <w:overflowPunct/>
              <w:spacing w:after="0" w:line="240" w:lineRule="auto"/>
              <w:rPr>
                <w:rFonts w:eastAsia="Times New Roman" w:cs="Times New Roman"/>
                <w:b/>
                <w:color w:val="000000"/>
                <w:lang w:eastAsia="en-US"/>
              </w:rPr>
            </w:pPr>
          </w:p>
        </w:tc>
        <w:tc>
          <w:tcPr>
            <w:tcW w:w="1056" w:type="dxa"/>
            <w:tcBorders>
              <w:top w:val="single" w:sz="4" w:space="0" w:color="auto"/>
              <w:bottom w:val="single" w:sz="4" w:space="0" w:color="auto"/>
            </w:tcBorders>
            <w:shd w:val="clear" w:color="auto" w:fill="auto"/>
            <w:noWrap/>
            <w:vAlign w:val="bottom"/>
          </w:tcPr>
          <w:p w:rsidR="004B3691" w:rsidRPr="004B3691" w:rsidRDefault="004B3691" w:rsidP="004B3691">
            <w:pPr>
              <w:suppressAutoHyphens w:val="0"/>
              <w:overflowPunct/>
              <w:spacing w:after="0" w:line="240" w:lineRule="auto"/>
              <w:ind w:left="-213"/>
              <w:jc w:val="right"/>
              <w:rPr>
                <w:rFonts w:eastAsia="Times New Roman" w:cs="Times New Roman"/>
                <w:b/>
                <w:color w:val="000000"/>
                <w:lang w:eastAsia="en-US"/>
              </w:rPr>
            </w:pPr>
            <w:r w:rsidRPr="004B3691">
              <w:rPr>
                <w:rFonts w:eastAsia="Times New Roman" w:cs="Times New Roman"/>
                <w:b/>
                <w:color w:val="000000"/>
                <w:lang w:eastAsia="en-US"/>
              </w:rPr>
              <w:t>Exposure duration</w:t>
            </w:r>
            <w:r>
              <w:rPr>
                <w:rFonts w:eastAsia="Times New Roman" w:cs="Times New Roman"/>
                <w:b/>
                <w:color w:val="000000"/>
                <w:lang w:eastAsia="en-US"/>
              </w:rPr>
              <w:t xml:space="preserve"> (</w:t>
            </w:r>
            <w:proofErr w:type="spellStart"/>
            <w:r>
              <w:rPr>
                <w:rFonts w:eastAsia="Times New Roman" w:cs="Times New Roman"/>
                <w:b/>
                <w:color w:val="000000"/>
                <w:lang w:eastAsia="en-US"/>
              </w:rPr>
              <w:t>hpf</w:t>
            </w:r>
            <w:proofErr w:type="spellEnd"/>
            <w:r>
              <w:rPr>
                <w:rFonts w:eastAsia="Times New Roman" w:cs="Times New Roman"/>
                <w:b/>
                <w:color w:val="000000"/>
                <w:lang w:eastAsia="en-US"/>
              </w:rPr>
              <w:t>)</w:t>
            </w:r>
          </w:p>
        </w:tc>
        <w:tc>
          <w:tcPr>
            <w:tcW w:w="1269" w:type="dxa"/>
            <w:tcBorders>
              <w:top w:val="single" w:sz="4" w:space="0" w:color="auto"/>
              <w:bottom w:val="single" w:sz="4" w:space="0" w:color="auto"/>
            </w:tcBorders>
            <w:shd w:val="clear" w:color="auto" w:fill="auto"/>
            <w:noWrap/>
            <w:vAlign w:val="bottom"/>
          </w:tcPr>
          <w:p w:rsidR="004B3691" w:rsidRPr="004B3691" w:rsidRDefault="004B3691" w:rsidP="004B3691">
            <w:pPr>
              <w:suppressAutoHyphens w:val="0"/>
              <w:overflowPunct/>
              <w:spacing w:after="0" w:line="240" w:lineRule="auto"/>
              <w:rPr>
                <w:rFonts w:eastAsia="Times New Roman" w:cs="Times New Roman"/>
                <w:b/>
                <w:color w:val="000000"/>
                <w:lang w:eastAsia="en-US"/>
              </w:rPr>
            </w:pPr>
          </w:p>
        </w:tc>
        <w:tc>
          <w:tcPr>
            <w:tcW w:w="240" w:type="dxa"/>
            <w:shd w:val="clear" w:color="auto" w:fill="auto"/>
            <w:noWrap/>
            <w:vAlign w:val="bottom"/>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r>
      <w:tr w:rsidR="004B3691" w:rsidRPr="004B3691" w:rsidTr="004B3691">
        <w:trPr>
          <w:trHeight w:val="288"/>
        </w:trPr>
        <w:tc>
          <w:tcPr>
            <w:tcW w:w="1915" w:type="dxa"/>
            <w:tcBorders>
              <w:top w:val="single" w:sz="4" w:space="0" w:color="auto"/>
            </w:tcBorders>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r w:rsidRPr="004B3691">
              <w:rPr>
                <w:rFonts w:eastAsia="Times New Roman" w:cs="Times New Roman"/>
                <w:color w:val="000000"/>
                <w:lang w:eastAsia="en-US"/>
              </w:rPr>
              <w:t>Valproate</w:t>
            </w:r>
          </w:p>
        </w:tc>
        <w:tc>
          <w:tcPr>
            <w:tcW w:w="3950" w:type="dxa"/>
            <w:tcBorders>
              <w:top w:val="single" w:sz="4" w:space="0" w:color="auto"/>
            </w:tcBorders>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roofErr w:type="spellStart"/>
            <w:r>
              <w:rPr>
                <w:rFonts w:eastAsia="Times New Roman" w:cs="Times New Roman"/>
                <w:color w:val="000000"/>
                <w:lang w:eastAsia="en-US"/>
              </w:rPr>
              <w:t>S</w:t>
            </w:r>
            <w:r w:rsidRPr="004B3691">
              <w:rPr>
                <w:rFonts w:eastAsia="Times New Roman" w:cs="Times New Roman"/>
                <w:color w:val="000000"/>
                <w:lang w:eastAsia="en-US"/>
              </w:rPr>
              <w:t>elderslaghs</w:t>
            </w:r>
            <w:proofErr w:type="spellEnd"/>
            <w:r w:rsidRPr="004B3691">
              <w:rPr>
                <w:rFonts w:eastAsia="Times New Roman" w:cs="Times New Roman"/>
                <w:color w:val="000000"/>
                <w:lang w:eastAsia="en-US"/>
              </w:rPr>
              <w:t xml:space="preserve"> et al 2012</w:t>
            </w:r>
          </w:p>
        </w:tc>
        <w:tc>
          <w:tcPr>
            <w:tcW w:w="1102" w:type="dxa"/>
            <w:tcBorders>
              <w:top w:val="single" w:sz="4" w:space="0" w:color="auto"/>
            </w:tcBorders>
            <w:shd w:val="clear" w:color="auto" w:fill="auto"/>
            <w:noWrap/>
            <w:vAlign w:val="bottom"/>
            <w:hideMark/>
          </w:tcPr>
          <w:p w:rsidR="004B3691" w:rsidRPr="004B3691" w:rsidRDefault="004B3691" w:rsidP="004B3691">
            <w:pPr>
              <w:suppressAutoHyphens w:val="0"/>
              <w:overflowPunct/>
              <w:spacing w:after="0" w:line="240" w:lineRule="auto"/>
              <w:jc w:val="right"/>
              <w:rPr>
                <w:rFonts w:eastAsia="Times New Roman" w:cs="Times New Roman"/>
                <w:color w:val="000000"/>
                <w:lang w:eastAsia="en-US"/>
              </w:rPr>
            </w:pPr>
            <w:r w:rsidRPr="004B3691">
              <w:rPr>
                <w:rFonts w:eastAsia="Times New Roman" w:cs="Times New Roman"/>
                <w:color w:val="000000"/>
                <w:lang w:eastAsia="en-US"/>
              </w:rPr>
              <w:t>1570</w:t>
            </w:r>
          </w:p>
        </w:tc>
        <w:tc>
          <w:tcPr>
            <w:tcW w:w="263" w:type="dxa"/>
            <w:tcBorders>
              <w:top w:val="single" w:sz="4" w:space="0" w:color="auto"/>
            </w:tcBorders>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270" w:type="dxa"/>
            <w:tcBorders>
              <w:top w:val="single" w:sz="4" w:space="0" w:color="auto"/>
            </w:tcBorders>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270" w:type="dxa"/>
            <w:tcBorders>
              <w:top w:val="single" w:sz="4" w:space="0" w:color="auto"/>
            </w:tcBorders>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1056" w:type="dxa"/>
            <w:tcBorders>
              <w:top w:val="single" w:sz="4" w:space="0" w:color="auto"/>
            </w:tcBorders>
            <w:shd w:val="clear" w:color="auto" w:fill="auto"/>
            <w:noWrap/>
            <w:vAlign w:val="bottom"/>
            <w:hideMark/>
          </w:tcPr>
          <w:p w:rsidR="004B3691" w:rsidRPr="004B3691" w:rsidRDefault="004B3691" w:rsidP="004B3691">
            <w:pPr>
              <w:suppressAutoHyphens w:val="0"/>
              <w:overflowPunct/>
              <w:spacing w:after="0" w:line="240" w:lineRule="auto"/>
              <w:jc w:val="right"/>
              <w:rPr>
                <w:rFonts w:eastAsia="Times New Roman" w:cs="Times New Roman"/>
                <w:color w:val="000000"/>
                <w:lang w:eastAsia="en-US"/>
              </w:rPr>
            </w:pPr>
            <w:r w:rsidRPr="004B3691">
              <w:rPr>
                <w:rFonts w:eastAsia="Times New Roman" w:cs="Times New Roman"/>
                <w:color w:val="000000"/>
                <w:lang w:eastAsia="en-US"/>
              </w:rPr>
              <w:t>72</w:t>
            </w:r>
          </w:p>
        </w:tc>
        <w:tc>
          <w:tcPr>
            <w:tcW w:w="1269" w:type="dxa"/>
            <w:tcBorders>
              <w:top w:val="single" w:sz="4" w:space="0" w:color="auto"/>
            </w:tcBorders>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24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r>
      <w:tr w:rsidR="004B3691" w:rsidRPr="004B3691" w:rsidTr="004B3691">
        <w:trPr>
          <w:trHeight w:val="288"/>
        </w:trPr>
        <w:tc>
          <w:tcPr>
            <w:tcW w:w="1915"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r w:rsidRPr="004B3691">
              <w:rPr>
                <w:rFonts w:eastAsia="Times New Roman" w:cs="Times New Roman"/>
                <w:color w:val="000000"/>
                <w:lang w:eastAsia="en-US"/>
              </w:rPr>
              <w:t>Carbamazepine</w:t>
            </w:r>
          </w:p>
        </w:tc>
        <w:tc>
          <w:tcPr>
            <w:tcW w:w="395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r>
              <w:rPr>
                <w:rFonts w:eastAsia="Times New Roman" w:cs="Times New Roman"/>
                <w:color w:val="000000"/>
                <w:lang w:eastAsia="en-US"/>
              </w:rPr>
              <w:t>V</w:t>
            </w:r>
            <w:r w:rsidRPr="004B3691">
              <w:rPr>
                <w:rFonts w:eastAsia="Times New Roman" w:cs="Times New Roman"/>
                <w:color w:val="000000"/>
                <w:lang w:eastAsia="en-US"/>
              </w:rPr>
              <w:t xml:space="preserve">an den </w:t>
            </w:r>
            <w:proofErr w:type="spellStart"/>
            <w:r w:rsidRPr="004B3691">
              <w:rPr>
                <w:rFonts w:eastAsia="Times New Roman" w:cs="Times New Roman"/>
                <w:color w:val="000000"/>
                <w:lang w:eastAsia="en-US"/>
              </w:rPr>
              <w:t>brandhofs</w:t>
            </w:r>
            <w:proofErr w:type="spellEnd"/>
            <w:r w:rsidRPr="004B3691">
              <w:rPr>
                <w:rFonts w:eastAsia="Times New Roman" w:cs="Times New Roman"/>
                <w:color w:val="000000"/>
                <w:lang w:eastAsia="en-US"/>
              </w:rPr>
              <w:t xml:space="preserve"> and </w:t>
            </w:r>
            <w:proofErr w:type="spellStart"/>
            <w:r w:rsidRPr="004B3691">
              <w:rPr>
                <w:rFonts w:eastAsia="Times New Roman" w:cs="Times New Roman"/>
                <w:color w:val="000000"/>
                <w:lang w:eastAsia="en-US"/>
              </w:rPr>
              <w:t>montforts</w:t>
            </w:r>
            <w:proofErr w:type="spellEnd"/>
            <w:r w:rsidRPr="004B3691">
              <w:rPr>
                <w:rFonts w:eastAsia="Times New Roman" w:cs="Times New Roman"/>
                <w:color w:val="000000"/>
                <w:lang w:eastAsia="en-US"/>
              </w:rPr>
              <w:t xml:space="preserve"> 2010</w:t>
            </w:r>
          </w:p>
        </w:tc>
        <w:tc>
          <w:tcPr>
            <w:tcW w:w="1102" w:type="dxa"/>
            <w:shd w:val="clear" w:color="auto" w:fill="auto"/>
            <w:noWrap/>
            <w:vAlign w:val="bottom"/>
            <w:hideMark/>
          </w:tcPr>
          <w:p w:rsidR="004B3691" w:rsidRPr="004B3691" w:rsidRDefault="004B3691" w:rsidP="004B3691">
            <w:pPr>
              <w:suppressAutoHyphens w:val="0"/>
              <w:overflowPunct/>
              <w:spacing w:after="0" w:line="240" w:lineRule="auto"/>
              <w:jc w:val="right"/>
              <w:rPr>
                <w:rFonts w:eastAsia="Times New Roman" w:cs="Times New Roman"/>
                <w:color w:val="000000"/>
                <w:lang w:eastAsia="en-US"/>
              </w:rPr>
            </w:pPr>
            <w:r w:rsidRPr="004B3691">
              <w:rPr>
                <w:rFonts w:eastAsia="Times New Roman" w:cs="Times New Roman"/>
                <w:color w:val="000000"/>
                <w:lang w:eastAsia="en-US"/>
              </w:rPr>
              <w:t>1037</w:t>
            </w:r>
          </w:p>
        </w:tc>
        <w:tc>
          <w:tcPr>
            <w:tcW w:w="263"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27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27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1056" w:type="dxa"/>
            <w:shd w:val="clear" w:color="auto" w:fill="auto"/>
            <w:noWrap/>
            <w:vAlign w:val="bottom"/>
            <w:hideMark/>
          </w:tcPr>
          <w:p w:rsidR="004B3691" w:rsidRPr="004B3691" w:rsidRDefault="004B3691" w:rsidP="004B3691">
            <w:pPr>
              <w:suppressAutoHyphens w:val="0"/>
              <w:overflowPunct/>
              <w:spacing w:after="0" w:line="240" w:lineRule="auto"/>
              <w:jc w:val="right"/>
              <w:rPr>
                <w:rFonts w:eastAsia="Times New Roman" w:cs="Times New Roman"/>
                <w:color w:val="000000"/>
                <w:lang w:eastAsia="en-US"/>
              </w:rPr>
            </w:pPr>
            <w:r w:rsidRPr="004B3691">
              <w:rPr>
                <w:rFonts w:eastAsia="Times New Roman" w:cs="Times New Roman"/>
                <w:color w:val="000000"/>
                <w:lang w:eastAsia="en-US"/>
              </w:rPr>
              <w:t>72</w:t>
            </w:r>
          </w:p>
        </w:tc>
        <w:tc>
          <w:tcPr>
            <w:tcW w:w="1269"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24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r>
      <w:tr w:rsidR="004B3691" w:rsidRPr="004B3691" w:rsidTr="004B3691">
        <w:trPr>
          <w:trHeight w:val="288"/>
        </w:trPr>
        <w:tc>
          <w:tcPr>
            <w:tcW w:w="1915"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roofErr w:type="spellStart"/>
            <w:r w:rsidRPr="004B3691">
              <w:rPr>
                <w:rFonts w:eastAsia="Times New Roman" w:cs="Times New Roman"/>
                <w:color w:val="000000"/>
                <w:lang w:eastAsia="en-US"/>
              </w:rPr>
              <w:t>Endosulfan</w:t>
            </w:r>
            <w:proofErr w:type="spellEnd"/>
          </w:p>
        </w:tc>
        <w:tc>
          <w:tcPr>
            <w:tcW w:w="395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r>
              <w:rPr>
                <w:rFonts w:eastAsia="Times New Roman" w:cs="Times New Roman"/>
                <w:color w:val="000000"/>
                <w:lang w:eastAsia="en-US"/>
              </w:rPr>
              <w:t>*</w:t>
            </w:r>
            <w:proofErr w:type="spellStart"/>
            <w:r>
              <w:rPr>
                <w:rFonts w:eastAsia="Times New Roman" w:cs="Times New Roman"/>
                <w:color w:val="000000"/>
                <w:lang w:eastAsia="en-US"/>
              </w:rPr>
              <w:t>B</w:t>
            </w:r>
            <w:r w:rsidRPr="004B3691">
              <w:rPr>
                <w:rFonts w:eastAsia="Times New Roman" w:cs="Times New Roman"/>
                <w:color w:val="000000"/>
                <w:lang w:eastAsia="en-US"/>
              </w:rPr>
              <w:t>iotox</w:t>
            </w:r>
            <w:proofErr w:type="spellEnd"/>
            <w:r>
              <w:rPr>
                <w:rFonts w:eastAsia="Times New Roman" w:cs="Times New Roman"/>
                <w:color w:val="000000"/>
                <w:lang w:eastAsia="en-US"/>
              </w:rPr>
              <w:t xml:space="preserve"> database</w:t>
            </w:r>
          </w:p>
        </w:tc>
        <w:tc>
          <w:tcPr>
            <w:tcW w:w="1102" w:type="dxa"/>
            <w:shd w:val="clear" w:color="auto" w:fill="auto"/>
            <w:noWrap/>
            <w:vAlign w:val="bottom"/>
            <w:hideMark/>
          </w:tcPr>
          <w:p w:rsidR="004B3691" w:rsidRPr="004B3691" w:rsidRDefault="004B3691" w:rsidP="004B3691">
            <w:pPr>
              <w:suppressAutoHyphens w:val="0"/>
              <w:overflowPunct/>
              <w:spacing w:after="0" w:line="240" w:lineRule="auto"/>
              <w:jc w:val="right"/>
              <w:rPr>
                <w:rFonts w:eastAsia="Times New Roman" w:cs="Times New Roman"/>
                <w:color w:val="000000"/>
                <w:lang w:eastAsia="en-US"/>
              </w:rPr>
            </w:pPr>
            <w:r w:rsidRPr="004B3691">
              <w:rPr>
                <w:rFonts w:eastAsia="Times New Roman" w:cs="Times New Roman"/>
                <w:color w:val="000000"/>
                <w:lang w:eastAsia="en-US"/>
              </w:rPr>
              <w:t>1.2</w:t>
            </w:r>
          </w:p>
        </w:tc>
        <w:tc>
          <w:tcPr>
            <w:tcW w:w="263"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27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27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1056" w:type="dxa"/>
            <w:shd w:val="clear" w:color="auto" w:fill="auto"/>
            <w:noWrap/>
            <w:vAlign w:val="bottom"/>
            <w:hideMark/>
          </w:tcPr>
          <w:p w:rsidR="004B3691" w:rsidRPr="004B3691" w:rsidRDefault="004B3691" w:rsidP="004B3691">
            <w:pPr>
              <w:suppressAutoHyphens w:val="0"/>
              <w:overflowPunct/>
              <w:spacing w:after="0" w:line="240" w:lineRule="auto"/>
              <w:jc w:val="right"/>
              <w:rPr>
                <w:rFonts w:eastAsia="Times New Roman" w:cs="Times New Roman"/>
                <w:color w:val="000000"/>
                <w:lang w:eastAsia="en-US"/>
              </w:rPr>
            </w:pPr>
            <w:r w:rsidRPr="004B3691">
              <w:rPr>
                <w:rFonts w:eastAsia="Times New Roman" w:cs="Times New Roman"/>
                <w:color w:val="000000"/>
                <w:lang w:eastAsia="en-US"/>
              </w:rPr>
              <w:t>96</w:t>
            </w:r>
          </w:p>
        </w:tc>
        <w:tc>
          <w:tcPr>
            <w:tcW w:w="1269"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24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r>
      <w:tr w:rsidR="004B3691" w:rsidRPr="004B3691" w:rsidTr="004B3691">
        <w:trPr>
          <w:trHeight w:val="288"/>
        </w:trPr>
        <w:tc>
          <w:tcPr>
            <w:tcW w:w="1915"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roofErr w:type="spellStart"/>
            <w:r w:rsidRPr="004B3691">
              <w:rPr>
                <w:rFonts w:eastAsia="Times New Roman" w:cs="Times New Roman"/>
                <w:color w:val="000000"/>
                <w:lang w:eastAsia="en-US"/>
              </w:rPr>
              <w:t>Chlorpyrifos</w:t>
            </w:r>
            <w:proofErr w:type="spellEnd"/>
          </w:p>
        </w:tc>
        <w:tc>
          <w:tcPr>
            <w:tcW w:w="395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r>
              <w:rPr>
                <w:rFonts w:eastAsia="Times New Roman" w:cs="Times New Roman"/>
                <w:color w:val="000000"/>
                <w:lang w:eastAsia="en-US"/>
              </w:rPr>
              <w:t>*</w:t>
            </w:r>
            <w:proofErr w:type="spellStart"/>
            <w:r>
              <w:rPr>
                <w:rFonts w:eastAsia="Times New Roman" w:cs="Times New Roman"/>
                <w:color w:val="000000"/>
                <w:lang w:eastAsia="en-US"/>
              </w:rPr>
              <w:t>B</w:t>
            </w:r>
            <w:r w:rsidRPr="004B3691">
              <w:rPr>
                <w:rFonts w:eastAsia="Times New Roman" w:cs="Times New Roman"/>
                <w:color w:val="000000"/>
                <w:lang w:eastAsia="en-US"/>
              </w:rPr>
              <w:t>iotox</w:t>
            </w:r>
            <w:proofErr w:type="spellEnd"/>
            <w:r>
              <w:rPr>
                <w:rFonts w:eastAsia="Times New Roman" w:cs="Times New Roman"/>
                <w:color w:val="000000"/>
                <w:lang w:eastAsia="en-US"/>
              </w:rPr>
              <w:t xml:space="preserve"> database</w:t>
            </w:r>
          </w:p>
        </w:tc>
        <w:tc>
          <w:tcPr>
            <w:tcW w:w="1102" w:type="dxa"/>
            <w:shd w:val="clear" w:color="auto" w:fill="auto"/>
            <w:noWrap/>
            <w:vAlign w:val="bottom"/>
            <w:hideMark/>
          </w:tcPr>
          <w:p w:rsidR="004B3691" w:rsidRPr="004B3691" w:rsidRDefault="004B3691" w:rsidP="004B3691">
            <w:pPr>
              <w:suppressAutoHyphens w:val="0"/>
              <w:overflowPunct/>
              <w:spacing w:after="0" w:line="240" w:lineRule="auto"/>
              <w:jc w:val="right"/>
              <w:rPr>
                <w:rFonts w:eastAsia="Times New Roman" w:cs="Times New Roman"/>
                <w:color w:val="000000"/>
                <w:lang w:eastAsia="en-US"/>
              </w:rPr>
            </w:pPr>
            <w:r w:rsidRPr="004B3691">
              <w:rPr>
                <w:rFonts w:eastAsia="Times New Roman" w:cs="Times New Roman"/>
                <w:color w:val="000000"/>
                <w:lang w:eastAsia="en-US"/>
              </w:rPr>
              <w:t>5.4</w:t>
            </w:r>
          </w:p>
        </w:tc>
        <w:tc>
          <w:tcPr>
            <w:tcW w:w="263"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27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27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1056" w:type="dxa"/>
            <w:shd w:val="clear" w:color="auto" w:fill="auto"/>
            <w:noWrap/>
            <w:vAlign w:val="bottom"/>
            <w:hideMark/>
          </w:tcPr>
          <w:p w:rsidR="004B3691" w:rsidRPr="004B3691" w:rsidRDefault="004B3691" w:rsidP="004B3691">
            <w:pPr>
              <w:suppressAutoHyphens w:val="0"/>
              <w:overflowPunct/>
              <w:spacing w:after="0" w:line="240" w:lineRule="auto"/>
              <w:jc w:val="right"/>
              <w:rPr>
                <w:rFonts w:eastAsia="Times New Roman" w:cs="Times New Roman"/>
                <w:color w:val="000000"/>
                <w:lang w:eastAsia="en-US"/>
              </w:rPr>
            </w:pPr>
            <w:r w:rsidRPr="004B3691">
              <w:rPr>
                <w:rFonts w:eastAsia="Times New Roman" w:cs="Times New Roman"/>
                <w:color w:val="000000"/>
                <w:lang w:eastAsia="en-US"/>
              </w:rPr>
              <w:t>96</w:t>
            </w:r>
          </w:p>
        </w:tc>
        <w:tc>
          <w:tcPr>
            <w:tcW w:w="1269"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24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r>
      <w:tr w:rsidR="004B3691" w:rsidRPr="004B3691" w:rsidTr="004B3691">
        <w:trPr>
          <w:trHeight w:val="288"/>
        </w:trPr>
        <w:tc>
          <w:tcPr>
            <w:tcW w:w="1915"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roofErr w:type="spellStart"/>
            <w:r w:rsidRPr="004B3691">
              <w:rPr>
                <w:rFonts w:eastAsia="Times New Roman" w:cs="Times New Roman"/>
                <w:color w:val="000000"/>
                <w:lang w:eastAsia="en-US"/>
              </w:rPr>
              <w:t>Diazinon</w:t>
            </w:r>
            <w:proofErr w:type="spellEnd"/>
          </w:p>
        </w:tc>
        <w:tc>
          <w:tcPr>
            <w:tcW w:w="395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r w:rsidRPr="004B3691">
              <w:rPr>
                <w:rFonts w:eastAsia="Times New Roman" w:cs="Times New Roman"/>
                <w:color w:val="000000"/>
                <w:lang w:eastAsia="en-US"/>
              </w:rPr>
              <w:t>Steele et al 2018</w:t>
            </w:r>
          </w:p>
        </w:tc>
        <w:tc>
          <w:tcPr>
            <w:tcW w:w="1102" w:type="dxa"/>
            <w:shd w:val="clear" w:color="auto" w:fill="auto"/>
            <w:noWrap/>
            <w:vAlign w:val="bottom"/>
            <w:hideMark/>
          </w:tcPr>
          <w:p w:rsidR="004B3691" w:rsidRPr="004B3691" w:rsidRDefault="004B3691" w:rsidP="004B3691">
            <w:pPr>
              <w:suppressAutoHyphens w:val="0"/>
              <w:overflowPunct/>
              <w:spacing w:after="0" w:line="240" w:lineRule="auto"/>
              <w:jc w:val="right"/>
              <w:rPr>
                <w:rFonts w:eastAsia="Times New Roman" w:cs="Times New Roman"/>
                <w:color w:val="000000"/>
                <w:lang w:eastAsia="en-US"/>
              </w:rPr>
            </w:pPr>
            <w:r w:rsidRPr="004B3691">
              <w:rPr>
                <w:rFonts w:eastAsia="Times New Roman" w:cs="Times New Roman"/>
                <w:color w:val="000000"/>
                <w:lang w:eastAsia="en-US"/>
              </w:rPr>
              <w:t>37.5</w:t>
            </w:r>
          </w:p>
        </w:tc>
        <w:tc>
          <w:tcPr>
            <w:tcW w:w="263"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27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27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1056" w:type="dxa"/>
            <w:shd w:val="clear" w:color="auto" w:fill="auto"/>
            <w:noWrap/>
            <w:vAlign w:val="bottom"/>
            <w:hideMark/>
          </w:tcPr>
          <w:p w:rsidR="004B3691" w:rsidRPr="004B3691" w:rsidRDefault="004B3691" w:rsidP="004B3691">
            <w:pPr>
              <w:suppressAutoHyphens w:val="0"/>
              <w:overflowPunct/>
              <w:spacing w:after="0" w:line="240" w:lineRule="auto"/>
              <w:jc w:val="right"/>
              <w:rPr>
                <w:rFonts w:eastAsia="Times New Roman" w:cs="Times New Roman"/>
                <w:color w:val="000000"/>
                <w:lang w:eastAsia="en-US"/>
              </w:rPr>
            </w:pPr>
            <w:r w:rsidRPr="004B3691">
              <w:rPr>
                <w:rFonts w:eastAsia="Times New Roman" w:cs="Times New Roman"/>
                <w:color w:val="000000"/>
                <w:lang w:eastAsia="en-US"/>
              </w:rPr>
              <w:t>96</w:t>
            </w:r>
          </w:p>
        </w:tc>
        <w:tc>
          <w:tcPr>
            <w:tcW w:w="1269"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24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r>
      <w:tr w:rsidR="004B3691" w:rsidRPr="004B3691" w:rsidTr="004B3691">
        <w:trPr>
          <w:trHeight w:val="288"/>
        </w:trPr>
        <w:tc>
          <w:tcPr>
            <w:tcW w:w="1915"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roofErr w:type="spellStart"/>
            <w:r w:rsidRPr="004B3691">
              <w:rPr>
                <w:rFonts w:eastAsia="Times New Roman" w:cs="Times New Roman"/>
                <w:color w:val="000000"/>
                <w:lang w:eastAsia="en-US"/>
              </w:rPr>
              <w:t>Aconitine</w:t>
            </w:r>
            <w:proofErr w:type="spellEnd"/>
          </w:p>
        </w:tc>
        <w:tc>
          <w:tcPr>
            <w:tcW w:w="395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r w:rsidRPr="004B3691">
              <w:rPr>
                <w:rFonts w:eastAsia="Times New Roman" w:cs="Times New Roman"/>
                <w:color w:val="000000"/>
                <w:lang w:eastAsia="en-US"/>
              </w:rPr>
              <w:t>Ali et al 2012</w:t>
            </w:r>
          </w:p>
        </w:tc>
        <w:tc>
          <w:tcPr>
            <w:tcW w:w="1102" w:type="dxa"/>
            <w:shd w:val="clear" w:color="auto" w:fill="auto"/>
            <w:noWrap/>
            <w:vAlign w:val="bottom"/>
            <w:hideMark/>
          </w:tcPr>
          <w:p w:rsidR="004B3691" w:rsidRPr="004B3691" w:rsidRDefault="004B3691" w:rsidP="004B3691">
            <w:pPr>
              <w:suppressAutoHyphens w:val="0"/>
              <w:overflowPunct/>
              <w:spacing w:after="0" w:line="240" w:lineRule="auto"/>
              <w:jc w:val="right"/>
              <w:rPr>
                <w:rFonts w:eastAsia="Times New Roman" w:cs="Times New Roman"/>
                <w:color w:val="000000"/>
                <w:lang w:eastAsia="en-US"/>
              </w:rPr>
            </w:pPr>
            <w:r w:rsidRPr="004B3691">
              <w:rPr>
                <w:rFonts w:eastAsia="Times New Roman" w:cs="Times New Roman"/>
                <w:color w:val="000000"/>
                <w:lang w:eastAsia="en-US"/>
              </w:rPr>
              <w:t>200</w:t>
            </w:r>
          </w:p>
        </w:tc>
        <w:tc>
          <w:tcPr>
            <w:tcW w:w="263"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27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27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1056" w:type="dxa"/>
            <w:shd w:val="clear" w:color="auto" w:fill="auto"/>
            <w:noWrap/>
            <w:vAlign w:val="bottom"/>
            <w:hideMark/>
          </w:tcPr>
          <w:p w:rsidR="004B3691" w:rsidRPr="004B3691" w:rsidRDefault="004B3691" w:rsidP="004B3691">
            <w:pPr>
              <w:suppressAutoHyphens w:val="0"/>
              <w:overflowPunct/>
              <w:spacing w:after="0" w:line="240" w:lineRule="auto"/>
              <w:jc w:val="right"/>
              <w:rPr>
                <w:rFonts w:eastAsia="Times New Roman" w:cs="Times New Roman"/>
                <w:color w:val="000000"/>
                <w:lang w:eastAsia="en-US"/>
              </w:rPr>
            </w:pPr>
            <w:r w:rsidRPr="004B3691">
              <w:rPr>
                <w:rFonts w:eastAsia="Times New Roman" w:cs="Times New Roman"/>
                <w:color w:val="000000"/>
                <w:lang w:eastAsia="en-US"/>
              </w:rPr>
              <w:t>72</w:t>
            </w:r>
          </w:p>
        </w:tc>
        <w:tc>
          <w:tcPr>
            <w:tcW w:w="1269"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24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r>
      <w:tr w:rsidR="004B3691" w:rsidRPr="004B3691" w:rsidTr="004B3691">
        <w:trPr>
          <w:trHeight w:val="288"/>
        </w:trPr>
        <w:tc>
          <w:tcPr>
            <w:tcW w:w="1915"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roofErr w:type="spellStart"/>
            <w:r w:rsidRPr="004B3691">
              <w:rPr>
                <w:rFonts w:eastAsia="Times New Roman" w:cs="Times New Roman"/>
                <w:color w:val="000000"/>
                <w:lang w:eastAsia="en-US"/>
              </w:rPr>
              <w:t>Pentylenetetrazole</w:t>
            </w:r>
            <w:proofErr w:type="spellEnd"/>
          </w:p>
        </w:tc>
        <w:tc>
          <w:tcPr>
            <w:tcW w:w="395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r w:rsidRPr="004B3691">
              <w:rPr>
                <w:rFonts w:eastAsia="Times New Roman" w:cs="Times New Roman"/>
                <w:color w:val="000000"/>
                <w:lang w:eastAsia="en-US"/>
              </w:rPr>
              <w:t>Steele et al 2018</w:t>
            </w:r>
          </w:p>
        </w:tc>
        <w:tc>
          <w:tcPr>
            <w:tcW w:w="1102" w:type="dxa"/>
            <w:shd w:val="clear" w:color="auto" w:fill="auto"/>
            <w:noWrap/>
            <w:vAlign w:val="bottom"/>
            <w:hideMark/>
          </w:tcPr>
          <w:p w:rsidR="004B3691" w:rsidRPr="004B3691" w:rsidRDefault="004B3691" w:rsidP="004B3691">
            <w:pPr>
              <w:suppressAutoHyphens w:val="0"/>
              <w:overflowPunct/>
              <w:spacing w:after="0" w:line="240" w:lineRule="auto"/>
              <w:jc w:val="right"/>
              <w:rPr>
                <w:rFonts w:eastAsia="Times New Roman" w:cs="Times New Roman"/>
                <w:color w:val="000000"/>
                <w:lang w:eastAsia="en-US"/>
              </w:rPr>
            </w:pPr>
            <w:r w:rsidRPr="004B3691">
              <w:rPr>
                <w:rFonts w:eastAsia="Times New Roman" w:cs="Times New Roman"/>
                <w:color w:val="000000"/>
                <w:lang w:eastAsia="en-US"/>
              </w:rPr>
              <w:t>19153</w:t>
            </w:r>
          </w:p>
        </w:tc>
        <w:tc>
          <w:tcPr>
            <w:tcW w:w="263"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27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27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1056" w:type="dxa"/>
            <w:shd w:val="clear" w:color="auto" w:fill="auto"/>
            <w:noWrap/>
            <w:vAlign w:val="bottom"/>
            <w:hideMark/>
          </w:tcPr>
          <w:p w:rsidR="004B3691" w:rsidRPr="004B3691" w:rsidRDefault="004B3691" w:rsidP="004B3691">
            <w:pPr>
              <w:suppressAutoHyphens w:val="0"/>
              <w:overflowPunct/>
              <w:spacing w:after="0" w:line="240" w:lineRule="auto"/>
              <w:jc w:val="right"/>
              <w:rPr>
                <w:rFonts w:eastAsia="Times New Roman" w:cs="Times New Roman"/>
                <w:color w:val="000000"/>
                <w:lang w:eastAsia="en-US"/>
              </w:rPr>
            </w:pPr>
            <w:r w:rsidRPr="004B3691">
              <w:rPr>
                <w:rFonts w:eastAsia="Times New Roman" w:cs="Times New Roman"/>
                <w:color w:val="000000"/>
                <w:lang w:eastAsia="en-US"/>
              </w:rPr>
              <w:t>96</w:t>
            </w:r>
          </w:p>
        </w:tc>
        <w:tc>
          <w:tcPr>
            <w:tcW w:w="1269"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24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r>
      <w:tr w:rsidR="004B3691" w:rsidRPr="004B3691" w:rsidTr="004B3691">
        <w:trPr>
          <w:trHeight w:val="288"/>
        </w:trPr>
        <w:tc>
          <w:tcPr>
            <w:tcW w:w="1915"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r w:rsidRPr="004B3691">
              <w:rPr>
                <w:rFonts w:eastAsia="Times New Roman" w:cs="Times New Roman"/>
                <w:color w:val="000000"/>
                <w:lang w:eastAsia="en-US"/>
              </w:rPr>
              <w:t>Nicotine</w:t>
            </w:r>
          </w:p>
        </w:tc>
        <w:tc>
          <w:tcPr>
            <w:tcW w:w="395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r w:rsidRPr="004B3691">
              <w:rPr>
                <w:rFonts w:eastAsia="Times New Roman" w:cs="Times New Roman"/>
                <w:color w:val="000000"/>
                <w:lang w:eastAsia="en-US"/>
              </w:rPr>
              <w:t>Ali et al 2012</w:t>
            </w:r>
          </w:p>
        </w:tc>
        <w:tc>
          <w:tcPr>
            <w:tcW w:w="1102" w:type="dxa"/>
            <w:shd w:val="clear" w:color="auto" w:fill="auto"/>
            <w:noWrap/>
            <w:vAlign w:val="bottom"/>
            <w:hideMark/>
          </w:tcPr>
          <w:p w:rsidR="004B3691" w:rsidRPr="004B3691" w:rsidRDefault="004B3691" w:rsidP="004B3691">
            <w:pPr>
              <w:suppressAutoHyphens w:val="0"/>
              <w:overflowPunct/>
              <w:spacing w:after="0" w:line="240" w:lineRule="auto"/>
              <w:jc w:val="right"/>
              <w:rPr>
                <w:rFonts w:eastAsia="Times New Roman" w:cs="Times New Roman"/>
                <w:color w:val="000000"/>
                <w:lang w:eastAsia="en-US"/>
              </w:rPr>
            </w:pPr>
            <w:r w:rsidRPr="004B3691">
              <w:rPr>
                <w:rFonts w:eastAsia="Times New Roman" w:cs="Times New Roman"/>
                <w:color w:val="000000"/>
                <w:lang w:eastAsia="en-US"/>
              </w:rPr>
              <w:t>220</w:t>
            </w:r>
          </w:p>
        </w:tc>
        <w:tc>
          <w:tcPr>
            <w:tcW w:w="263"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27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27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1056" w:type="dxa"/>
            <w:shd w:val="clear" w:color="auto" w:fill="auto"/>
            <w:noWrap/>
            <w:vAlign w:val="bottom"/>
            <w:hideMark/>
          </w:tcPr>
          <w:p w:rsidR="004B3691" w:rsidRPr="004B3691" w:rsidRDefault="004B3691" w:rsidP="004B3691">
            <w:pPr>
              <w:suppressAutoHyphens w:val="0"/>
              <w:overflowPunct/>
              <w:spacing w:after="0" w:line="240" w:lineRule="auto"/>
              <w:jc w:val="right"/>
              <w:rPr>
                <w:rFonts w:eastAsia="Times New Roman" w:cs="Times New Roman"/>
                <w:color w:val="000000"/>
                <w:lang w:eastAsia="en-US"/>
              </w:rPr>
            </w:pPr>
            <w:r w:rsidRPr="004B3691">
              <w:rPr>
                <w:rFonts w:eastAsia="Times New Roman" w:cs="Times New Roman"/>
                <w:color w:val="000000"/>
                <w:lang w:eastAsia="en-US"/>
              </w:rPr>
              <w:t>96</w:t>
            </w:r>
          </w:p>
        </w:tc>
        <w:tc>
          <w:tcPr>
            <w:tcW w:w="1269"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24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r>
      <w:tr w:rsidR="004B3691" w:rsidRPr="004B3691" w:rsidTr="004B3691">
        <w:trPr>
          <w:trHeight w:val="288"/>
        </w:trPr>
        <w:tc>
          <w:tcPr>
            <w:tcW w:w="1915"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roofErr w:type="spellStart"/>
            <w:r w:rsidRPr="004B3691">
              <w:rPr>
                <w:rFonts w:eastAsia="Times New Roman" w:cs="Times New Roman"/>
                <w:color w:val="000000"/>
                <w:lang w:eastAsia="en-US"/>
              </w:rPr>
              <w:t>Abamectin</w:t>
            </w:r>
            <w:proofErr w:type="spellEnd"/>
          </w:p>
        </w:tc>
        <w:tc>
          <w:tcPr>
            <w:tcW w:w="395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roofErr w:type="spellStart"/>
            <w:r>
              <w:rPr>
                <w:rFonts w:eastAsia="Times New Roman" w:cs="Times New Roman"/>
                <w:color w:val="000000"/>
                <w:lang w:eastAsia="en-US"/>
              </w:rPr>
              <w:t>W</w:t>
            </w:r>
            <w:r w:rsidRPr="004B3691">
              <w:rPr>
                <w:rFonts w:eastAsia="Times New Roman" w:cs="Times New Roman"/>
                <w:color w:val="000000"/>
                <w:lang w:eastAsia="en-US"/>
              </w:rPr>
              <w:t>eichert</w:t>
            </w:r>
            <w:proofErr w:type="spellEnd"/>
            <w:r w:rsidRPr="004B3691">
              <w:rPr>
                <w:rFonts w:eastAsia="Times New Roman" w:cs="Times New Roman"/>
                <w:color w:val="000000"/>
                <w:lang w:eastAsia="en-US"/>
              </w:rPr>
              <w:t xml:space="preserve"> et al 2017</w:t>
            </w:r>
          </w:p>
        </w:tc>
        <w:tc>
          <w:tcPr>
            <w:tcW w:w="1102" w:type="dxa"/>
            <w:shd w:val="clear" w:color="auto" w:fill="auto"/>
            <w:noWrap/>
            <w:vAlign w:val="bottom"/>
            <w:hideMark/>
          </w:tcPr>
          <w:p w:rsidR="004B3691" w:rsidRPr="004B3691" w:rsidRDefault="004B3691" w:rsidP="004B3691">
            <w:pPr>
              <w:suppressAutoHyphens w:val="0"/>
              <w:overflowPunct/>
              <w:spacing w:after="0" w:line="240" w:lineRule="auto"/>
              <w:jc w:val="right"/>
              <w:rPr>
                <w:rFonts w:eastAsia="Times New Roman" w:cs="Times New Roman"/>
                <w:color w:val="000000"/>
                <w:lang w:eastAsia="en-US"/>
              </w:rPr>
            </w:pPr>
            <w:r w:rsidRPr="004B3691">
              <w:rPr>
                <w:rFonts w:eastAsia="Times New Roman" w:cs="Times New Roman"/>
                <w:color w:val="000000"/>
                <w:lang w:eastAsia="en-US"/>
              </w:rPr>
              <w:t>0.7</w:t>
            </w:r>
          </w:p>
        </w:tc>
        <w:tc>
          <w:tcPr>
            <w:tcW w:w="263"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27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27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1056" w:type="dxa"/>
            <w:shd w:val="clear" w:color="auto" w:fill="auto"/>
            <w:noWrap/>
            <w:vAlign w:val="bottom"/>
            <w:hideMark/>
          </w:tcPr>
          <w:p w:rsidR="004B3691" w:rsidRPr="004B3691" w:rsidRDefault="004B3691" w:rsidP="004B3691">
            <w:pPr>
              <w:suppressAutoHyphens w:val="0"/>
              <w:overflowPunct/>
              <w:spacing w:after="0" w:line="240" w:lineRule="auto"/>
              <w:jc w:val="right"/>
              <w:rPr>
                <w:rFonts w:eastAsia="Times New Roman" w:cs="Times New Roman"/>
                <w:color w:val="000000"/>
                <w:lang w:eastAsia="en-US"/>
              </w:rPr>
            </w:pPr>
            <w:r w:rsidRPr="004B3691">
              <w:rPr>
                <w:rFonts w:eastAsia="Times New Roman" w:cs="Times New Roman"/>
                <w:color w:val="000000"/>
                <w:lang w:eastAsia="en-US"/>
              </w:rPr>
              <w:t>48</w:t>
            </w:r>
          </w:p>
        </w:tc>
        <w:tc>
          <w:tcPr>
            <w:tcW w:w="1269"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24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r>
      <w:tr w:rsidR="004B3691" w:rsidRPr="004B3691" w:rsidTr="004B3691">
        <w:trPr>
          <w:trHeight w:val="288"/>
        </w:trPr>
        <w:tc>
          <w:tcPr>
            <w:tcW w:w="1915"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roofErr w:type="spellStart"/>
            <w:r w:rsidRPr="004B3691">
              <w:rPr>
                <w:rFonts w:eastAsia="Times New Roman" w:cs="Times New Roman"/>
                <w:color w:val="000000"/>
                <w:lang w:eastAsia="en-US"/>
              </w:rPr>
              <w:t>Emamectin</w:t>
            </w:r>
            <w:proofErr w:type="spellEnd"/>
          </w:p>
        </w:tc>
        <w:tc>
          <w:tcPr>
            <w:tcW w:w="395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roofErr w:type="spellStart"/>
            <w:r>
              <w:rPr>
                <w:rFonts w:eastAsia="Times New Roman" w:cs="Times New Roman"/>
                <w:color w:val="000000"/>
                <w:lang w:eastAsia="en-US"/>
              </w:rPr>
              <w:t>W</w:t>
            </w:r>
            <w:r w:rsidRPr="004B3691">
              <w:rPr>
                <w:rFonts w:eastAsia="Times New Roman" w:cs="Times New Roman"/>
                <w:color w:val="000000"/>
                <w:lang w:eastAsia="en-US"/>
              </w:rPr>
              <w:t>eichert</w:t>
            </w:r>
            <w:proofErr w:type="spellEnd"/>
            <w:r w:rsidRPr="004B3691">
              <w:rPr>
                <w:rFonts w:eastAsia="Times New Roman" w:cs="Times New Roman"/>
                <w:color w:val="000000"/>
                <w:lang w:eastAsia="en-US"/>
              </w:rPr>
              <w:t xml:space="preserve"> et al 2017</w:t>
            </w:r>
          </w:p>
        </w:tc>
        <w:tc>
          <w:tcPr>
            <w:tcW w:w="1102" w:type="dxa"/>
            <w:shd w:val="clear" w:color="auto" w:fill="auto"/>
            <w:noWrap/>
            <w:vAlign w:val="bottom"/>
            <w:hideMark/>
          </w:tcPr>
          <w:p w:rsidR="004B3691" w:rsidRPr="004B3691" w:rsidRDefault="004B3691" w:rsidP="004B3691">
            <w:pPr>
              <w:suppressAutoHyphens w:val="0"/>
              <w:overflowPunct/>
              <w:spacing w:after="0" w:line="240" w:lineRule="auto"/>
              <w:jc w:val="right"/>
              <w:rPr>
                <w:rFonts w:eastAsia="Times New Roman" w:cs="Times New Roman"/>
                <w:color w:val="000000"/>
                <w:lang w:eastAsia="en-US"/>
              </w:rPr>
            </w:pPr>
            <w:r w:rsidRPr="004B3691">
              <w:rPr>
                <w:rFonts w:eastAsia="Times New Roman" w:cs="Times New Roman"/>
                <w:color w:val="000000"/>
                <w:lang w:eastAsia="en-US"/>
              </w:rPr>
              <w:t>12.6</w:t>
            </w:r>
          </w:p>
        </w:tc>
        <w:tc>
          <w:tcPr>
            <w:tcW w:w="263"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27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27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1056" w:type="dxa"/>
            <w:shd w:val="clear" w:color="auto" w:fill="auto"/>
            <w:noWrap/>
            <w:vAlign w:val="bottom"/>
            <w:hideMark/>
          </w:tcPr>
          <w:p w:rsidR="004B3691" w:rsidRPr="004B3691" w:rsidRDefault="004B3691" w:rsidP="004B3691">
            <w:pPr>
              <w:suppressAutoHyphens w:val="0"/>
              <w:overflowPunct/>
              <w:spacing w:after="0" w:line="240" w:lineRule="auto"/>
              <w:jc w:val="right"/>
              <w:rPr>
                <w:rFonts w:eastAsia="Times New Roman" w:cs="Times New Roman"/>
                <w:color w:val="000000"/>
                <w:lang w:eastAsia="en-US"/>
              </w:rPr>
            </w:pPr>
            <w:r w:rsidRPr="004B3691">
              <w:rPr>
                <w:rFonts w:eastAsia="Times New Roman" w:cs="Times New Roman"/>
                <w:color w:val="000000"/>
                <w:lang w:eastAsia="en-US"/>
              </w:rPr>
              <w:t>48</w:t>
            </w:r>
          </w:p>
        </w:tc>
        <w:tc>
          <w:tcPr>
            <w:tcW w:w="1269"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24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r>
      <w:tr w:rsidR="004B3691" w:rsidRPr="004B3691" w:rsidTr="004B3691">
        <w:trPr>
          <w:trHeight w:val="288"/>
        </w:trPr>
        <w:tc>
          <w:tcPr>
            <w:tcW w:w="1915"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roofErr w:type="spellStart"/>
            <w:r w:rsidRPr="004B3691">
              <w:rPr>
                <w:rFonts w:eastAsia="Times New Roman" w:cs="Times New Roman"/>
                <w:color w:val="000000"/>
                <w:lang w:eastAsia="en-US"/>
              </w:rPr>
              <w:t>Methimazole</w:t>
            </w:r>
            <w:proofErr w:type="spellEnd"/>
          </w:p>
        </w:tc>
        <w:tc>
          <w:tcPr>
            <w:tcW w:w="395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roofErr w:type="spellStart"/>
            <w:r>
              <w:rPr>
                <w:rFonts w:eastAsia="Times New Roman" w:cs="Times New Roman"/>
                <w:color w:val="000000"/>
                <w:lang w:eastAsia="en-US"/>
              </w:rPr>
              <w:t>S</w:t>
            </w:r>
            <w:r w:rsidRPr="004B3691">
              <w:rPr>
                <w:rFonts w:eastAsia="Times New Roman" w:cs="Times New Roman"/>
                <w:color w:val="000000"/>
                <w:lang w:eastAsia="en-US"/>
              </w:rPr>
              <w:t>elderslaghs</w:t>
            </w:r>
            <w:proofErr w:type="spellEnd"/>
            <w:r w:rsidRPr="004B3691">
              <w:rPr>
                <w:rFonts w:eastAsia="Times New Roman" w:cs="Times New Roman"/>
                <w:color w:val="000000"/>
                <w:lang w:eastAsia="en-US"/>
              </w:rPr>
              <w:t xml:space="preserve"> et al 2012</w:t>
            </w:r>
          </w:p>
        </w:tc>
        <w:tc>
          <w:tcPr>
            <w:tcW w:w="1102" w:type="dxa"/>
            <w:shd w:val="clear" w:color="auto" w:fill="auto"/>
            <w:noWrap/>
            <w:vAlign w:val="bottom"/>
            <w:hideMark/>
          </w:tcPr>
          <w:p w:rsidR="004B3691" w:rsidRPr="004B3691" w:rsidRDefault="004B3691" w:rsidP="004B3691">
            <w:pPr>
              <w:suppressAutoHyphens w:val="0"/>
              <w:overflowPunct/>
              <w:spacing w:after="0" w:line="240" w:lineRule="auto"/>
              <w:jc w:val="right"/>
              <w:rPr>
                <w:rFonts w:eastAsia="Times New Roman" w:cs="Times New Roman"/>
                <w:color w:val="000000"/>
                <w:lang w:eastAsia="en-US"/>
              </w:rPr>
            </w:pPr>
            <w:r w:rsidRPr="004B3691">
              <w:rPr>
                <w:rFonts w:eastAsia="Times New Roman" w:cs="Times New Roman"/>
                <w:color w:val="000000"/>
                <w:lang w:eastAsia="en-US"/>
              </w:rPr>
              <w:t>19120</w:t>
            </w:r>
          </w:p>
        </w:tc>
        <w:tc>
          <w:tcPr>
            <w:tcW w:w="263"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27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27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1056" w:type="dxa"/>
            <w:shd w:val="clear" w:color="auto" w:fill="auto"/>
            <w:noWrap/>
            <w:vAlign w:val="bottom"/>
            <w:hideMark/>
          </w:tcPr>
          <w:p w:rsidR="004B3691" w:rsidRPr="004B3691" w:rsidRDefault="004B3691" w:rsidP="004B3691">
            <w:pPr>
              <w:suppressAutoHyphens w:val="0"/>
              <w:overflowPunct/>
              <w:spacing w:after="0" w:line="240" w:lineRule="auto"/>
              <w:jc w:val="right"/>
              <w:rPr>
                <w:rFonts w:eastAsia="Times New Roman" w:cs="Times New Roman"/>
                <w:color w:val="000000"/>
                <w:lang w:eastAsia="en-US"/>
              </w:rPr>
            </w:pPr>
            <w:r w:rsidRPr="004B3691">
              <w:rPr>
                <w:rFonts w:eastAsia="Times New Roman" w:cs="Times New Roman"/>
                <w:color w:val="000000"/>
                <w:lang w:eastAsia="en-US"/>
              </w:rPr>
              <w:t>72</w:t>
            </w:r>
          </w:p>
        </w:tc>
        <w:tc>
          <w:tcPr>
            <w:tcW w:w="1269"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24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r>
      <w:tr w:rsidR="004B3691" w:rsidRPr="004B3691" w:rsidTr="004B3691">
        <w:trPr>
          <w:trHeight w:val="288"/>
        </w:trPr>
        <w:tc>
          <w:tcPr>
            <w:tcW w:w="1915"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r w:rsidRPr="004B3691">
              <w:rPr>
                <w:rFonts w:eastAsia="Times New Roman" w:cs="Times New Roman"/>
                <w:color w:val="000000"/>
                <w:lang w:eastAsia="en-US"/>
              </w:rPr>
              <w:t>Acetaminophen</w:t>
            </w:r>
          </w:p>
        </w:tc>
        <w:tc>
          <w:tcPr>
            <w:tcW w:w="395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roofErr w:type="spellStart"/>
            <w:r>
              <w:rPr>
                <w:rFonts w:eastAsia="Times New Roman" w:cs="Times New Roman"/>
                <w:color w:val="000000"/>
                <w:lang w:eastAsia="en-US"/>
              </w:rPr>
              <w:t>S</w:t>
            </w:r>
            <w:r w:rsidRPr="004B3691">
              <w:rPr>
                <w:rFonts w:eastAsia="Times New Roman" w:cs="Times New Roman"/>
                <w:color w:val="000000"/>
                <w:lang w:eastAsia="en-US"/>
              </w:rPr>
              <w:t>elderslaghs</w:t>
            </w:r>
            <w:proofErr w:type="spellEnd"/>
            <w:r w:rsidRPr="004B3691">
              <w:rPr>
                <w:rFonts w:eastAsia="Times New Roman" w:cs="Times New Roman"/>
                <w:color w:val="000000"/>
                <w:lang w:eastAsia="en-US"/>
              </w:rPr>
              <w:t xml:space="preserve"> et al 2012</w:t>
            </w:r>
          </w:p>
        </w:tc>
        <w:tc>
          <w:tcPr>
            <w:tcW w:w="1102" w:type="dxa"/>
            <w:shd w:val="clear" w:color="auto" w:fill="auto"/>
            <w:noWrap/>
            <w:vAlign w:val="bottom"/>
            <w:hideMark/>
          </w:tcPr>
          <w:p w:rsidR="004B3691" w:rsidRPr="004B3691" w:rsidRDefault="004B3691" w:rsidP="004B3691">
            <w:pPr>
              <w:suppressAutoHyphens w:val="0"/>
              <w:overflowPunct/>
              <w:spacing w:after="0" w:line="240" w:lineRule="auto"/>
              <w:jc w:val="right"/>
              <w:rPr>
                <w:rFonts w:eastAsia="Times New Roman" w:cs="Times New Roman"/>
                <w:color w:val="000000"/>
                <w:lang w:eastAsia="en-US"/>
              </w:rPr>
            </w:pPr>
            <w:r w:rsidRPr="004B3691">
              <w:rPr>
                <w:rFonts w:eastAsia="Times New Roman" w:cs="Times New Roman"/>
                <w:color w:val="000000"/>
                <w:lang w:eastAsia="en-US"/>
              </w:rPr>
              <w:t>3539</w:t>
            </w:r>
          </w:p>
        </w:tc>
        <w:tc>
          <w:tcPr>
            <w:tcW w:w="263"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27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27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1056" w:type="dxa"/>
            <w:shd w:val="clear" w:color="auto" w:fill="auto"/>
            <w:noWrap/>
            <w:vAlign w:val="bottom"/>
            <w:hideMark/>
          </w:tcPr>
          <w:p w:rsidR="004B3691" w:rsidRPr="004B3691" w:rsidRDefault="004B3691" w:rsidP="004B3691">
            <w:pPr>
              <w:suppressAutoHyphens w:val="0"/>
              <w:overflowPunct/>
              <w:spacing w:after="0" w:line="240" w:lineRule="auto"/>
              <w:jc w:val="right"/>
              <w:rPr>
                <w:rFonts w:eastAsia="Times New Roman" w:cs="Times New Roman"/>
                <w:color w:val="000000"/>
                <w:lang w:eastAsia="en-US"/>
              </w:rPr>
            </w:pPr>
            <w:r w:rsidRPr="004B3691">
              <w:rPr>
                <w:rFonts w:eastAsia="Times New Roman" w:cs="Times New Roman"/>
                <w:color w:val="000000"/>
                <w:lang w:eastAsia="en-US"/>
              </w:rPr>
              <w:t>96</w:t>
            </w:r>
          </w:p>
        </w:tc>
        <w:tc>
          <w:tcPr>
            <w:tcW w:w="1269"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24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r>
      <w:tr w:rsidR="004B3691" w:rsidRPr="004B3691" w:rsidTr="004B3691">
        <w:trPr>
          <w:trHeight w:val="288"/>
        </w:trPr>
        <w:tc>
          <w:tcPr>
            <w:tcW w:w="1915"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r w:rsidRPr="004B3691">
              <w:rPr>
                <w:rFonts w:eastAsia="Times New Roman" w:cs="Times New Roman"/>
                <w:color w:val="000000"/>
                <w:lang w:eastAsia="en-US"/>
              </w:rPr>
              <w:t>Retinoic acid</w:t>
            </w:r>
          </w:p>
        </w:tc>
        <w:tc>
          <w:tcPr>
            <w:tcW w:w="395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roofErr w:type="spellStart"/>
            <w:r>
              <w:rPr>
                <w:rFonts w:eastAsia="Times New Roman" w:cs="Times New Roman"/>
                <w:color w:val="000000"/>
                <w:lang w:eastAsia="en-US"/>
              </w:rPr>
              <w:t>S</w:t>
            </w:r>
            <w:r w:rsidRPr="004B3691">
              <w:rPr>
                <w:rFonts w:eastAsia="Times New Roman" w:cs="Times New Roman"/>
                <w:color w:val="000000"/>
                <w:lang w:eastAsia="en-US"/>
              </w:rPr>
              <w:t>elderslaghs</w:t>
            </w:r>
            <w:proofErr w:type="spellEnd"/>
            <w:r w:rsidRPr="004B3691">
              <w:rPr>
                <w:rFonts w:eastAsia="Times New Roman" w:cs="Times New Roman"/>
                <w:color w:val="000000"/>
                <w:lang w:eastAsia="en-US"/>
              </w:rPr>
              <w:t xml:space="preserve"> et al 2012</w:t>
            </w:r>
          </w:p>
        </w:tc>
        <w:tc>
          <w:tcPr>
            <w:tcW w:w="1102" w:type="dxa"/>
            <w:shd w:val="clear" w:color="auto" w:fill="auto"/>
            <w:noWrap/>
            <w:vAlign w:val="bottom"/>
            <w:hideMark/>
          </w:tcPr>
          <w:p w:rsidR="004B3691" w:rsidRPr="004B3691" w:rsidRDefault="004B3691" w:rsidP="004B3691">
            <w:pPr>
              <w:suppressAutoHyphens w:val="0"/>
              <w:overflowPunct/>
              <w:spacing w:after="0" w:line="240" w:lineRule="auto"/>
              <w:jc w:val="right"/>
              <w:rPr>
                <w:rFonts w:eastAsia="Times New Roman" w:cs="Times New Roman"/>
                <w:color w:val="000000"/>
                <w:lang w:eastAsia="en-US"/>
              </w:rPr>
            </w:pPr>
            <w:r w:rsidRPr="004B3691">
              <w:rPr>
                <w:rFonts w:eastAsia="Times New Roman" w:cs="Times New Roman"/>
                <w:color w:val="000000"/>
                <w:lang w:eastAsia="en-US"/>
              </w:rPr>
              <w:t>1.47</w:t>
            </w:r>
          </w:p>
        </w:tc>
        <w:tc>
          <w:tcPr>
            <w:tcW w:w="263"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27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27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1056" w:type="dxa"/>
            <w:shd w:val="clear" w:color="auto" w:fill="auto"/>
            <w:noWrap/>
            <w:vAlign w:val="bottom"/>
            <w:hideMark/>
          </w:tcPr>
          <w:p w:rsidR="004B3691" w:rsidRPr="004B3691" w:rsidRDefault="004B3691" w:rsidP="004B3691">
            <w:pPr>
              <w:suppressAutoHyphens w:val="0"/>
              <w:overflowPunct/>
              <w:spacing w:after="0" w:line="240" w:lineRule="auto"/>
              <w:jc w:val="right"/>
              <w:rPr>
                <w:rFonts w:eastAsia="Times New Roman" w:cs="Times New Roman"/>
                <w:color w:val="000000"/>
                <w:lang w:eastAsia="en-US"/>
              </w:rPr>
            </w:pPr>
            <w:r w:rsidRPr="004B3691">
              <w:rPr>
                <w:rFonts w:eastAsia="Times New Roman" w:cs="Times New Roman"/>
                <w:color w:val="000000"/>
                <w:lang w:eastAsia="en-US"/>
              </w:rPr>
              <w:t>72</w:t>
            </w:r>
          </w:p>
        </w:tc>
        <w:tc>
          <w:tcPr>
            <w:tcW w:w="1269"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c>
          <w:tcPr>
            <w:tcW w:w="240" w:type="dxa"/>
            <w:shd w:val="clear" w:color="auto" w:fill="auto"/>
            <w:noWrap/>
            <w:vAlign w:val="bottom"/>
            <w:hideMark/>
          </w:tcPr>
          <w:p w:rsidR="004B3691" w:rsidRPr="004B3691" w:rsidRDefault="004B3691" w:rsidP="004B3691">
            <w:pPr>
              <w:suppressAutoHyphens w:val="0"/>
              <w:overflowPunct/>
              <w:spacing w:after="0" w:line="240" w:lineRule="auto"/>
              <w:rPr>
                <w:rFonts w:eastAsia="Times New Roman" w:cs="Times New Roman"/>
                <w:color w:val="000000"/>
                <w:lang w:eastAsia="en-US"/>
              </w:rPr>
            </w:pPr>
          </w:p>
        </w:tc>
      </w:tr>
    </w:tbl>
    <w:p w:rsidR="004B3691" w:rsidRDefault="004B3691" w:rsidP="004B3691">
      <w:pPr>
        <w:spacing w:after="0"/>
        <w:jc w:val="both"/>
        <w:rPr>
          <w:rFonts w:cs="Calibri"/>
          <w:sz w:val="18"/>
          <w:szCs w:val="18"/>
        </w:rPr>
      </w:pPr>
      <w:r>
        <w:rPr>
          <w:rFonts w:cs="Calibri"/>
          <w:b/>
        </w:rPr>
        <w:t>*</w:t>
      </w:r>
      <w:r w:rsidRPr="004B3691">
        <w:rPr>
          <w:rFonts w:cs="Calibri"/>
          <w:sz w:val="18"/>
          <w:szCs w:val="18"/>
        </w:rPr>
        <w:t>Data retrieved from internal database maintained at Department of bioanalytical ecotoxicology, Helmholtz center for environmental research, Leipzig</w:t>
      </w:r>
    </w:p>
    <w:p w:rsidR="00DE4C19" w:rsidRDefault="00DE4C19" w:rsidP="004B3691">
      <w:pPr>
        <w:spacing w:after="0"/>
        <w:jc w:val="both"/>
        <w:rPr>
          <w:rFonts w:cs="Calibri"/>
          <w:sz w:val="18"/>
          <w:szCs w:val="18"/>
        </w:rPr>
      </w:pPr>
    </w:p>
    <w:p w:rsidR="00DE4C19" w:rsidRDefault="00DE4C19" w:rsidP="004B3691">
      <w:pPr>
        <w:spacing w:after="0"/>
        <w:jc w:val="both"/>
        <w:rPr>
          <w:rFonts w:cs="Calibri"/>
          <w:sz w:val="18"/>
          <w:szCs w:val="18"/>
        </w:rPr>
      </w:pPr>
      <w:r>
        <w:rPr>
          <w:noProof/>
        </w:rPr>
        <w:drawing>
          <wp:inline distT="0" distB="0" distL="0" distR="0" wp14:anchorId="40FED281" wp14:editId="0ADE8226">
            <wp:extent cx="5465445" cy="3491230"/>
            <wp:effectExtent l="0" t="0" r="1905" b="0"/>
            <wp:docPr id="20" name="Picture 20" descr="C:\Users\ogungbem\Documents\Review data\REVIEW knime work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gungbem\Documents\Review data\REVIEW knime workflow.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5445" cy="3491230"/>
                    </a:xfrm>
                    <a:prstGeom prst="rect">
                      <a:avLst/>
                    </a:prstGeom>
                    <a:noFill/>
                    <a:ln>
                      <a:noFill/>
                    </a:ln>
                  </pic:spPr>
                </pic:pic>
              </a:graphicData>
            </a:graphic>
          </wp:inline>
        </w:drawing>
      </w:r>
    </w:p>
    <w:p w:rsidR="00DE4C19" w:rsidRPr="001125E2" w:rsidRDefault="00DE4C19" w:rsidP="001125E2">
      <w:pPr>
        <w:suppressAutoHyphens w:val="0"/>
        <w:overflowPunct/>
        <w:rPr>
          <w:rFonts w:asciiTheme="minorHAnsi" w:eastAsiaTheme="minorHAnsi" w:hAnsiTheme="minorHAnsi" w:cstheme="minorBidi"/>
          <w:color w:val="auto"/>
          <w:lang w:eastAsia="en-US"/>
        </w:rPr>
      </w:pPr>
      <w:r w:rsidRPr="00DE4C19">
        <w:rPr>
          <w:rFonts w:asciiTheme="minorHAnsi" w:eastAsiaTheme="minorHAnsi" w:hAnsiTheme="minorHAnsi" w:cstheme="minorBidi"/>
          <w:color w:val="auto"/>
          <w:lang w:eastAsia="en-US"/>
        </w:rPr>
        <w:t>Figure S1: Summary of the literature selection process in KNIME</w:t>
      </w:r>
    </w:p>
    <w:p w:rsidR="001125E2" w:rsidRDefault="001125E2" w:rsidP="001125E2">
      <w:pPr>
        <w:pStyle w:val="Heading3"/>
        <w:numPr>
          <w:ilvl w:val="2"/>
          <w:numId w:val="2"/>
        </w:numPr>
        <w:spacing w:before="0" w:after="0"/>
        <w:jc w:val="both"/>
        <w:rPr>
          <w:rFonts w:ascii="Calibri" w:hAnsi="Calibri" w:cs="Calibri"/>
          <w:b/>
          <w:sz w:val="18"/>
          <w:szCs w:val="18"/>
        </w:rPr>
      </w:pPr>
    </w:p>
    <w:p w:rsidR="00DE4C19" w:rsidRPr="001125E2" w:rsidRDefault="00DE4C19" w:rsidP="001125E2">
      <w:pPr>
        <w:pStyle w:val="Heading3"/>
        <w:numPr>
          <w:ilvl w:val="2"/>
          <w:numId w:val="2"/>
        </w:numPr>
        <w:spacing w:before="0" w:after="0"/>
        <w:jc w:val="both"/>
        <w:rPr>
          <w:rFonts w:ascii="Calibri" w:hAnsi="Calibri" w:cs="Calibri"/>
          <w:b/>
          <w:sz w:val="18"/>
          <w:szCs w:val="18"/>
        </w:rPr>
      </w:pPr>
      <w:r w:rsidRPr="001125E2">
        <w:rPr>
          <w:rFonts w:asciiTheme="minorHAnsi" w:hAnsiTheme="minorHAnsi"/>
          <w:b/>
        </w:rPr>
        <w:t xml:space="preserve">Comparison of individual </w:t>
      </w:r>
      <w:r w:rsidRPr="001125E2">
        <w:rPr>
          <w:rFonts w:asciiTheme="minorHAnsi" w:hAnsiTheme="minorHAnsi"/>
          <w:b/>
          <w:bCs/>
        </w:rPr>
        <w:t>substances with known neuroactive mode of action</w:t>
      </w:r>
    </w:p>
    <w:p w:rsidR="00DE4C19" w:rsidRPr="00DE4C19" w:rsidRDefault="00DE4C19" w:rsidP="00DE4C19">
      <w:pPr>
        <w:pStyle w:val="Heading3"/>
        <w:numPr>
          <w:ilvl w:val="0"/>
          <w:numId w:val="0"/>
        </w:numPr>
        <w:spacing w:before="0" w:after="0"/>
        <w:jc w:val="both"/>
        <w:rPr>
          <w:rFonts w:ascii="Calibri" w:hAnsi="Calibri" w:cs="Calibri"/>
          <w:sz w:val="22"/>
          <w:szCs w:val="22"/>
        </w:rPr>
      </w:pPr>
      <w:r>
        <w:rPr>
          <w:rFonts w:ascii="Calibri" w:hAnsi="Calibri" w:cs="Calibri"/>
          <w:sz w:val="22"/>
          <w:szCs w:val="22"/>
        </w:rPr>
        <w:t>Comparison of e</w:t>
      </w:r>
      <w:r w:rsidRPr="00DE4C19">
        <w:rPr>
          <w:rFonts w:ascii="Calibri" w:hAnsi="Calibri" w:cs="Calibri"/>
          <w:sz w:val="22"/>
          <w:szCs w:val="22"/>
        </w:rPr>
        <w:t xml:space="preserve">ffect concentrations for </w:t>
      </w:r>
      <w:r>
        <w:rPr>
          <w:rFonts w:ascii="Calibri" w:hAnsi="Calibri" w:cs="Calibri"/>
          <w:sz w:val="22"/>
          <w:szCs w:val="22"/>
        </w:rPr>
        <w:t xml:space="preserve">all chemicals considered in this review are described in the text and the corresponding figures for each chemical depicted below. </w:t>
      </w:r>
      <w:r w:rsidRPr="00DE4C19">
        <w:rPr>
          <w:rFonts w:ascii="Calibri" w:hAnsi="Calibri" w:cs="Calibri"/>
          <w:sz w:val="22"/>
          <w:szCs w:val="22"/>
        </w:rPr>
        <w:t>Bars show the magnitude of the effect concentrations which represents lowest effect concentrations as deduced from each study. When there is no bar, it indicates no effect observed within the tested concentration range. When two different bars are depicted for one study, it indicates effect concentrations for both hypo- and hyperactivity. The text written on top of each bar represents the behavioral test method while the numbers represents the exposure duration (</w:t>
      </w:r>
      <w:proofErr w:type="spellStart"/>
      <w:proofErr w:type="gramStart"/>
      <w:r w:rsidRPr="00DE4C19">
        <w:rPr>
          <w:rFonts w:ascii="Calibri" w:hAnsi="Calibri" w:cs="Calibri"/>
          <w:sz w:val="22"/>
          <w:szCs w:val="22"/>
        </w:rPr>
        <w:t>hpf</w:t>
      </w:r>
      <w:proofErr w:type="spellEnd"/>
      <w:proofErr w:type="gramEnd"/>
      <w:r w:rsidRPr="00DE4C19">
        <w:rPr>
          <w:rFonts w:ascii="Calibri" w:hAnsi="Calibri" w:cs="Calibri"/>
          <w:sz w:val="22"/>
          <w:szCs w:val="22"/>
        </w:rPr>
        <w:t>)</w:t>
      </w:r>
    </w:p>
    <w:p w:rsidR="00DE4C19" w:rsidRDefault="00DE4C19" w:rsidP="00240F51">
      <w:pPr>
        <w:pStyle w:val="Heading3"/>
        <w:numPr>
          <w:ilvl w:val="2"/>
          <w:numId w:val="2"/>
        </w:numPr>
        <w:spacing w:before="0" w:after="0"/>
        <w:jc w:val="both"/>
        <w:rPr>
          <w:rFonts w:ascii="Calibri" w:hAnsi="Calibri" w:cs="Calibri"/>
          <w:b/>
          <w:sz w:val="22"/>
          <w:szCs w:val="22"/>
        </w:rPr>
      </w:pPr>
    </w:p>
    <w:p w:rsidR="00240F51" w:rsidRDefault="00240F51" w:rsidP="00240F51">
      <w:pPr>
        <w:pStyle w:val="Heading3"/>
        <w:numPr>
          <w:ilvl w:val="2"/>
          <w:numId w:val="2"/>
        </w:numPr>
        <w:spacing w:before="0" w:after="0"/>
        <w:jc w:val="both"/>
        <w:rPr>
          <w:rFonts w:ascii="Calibri" w:hAnsi="Calibri" w:cs="Calibri"/>
          <w:b/>
          <w:sz w:val="22"/>
          <w:szCs w:val="22"/>
        </w:rPr>
      </w:pPr>
      <w:r>
        <w:rPr>
          <w:rFonts w:ascii="Calibri" w:hAnsi="Calibri" w:cs="Calibri"/>
          <w:b/>
          <w:sz w:val="22"/>
          <w:szCs w:val="22"/>
        </w:rPr>
        <w:t>Substances with an expected hyperactivity effect on zebrafish embryos</w:t>
      </w:r>
    </w:p>
    <w:p w:rsidR="00240F51" w:rsidRDefault="00240F51" w:rsidP="008C5CDD">
      <w:pPr>
        <w:pStyle w:val="ListParagraph1"/>
        <w:ind w:left="0"/>
        <w:jc w:val="both"/>
      </w:pPr>
      <w:proofErr w:type="spellStart"/>
      <w:r>
        <w:rPr>
          <w:b/>
        </w:rPr>
        <w:t>Aconitine</w:t>
      </w:r>
      <w:proofErr w:type="spellEnd"/>
      <w:r w:rsidR="008C5CDD">
        <w:t xml:space="preserve"> </w:t>
      </w:r>
    </w:p>
    <w:p w:rsidR="00240F51" w:rsidRDefault="00240F51" w:rsidP="00240F51">
      <w:pPr>
        <w:pStyle w:val="ListParagraph1"/>
        <w:ind w:left="0"/>
        <w:jc w:val="both"/>
      </w:pPr>
      <w:proofErr w:type="spellStart"/>
      <w:r>
        <w:t>Aconitine</w:t>
      </w:r>
      <w:proofErr w:type="spellEnd"/>
      <w:r>
        <w:t xml:space="preserve"> is expected to stimulate nerve cells by activating the voltage gated sodium channel, hereby causing hyperactivity </w:t>
      </w:r>
      <w:r>
        <w:fldChar w:fldCharType="begin" w:fldLock="1"/>
      </w:r>
      <w:r>
        <w:instrText>ADDIN CSL_CITATION {"citationItems":[{"id":"ITEM-1","itemData":{"abstract":"Extracts of the plant Aconitum spec. are used in traditional Chinese medicine predominantly as anti-in-flammatory and analgesic agents, the latter allegedly equally potent as morphine but without any habit-forming potential. As the only pharmacologically active compounds, the C 19 diterpenoid alkaloid aconitine, and some of its derivatives, have been proven to be antinociceptive in different analgesic assays, but the mode of action is unknown. To elucidate the mode of action, ten aconitine-like derivatives were investigated with respect to their affinity for voltage-dependent Na + channels, the action on synap-tosomal Na + and Ca 2+ homoeostasis and their antinoci-ceptive, arrhythmogenic and acute toxic properties. Since aconitine is known to bind to site II of Na + channels, we determined the affinity of the aconitine-like derivatives in vitro to synaptosomal membranes by the [ 3 H]-batracho-toxinin-binding assay and their properties on intrasynap-tosomal concentrations of free Na + and Ca 2+ ([Na + ] i and [Ca 2+ ] i), both the latter determined fluorometrically with SBFI and Fura-2 respectively. Furthermore, the alkaloids' arrhythmogenic potential was investigated in guinea-pig isolated atria and the antinociceptive action on formalin-induced hyperalgesia and the acute toxic action estimated in mice. The results show that the alkaloids could be divided into at least three groups. The first is characterized by a high affinity to the site II of Na + channels (K i about 1.2 µM), the ability to enhance [Na + ] i and [Ca 2+ ] i (EC 50 about 3 µM), a strong arrhythmogenic action that starts at about 30 nM, an antinociceptive effect (ED 50 about 0.06 mg/kg) and high acute toxicity (LD 50 values about 0.15 mg/kg). To this group belong aconitine, 3-acetylaconitine and hypaconitine. The second group, with lappaconitine as the only member, has an affinity to Na + channels an order of magnitude lower (K i = 11.5 µM), less acute toxicity (LD 50 about 5 mg/kg), and a two orders of magnitude lower antinociceptive action (ED 50 about 2.8 mg/kg) and lower cardiotoxicity (bradycardia observed at 3 µM). Additionally , lappaconitine suppresses the increase in [Ca 2+ ] i of aconitine-stimulated synaptosomes and increases the excitation threshold of left atria, indicating an inhibition of Na + channels. The other derivatives, i.e. delcorine, des-oxydelcorine, karakoline, lappaconidine, lappaconine and lycoctonine, belong to the third group, which has hardly any effects. T…","author":[{"dropping-particle":"","family":"Gutser","given":"U. T.","non-dropping-particle":"","parse-names":false,"suffix":""},{"dropping-particle":"","family":"Friese","given":"J.","non-dropping-particle":"","parse-names":false,"suffix":""},{"dropping-particle":"","family":"Heubach","given":"J. F.","non-dropping-particle":"","parse-names":false,"suffix":""},{"dropping-particle":"","family":"Matthiesen","given":"T.","non-dropping-particle":"","parse-names":false,"suffix":""},{"dropping-particle":"","family":"Selve","given":"N.","non-dropping-particle":"","parse-names":false,"suffix":""},{"dropping-particle":"","family":"Wilffert","given":"B.","non-dropping-particle":"","parse-names":false,"suffix":""},{"dropping-particle":"","family":"Gleitz","given":"J.","non-dropping-particle":"","parse-names":false,"suffix":""}],"container-title":"Naunyn-Schmiedeberg’s Arch Pharmacol","id":"ITEM-1","issue":"357","issued":{"date-parts":[["1998"]]},"page":"39-48","title":"Mode of antinociceptive and toxic action of alkaloids of Aconitum spec","type":"article-journal"},"uris":["http://www.mendeley.com/documents/?uuid=c7e86427-e1a1-3427-aa93-2733ff69614c"]}],"mendeley":{"formattedCitation":"(Gutser et al. 1998)","plainTextFormattedCitation":"(Gutser et al. 1998)","previouslyFormattedCitation":"(Gutser et al. 1998)"},"properties":{"noteIndex":0},"schema":"https://github.com/citation-style-language/schema/raw/master/csl-citation.json"}</w:instrText>
      </w:r>
      <w:r>
        <w:fldChar w:fldCharType="separate"/>
      </w:r>
      <w:r w:rsidRPr="00F75F16">
        <w:rPr>
          <w:noProof/>
        </w:rPr>
        <w:t>(Gutser et al. 1998)</w:t>
      </w:r>
      <w:r>
        <w:fldChar w:fldCharType="end"/>
      </w:r>
      <w:r>
        <w:t xml:space="preserve">. Three studies were compared. Hyperactivity was observed in the LMR-L/D study by </w:t>
      </w:r>
      <w:r w:rsidRPr="00686B51">
        <w:rPr>
          <w:lang w:eastAsia="de-DE"/>
        </w:rPr>
        <w:t>E</w:t>
      </w:r>
      <w:bookmarkStart w:id="0" w:name="__Fieldmark__2352_1441573696"/>
      <w:r w:rsidRPr="00686B51">
        <w:rPr>
          <w:lang w:eastAsia="de-DE"/>
        </w:rPr>
        <w:t>l</w:t>
      </w:r>
      <w:bookmarkStart w:id="1" w:name="__Fieldmark__1983_1142328233"/>
      <w:r w:rsidRPr="00686B51">
        <w:rPr>
          <w:lang w:eastAsia="de-DE"/>
        </w:rPr>
        <w:t>l</w:t>
      </w:r>
      <w:bookmarkStart w:id="2" w:name="__Fieldmark__8423_1894120582"/>
      <w:r w:rsidRPr="00686B51">
        <w:rPr>
          <w:lang w:eastAsia="de-DE"/>
        </w:rPr>
        <w:t>i</w:t>
      </w:r>
      <w:bookmarkStart w:id="3" w:name="__Fieldmark__1519_1894120582"/>
      <w:r w:rsidRPr="00686B51">
        <w:rPr>
          <w:lang w:eastAsia="de-DE"/>
        </w:rPr>
        <w:t>s</w:t>
      </w:r>
      <w:bookmarkStart w:id="4" w:name="__Fieldmark__1217_945872730"/>
      <w:r w:rsidRPr="00686B51">
        <w:rPr>
          <w:lang w:eastAsia="de-DE"/>
        </w:rPr>
        <w:t xml:space="preserve"> </w:t>
      </w:r>
      <w:bookmarkStart w:id="5" w:name="__Fieldmark__960_376982467"/>
      <w:r w:rsidRPr="00686B51">
        <w:rPr>
          <w:lang w:eastAsia="de-DE"/>
        </w:rPr>
        <w:t>e</w:t>
      </w:r>
      <w:r>
        <w:fldChar w:fldCharType="begin" w:fldLock="1"/>
      </w:r>
      <w:r>
        <w:instrText>ADDIN CSL_CITATION {"citationItems":[{"id":"ITEM-1","itemData":{"DOI":"10.1016/j.brainres.2012.02.022","abstract":"The analysis of behavioural hyperactivity can provide insights into how perturbations in normal activity may be linked to the altered function of the nervous system and possibly the symptoms of disease. As a small vertebrate zebrafish have numerous experimental advantages that are making them a powerful model for these types of studies. While the majority of behavioural studies have focused on adult zebrafish, it has become apparent that larvae can also display complex stereotypical patterns of behaviour. Here we have used three compounds (pentylenetetrazole (PTZ), aconitine and 4-aminopyridine) that have different neuronal targets (GABA, sodium and potassium channels), to induce distinct patterns of hyperactivity in larvae. Our studies have revealed that each compound produces a number of distinct concentration-dependent activity patterns. This work has shown for the first time that at sub-convulsive concentrations, PTZ can reverse the normal beha-vioural response to alternating periods of light and dark in zebrafish larvae. It also appears that both PTZ and 4-aminopyridine produce distinct changes in the normal startle response patterns immediately following light/dark transitions that may be the result of an elevation in stress/anxiety. Aconitine produces a general elevation in activity that eliminates the nor-mal response to light and dark. In addition to differences in the patterns of behaviour each compound also produces a unique pattern of c-fos (an immediate early gene) expression in the brain. While more work is required to make direct links between region specific neuro-nal activity and individual behaviours, these models provide a framework with which to study and compare mechanistically different types of inducible behaviours.","author":[{"dropping-particle":"","family":"Ellis","given":"Lee David","non-dropping-particle":"","parse-names":false,"suffix":""},{"dropping-particle":"","family":"Seibert","given":"Jake","non-dropping-particle":"","parse-names":false,"suffix":""},{"dropping-particle":"","family":"Soanes","given":"Kelly Howard","non-dropping-particle":"","parse-names":false,"suffix":""}],"container-title":"Brain Research","id":"ITEM-1","issued":{"date-parts":[["2012"]]},"page":"46-59","title":"Distinct models of induced hyperactivity in zebrafish larvae","type":"article-journal","volume":"1449"},"uris":["http://www.mendeley.com/documents/?uuid=f20095ea-5476-38de-953a-a281485a422c"]}],"mendeley":{"formattedCitation":"(Ellis et al. 2012)","manualFormatting":"t al. (2012)","plainTextFormattedCitation":"(Ellis et al. 2012)","previouslyFormattedCitation":"(Ellis et al. 2012)"},"properties":{"noteIndex":0},"schema":"https://github.com/citation-style-language/schema/raw/master/csl-citation.json"}</w:instrText>
      </w:r>
      <w:r>
        <w:fldChar w:fldCharType="separate"/>
      </w:r>
      <w:bookmarkStart w:id="6" w:name="__Fieldmark__2441_422048926"/>
      <w:r w:rsidRPr="00686B51">
        <w:rPr>
          <w:noProof/>
          <w:lang w:eastAsia="de-DE"/>
        </w:rPr>
        <w:t>t</w:t>
      </w:r>
      <w:bookmarkStart w:id="7" w:name="__Fieldmark__5154_523164669"/>
      <w:r w:rsidRPr="00686B51">
        <w:rPr>
          <w:noProof/>
          <w:lang w:eastAsia="de-DE"/>
        </w:rPr>
        <w:t xml:space="preserve"> al. (2012)</w:t>
      </w:r>
      <w:r>
        <w:fldChar w:fldCharType="end"/>
      </w:r>
      <w:bookmarkEnd w:id="0"/>
      <w:bookmarkEnd w:id="1"/>
      <w:bookmarkEnd w:id="2"/>
      <w:bookmarkEnd w:id="3"/>
      <w:bookmarkEnd w:id="4"/>
      <w:bookmarkEnd w:id="5"/>
      <w:bookmarkEnd w:id="6"/>
      <w:bookmarkEnd w:id="7"/>
      <w:r>
        <w:t xml:space="preserve"> and PMR study by </w:t>
      </w:r>
      <w:proofErr w:type="spellStart"/>
      <w:r>
        <w:t>Kokel</w:t>
      </w:r>
      <w:proofErr w:type="spellEnd"/>
      <w:r>
        <w:t xml:space="preserve"> et al. (2010). The LMR-L/D study by </w:t>
      </w:r>
      <w:r w:rsidRPr="00686B51">
        <w:rPr>
          <w:lang w:eastAsia="de-DE"/>
        </w:rPr>
        <w:t>A</w:t>
      </w:r>
      <w:bookmarkStart w:id="8" w:name="__Fieldmark__2379_1441573696"/>
      <w:r w:rsidRPr="00686B51">
        <w:rPr>
          <w:lang w:eastAsia="de-DE"/>
        </w:rPr>
        <w:t>l</w:t>
      </w:r>
      <w:bookmarkStart w:id="9" w:name="__Fieldmark__2006_1142328233"/>
      <w:r w:rsidRPr="00686B51">
        <w:rPr>
          <w:lang w:eastAsia="de-DE"/>
        </w:rPr>
        <w:t>i</w:t>
      </w:r>
      <w:bookmarkStart w:id="10" w:name="__Fieldmark__8442_1894120582"/>
      <w:r w:rsidRPr="00686B51">
        <w:rPr>
          <w:lang w:eastAsia="de-DE"/>
        </w:rPr>
        <w:t xml:space="preserve"> </w:t>
      </w:r>
      <w:bookmarkStart w:id="11" w:name="__Fieldmark__1534_1894120582"/>
      <w:r w:rsidRPr="00686B51">
        <w:rPr>
          <w:lang w:eastAsia="de-DE"/>
        </w:rPr>
        <w:t>e</w:t>
      </w:r>
      <w:bookmarkStart w:id="12" w:name="__Fieldmark__1228_945872730"/>
      <w:r w:rsidRPr="00686B51">
        <w:rPr>
          <w:lang w:eastAsia="de-DE"/>
        </w:rPr>
        <w:t>t</w:t>
      </w:r>
      <w:bookmarkStart w:id="13" w:name="__Fieldmark__967_376982467"/>
      <w:r w:rsidRPr="00686B51">
        <w:rPr>
          <w:lang w:eastAsia="de-DE"/>
        </w:rPr>
        <w:t xml:space="preserve"> </w:t>
      </w:r>
      <w:r>
        <w:fldChar w:fldCharType="begin" w:fldLock="1"/>
      </w:r>
      <w:r>
        <w:instrText>ADDIN CSL_CITATION {"citationItems":[{"id":"ITEM-1","itemData":{"DOI":"10.1016/j.bbr.2011.11.020","ISBN":"0166-4328","ISSN":"01664328","PMID":"22138507","abstract":"The zebrafish is a powerful whole animal model which is complementary to in vitro and mammalian models. It has been shown to be applicable to the high-throughput behavioral screening of compound libraries. We have analysed 60 water-soluble toxic compounds covering a range of common drugs, toxins and chemicals, and representing various pharmacological mechanisms. Wild-type zebrafish larvae were cultured individually in defined buffer in 96 well plates. They were exposed for a 96h period starting at 24h post fertilization (hpf). A logarithmic concentration series was used for range-finding, followed by a narrower geometric series for LC 50 determination. LC 50 values were determined at 24h intervals and behavioral testing was carried out on day 5. We used the visual motor response test, in which movement of individual larvae was analysed using automated video-tracking. For all compounds, LC 50 values were found to decrease as the embryo developed. The majority of compounds (57/60) produced an effect in both the basal (lights on) and challenge phases (lights off) of the behavioral assay. These effects were either (i) suppression of locomotor activity (monotonic concentration-response); (ii) stimulation then suppression (biphasic response); (iii) stimulation (monotonic response). We conclude that behavioral assays with zebrafish embryos could be useful for pharmaceutical efficacy and toxicity screening. The precise phenotypic outcome obtained with behavioral assay varies with compound class. © 2011 Elsevier B.V.","author":[{"dropping-particle":"","family":"Ali","given":"Shaukat","non-dropping-particle":"","parse-names":false,"suffix":""},{"dropping-particle":"","family":"Champagne","given":"Danielle L.","non-dropping-particle":"","parse-names":false,"suffix":""},{"dropping-particle":"","family":"Richardson","given":"Michael K.","non-dropping-particle":"","parse-names":false,"suffix":""}],"container-title":"Behavioural Brain Research","id":"ITEM-1","issue":"2","issued":{"date-parts":[["2012"]]},"page":"272-283","publisher":"Elsevier B.V.","title":"Behavioral profiling of zebrafish embryos exposed to a panel of 60 water-soluble compounds","type":"article-journal","volume":"228"},"uris":["http://www.mendeley.com/documents/?uuid=a46c3b00-2b14-4b61-b539-a031da3d9c5d"]}],"mendeley":{"formattedCitation":"(Ali et al. 2012)","manualFormatting":"al. (2012)","plainTextFormattedCitation":"(Ali et al. 2012)","previouslyFormattedCitation":"(Ali et al. 2012)"},"properties":{"noteIndex":0},"schema":"https://github.com/citation-style-language/schema/raw/master/csl-citation.json"}</w:instrText>
      </w:r>
      <w:r>
        <w:fldChar w:fldCharType="separate"/>
      </w:r>
      <w:bookmarkStart w:id="14" w:name="__Fieldmark__2467_422048926"/>
      <w:r w:rsidRPr="00686B51">
        <w:rPr>
          <w:noProof/>
          <w:lang w:eastAsia="de-DE"/>
        </w:rPr>
        <w:t>a</w:t>
      </w:r>
      <w:bookmarkStart w:id="15" w:name="__Fieldmark__5192_523164669"/>
      <w:r w:rsidRPr="00686B51">
        <w:rPr>
          <w:noProof/>
          <w:lang w:eastAsia="de-DE"/>
        </w:rPr>
        <w:t>l. (2012)</w:t>
      </w:r>
      <w:r>
        <w:fldChar w:fldCharType="end"/>
      </w:r>
      <w:bookmarkEnd w:id="8"/>
      <w:bookmarkEnd w:id="9"/>
      <w:bookmarkEnd w:id="10"/>
      <w:bookmarkEnd w:id="11"/>
      <w:bookmarkEnd w:id="12"/>
      <w:bookmarkEnd w:id="13"/>
      <w:bookmarkEnd w:id="14"/>
      <w:bookmarkEnd w:id="15"/>
      <w:r>
        <w:t xml:space="preserve"> showed </w:t>
      </w:r>
      <w:proofErr w:type="spellStart"/>
      <w:r>
        <w:t>hypoactivity</w:t>
      </w:r>
      <w:proofErr w:type="spellEnd"/>
      <w:r>
        <w:t xml:space="preserve"> and this could be due to the </w:t>
      </w:r>
      <w:r w:rsidRPr="00F75F16">
        <w:rPr>
          <w:u w:val="single"/>
        </w:rPr>
        <w:t>long exposure duration</w:t>
      </w:r>
      <w:r>
        <w:t xml:space="preserve"> leading to over-excitation of the nerve cells and hence paralysi</w:t>
      </w:r>
      <w:r w:rsidR="008C5CDD">
        <w:t>s.</w:t>
      </w:r>
    </w:p>
    <w:p w:rsidR="008C5CDD" w:rsidRDefault="008C5CDD" w:rsidP="00240F51">
      <w:pPr>
        <w:pStyle w:val="ListParagraph1"/>
        <w:ind w:left="0"/>
        <w:jc w:val="both"/>
      </w:pPr>
      <w:r>
        <w:rPr>
          <w:noProof/>
          <w:lang w:eastAsia="en-US"/>
        </w:rPr>
        <w:drawing>
          <wp:inline distT="0" distB="0" distL="0" distR="0">
            <wp:extent cx="4511040" cy="4511040"/>
            <wp:effectExtent l="0" t="0" r="3810" b="3810"/>
            <wp:docPr id="1" name="Picture 1" descr="C:\Users\ogungbem\Documents\Review data\Aconitine b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ungbem\Documents\Review data\Aconitine bar.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1040" cy="4511040"/>
                    </a:xfrm>
                    <a:prstGeom prst="rect">
                      <a:avLst/>
                    </a:prstGeom>
                    <a:noFill/>
                    <a:ln>
                      <a:noFill/>
                    </a:ln>
                  </pic:spPr>
                </pic:pic>
              </a:graphicData>
            </a:graphic>
          </wp:inline>
        </w:drawing>
      </w:r>
    </w:p>
    <w:p w:rsidR="00240F51" w:rsidRDefault="00240F51" w:rsidP="00240F51">
      <w:pPr>
        <w:spacing w:after="0"/>
        <w:jc w:val="both"/>
      </w:pPr>
    </w:p>
    <w:p w:rsidR="00240F51" w:rsidRDefault="00240F51" w:rsidP="008C5CDD">
      <w:pPr>
        <w:pStyle w:val="ListParagraph1"/>
        <w:ind w:left="0"/>
        <w:jc w:val="both"/>
      </w:pPr>
      <w:proofErr w:type="spellStart"/>
      <w:r>
        <w:rPr>
          <w:b/>
        </w:rPr>
        <w:t>Chlorpyrifos</w:t>
      </w:r>
      <w:proofErr w:type="spellEnd"/>
      <w:r w:rsidR="008C5CDD">
        <w:t xml:space="preserve"> </w:t>
      </w:r>
    </w:p>
    <w:p w:rsidR="00240F51" w:rsidRDefault="00240F51" w:rsidP="00240F51">
      <w:pPr>
        <w:spacing w:after="0"/>
        <w:jc w:val="both"/>
      </w:pPr>
      <w:proofErr w:type="spellStart"/>
      <w:r>
        <w:t>Chlorpyrifos</w:t>
      </w:r>
      <w:proofErr w:type="spellEnd"/>
      <w:r>
        <w:t xml:space="preserve"> is an organophosphate expected to cause hyperactivity at lower doses by inhibiting acetylcholinesterase enzyme after it is </w:t>
      </w:r>
      <w:proofErr w:type="spellStart"/>
      <w:r>
        <w:t>bioactivated</w:t>
      </w:r>
      <w:proofErr w:type="spellEnd"/>
      <w:r>
        <w:t xml:space="preserve"> i.e. transformed into the corresponding </w:t>
      </w:r>
      <w:proofErr w:type="spellStart"/>
      <w:r>
        <w:t>oxon</w:t>
      </w:r>
      <w:proofErr w:type="spellEnd"/>
      <w:r>
        <w:t xml:space="preserve"> metabolite </w:t>
      </w:r>
      <w:r>
        <w:fldChar w:fldCharType="begin" w:fldLock="1"/>
      </w:r>
      <w:r>
        <w:instrText>ADDIN CSL_CITATION {"citationItems":[{"id":"ITEM-1","itemData":{"DOI":"10.1146/annurev-ento-120811-153645","ISBN":"1545-4487 (Electronic)\\n0066-4170 (Linking)","ISSN":"1545-4487","PMID":"23317040","abstract":"Neuroactive insecticides are the principal means of protecting crops, people, livestock, and pets from pest insect attack and disease transmission. Currently, the four major nerve targets are acetylcholinesterase for organophosphates and methylcarbamates, the nicotinic acetylcholine receptor for neonicotinoids, the γ-aminobutyric acid receptor/chloride channel for polychlorocyclohexanes and fiproles, and the voltage-gated sodium channel for pyrethroids and dichlorodiphenyltrichloroethane. Species selectivity and acquired resistance are attributable in part to structural differences in binding subsites, receptor subunit interfaces, or transmembrane regions. Additional targets are sites in the sodium channel (indoxacarb and metaflumizone), the glutamate-gated chloride channel (avermectins), the octopamine receptor (amitraz metabolite), and the calcium-activated calcium channel (diamides). Secondary toxic effects in mammals from off-target serine hydrolase inhibition include organophosphate-induced delayed neuropathy and disruption of the cannabinoid system. Possible associations between pesticides and Parkinson's and Alzheimer's diseases are proposed but not established based on epidemiological observations and mechanistic considerations.","author":[{"dropping-particle":"","family":"Casida","given":"John E","non-dropping-particle":"","parse-names":false,"suffix":""},{"dropping-particle":"","family":"Durkin","given":"Kathleen a","non-dropping-particle":"","parse-names":false,"suffix":""}],"container-title":"Annual review of entomology","id":"ITEM-1","issued":{"date-parts":[["2013"]]},"page":"99-117","title":"Neuroactive insecticides: targets, selectivity, resistance, and secondary effects.","type":"article-journal","volume":"58"},"uris":["http://www.mendeley.com/documents/?uuid=a00e6cc7-5ad3-4b54-bedc-4eca2ee44978"]}],"mendeley":{"formattedCitation":"(Casida and Durkin 2013)","plainTextFormattedCitation":"(Casida and Durkin 2013)","previouslyFormattedCitation":"(Casida and Durkin 2013)"},"properties":{"noteIndex":0},"schema":"https://github.com/citation-style-language/schema/raw/master/csl-citation.json"}</w:instrText>
      </w:r>
      <w:r>
        <w:fldChar w:fldCharType="separate"/>
      </w:r>
      <w:r w:rsidRPr="00BF6B5F">
        <w:rPr>
          <w:noProof/>
        </w:rPr>
        <w:t>(Casida and Durkin 2013)</w:t>
      </w:r>
      <w:r>
        <w:fldChar w:fldCharType="end"/>
      </w:r>
      <w:r>
        <w:t xml:space="preserve">. Twenty-two studies were compared. Five studies that reported hyperactivity were </w:t>
      </w:r>
      <w:r w:rsidRPr="00837AFD">
        <w:t xml:space="preserve">short </w:t>
      </w:r>
      <w:r w:rsidRPr="00837AFD">
        <w:rPr>
          <w:u w:val="single"/>
        </w:rPr>
        <w:t>exposure duration</w:t>
      </w:r>
      <w:r>
        <w:t xml:space="preserve"> </w:t>
      </w:r>
      <w:r w:rsidRPr="00837AFD">
        <w:t xml:space="preserve"> </w:t>
      </w:r>
      <w:r>
        <w:t xml:space="preserve">tests (2-20 h) except the LMR-L/D study by </w:t>
      </w:r>
      <w:r>
        <w:fldChar w:fldCharType="begin" w:fldLock="1"/>
      </w:r>
      <w:r>
        <w:instrText>ADDIN CSL_CITATION {"citationItems":[{"id":"ITEM-1","itemData":{"DOI":"10.1016/j.ntt.2015.08.008","abstract":"Background-Organophosphate flame retardants (OPFRs) have grown in usage since concerns about the health effects of the previously used polybrominated flame retardants led to their being phased out. The potential for OPFRs to cause adverse health effects of their own is still unexamined. Because of their structural similarities to organophosphate pesticides, which have themselves been heavily researched and shown to be neurobehavioral teratogens, we investigated the possibility that developmental exposure to two OPFRs, triphenyl phosphate (TPHP), and tris(1,3-dichloroisopropyl)phosphate (TDCIPP) might lead to behavioral impairment across the lifespan, as has been observed with the organophosphate pesticide chlorpyrifos. Methods-Zebrafish were exposed to 0.03 or 0.3 μM of TPHP, TDCIPP, or chlorpyrifos from 0 to 5 days post fertilization. Vehicle control consisted of 0.03% solution of DMSO. At 6 days post fertilization, larvae were tested on a locomotor assay. Separate cohorts of 6 day old larvae that were not tested on the larval assay were allowed to grow to adulthood. At 12 weeks post fertilization, these adult zebrafish were tested on a battery of behavioral assays that included tests of novel environment exploration, startle habituation, social affiliation, and predator escape. Results-Developmental exposure altered zebrafish behavior across the lifespan. Larval zebrafish exposed to the 0.03 μM doses of chlorpyrifos or TDCIPP exhibited significant (p &lt; 0.05) hyperactivity in the locomotor assay. Organophosphate exposure significantly (p &lt; 0.05) altered the time course of adult zebrafish behavior in the novel environment, startle habituation, and social affiliation assays. Predator escape behavior was significantly (p &lt; 0.05) reduced in fish exposed to the 0.3 μM dose of TDCIPP. Exposure also caused hyperactivity in adult fish, with fish exposed to the 0.3 μM dose of TDCIPP exhibiting significantly (p &lt; 0.05) elevated locomotor behavior in the novel environment assay. Discussion-Early developmental exposure to OPFRs produced behavioral impairment that persisted into adulthood. These findings support broader research investigating the role of organophosphate compounds, including the OPFRs used here, in developmental neurotoxicity.","author":[{"dropping-particle":"","family":"Oliveri","given":"A N","non-dropping-particle":"","parse-names":false,"suffix":""},{"dropping-particle":"","family":"Bailey","given":"J M","non-dropping-particle":"","parse-names":false,"suffix":""},{"dropping-particle":"","family":"Levin","given":"E D","non-dropping-particle":"","parse-names":false,"suffix":""}],"container-title":"Neurotoxicol Teratol","id":"ITEM-1","issued":{"date-parts":[["2015"]]},"page":"220-227","title":"Developmental exposure to organophosphate flame retardants causes behavioral effects in larval and adult zebrafish HHS Public Access","type":"article-journal","volume":"52"},"uris":["http://www.mendeley.com/documents/?uuid=bb0ba750-7096-3a91-8b86-65b3823202cb"]}],"mendeley":{"formattedCitation":"(Oliveri et al. 2015)","manualFormatting":"Oliveri et al. (2015)","plainTextFormattedCitation":"(Oliveri et al. 2015)","previouslyFormattedCitation":"(Oliveri et al. 2015)"},"properties":{"noteIndex":0},"schema":"https://github.com/citation-style-language/schema/raw/master/csl-citation.json"}</w:instrText>
      </w:r>
      <w:r>
        <w:fldChar w:fldCharType="separate"/>
      </w:r>
      <w:bookmarkStart w:id="16" w:name="__Fieldmark__2501_422048926"/>
      <w:r w:rsidRPr="00686B51">
        <w:rPr>
          <w:noProof/>
          <w:lang w:eastAsia="de-DE"/>
        </w:rPr>
        <w:t>Oliveri et al. (2015)</w:t>
      </w:r>
      <w:bookmarkStart w:id="17" w:name="__Fieldmark__985_376982467"/>
      <w:bookmarkStart w:id="18" w:name="__Fieldmark__1250_945872730"/>
      <w:bookmarkStart w:id="19" w:name="__Fieldmark__2050_1142328233"/>
      <w:bookmarkStart w:id="20" w:name="__Fieldmark__1560_1894120582"/>
      <w:bookmarkStart w:id="21" w:name="__Fieldmark__8483_1894120582"/>
      <w:bookmarkStart w:id="22" w:name="__Fieldmark__2427_1441573696"/>
      <w:bookmarkStart w:id="23" w:name="__Fieldmark__5257_523164669"/>
      <w:bookmarkStart w:id="24" w:name="__Fieldmark__5394_298352452"/>
      <w:bookmarkEnd w:id="17"/>
      <w:bookmarkEnd w:id="18"/>
      <w:bookmarkEnd w:id="19"/>
      <w:bookmarkEnd w:id="20"/>
      <w:bookmarkEnd w:id="21"/>
      <w:bookmarkEnd w:id="22"/>
      <w:bookmarkEnd w:id="23"/>
      <w:bookmarkEnd w:id="24"/>
      <w:r>
        <w:fldChar w:fldCharType="end"/>
      </w:r>
      <w:bookmarkEnd w:id="16"/>
      <w:r>
        <w:t xml:space="preserve"> in which a lower concentration (0.03µM) was exposed for 115 h. This suggests that </w:t>
      </w:r>
      <w:proofErr w:type="spellStart"/>
      <w:r>
        <w:t>chlorpyrifos</w:t>
      </w:r>
      <w:proofErr w:type="spellEnd"/>
      <w:r>
        <w:t xml:space="preserve"> might be taken up fast in the embryo and therefore its neurotoxic effect may be visible at low concentration and short exposure. Consequently, the </w:t>
      </w:r>
      <w:proofErr w:type="spellStart"/>
      <w:r>
        <w:t>hypoactivity</w:t>
      </w:r>
      <w:proofErr w:type="spellEnd"/>
      <w:r>
        <w:t xml:space="preserve"> which is mostly observed at </w:t>
      </w:r>
      <w:r w:rsidRPr="00837AFD">
        <w:t xml:space="preserve">higher </w:t>
      </w:r>
      <w:r w:rsidRPr="00837AFD">
        <w:rPr>
          <w:u w:val="single"/>
        </w:rPr>
        <w:t>exposure concentrations</w:t>
      </w:r>
      <w:r>
        <w:t xml:space="preserve"> and long duration may be due to over-excitation of the neuron cells leading to axonal defects or seizures and subsequent paralysis. In addition, </w:t>
      </w:r>
      <w:r w:rsidRPr="00837AFD">
        <w:rPr>
          <w:u w:val="single"/>
        </w:rPr>
        <w:t>endpoint parameter</w:t>
      </w:r>
      <w:r>
        <w:t xml:space="preserve"> varies across the tests and this could also contribute to the risk of bias.</w:t>
      </w:r>
    </w:p>
    <w:p w:rsidR="008C5CDD" w:rsidRDefault="008C5CDD" w:rsidP="00240F51">
      <w:pPr>
        <w:spacing w:after="0"/>
        <w:jc w:val="both"/>
      </w:pPr>
      <w:r>
        <w:rPr>
          <w:noProof/>
          <w:lang w:eastAsia="en-US"/>
        </w:rPr>
        <w:drawing>
          <wp:inline distT="0" distB="0" distL="0" distR="0">
            <wp:extent cx="5943600" cy="3302000"/>
            <wp:effectExtent l="0" t="0" r="0" b="0"/>
            <wp:docPr id="3" name="Picture 3" descr="C:\Users\ogungbem\Documents\Review data\Chlorpyrifos b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gungbem\Documents\Review data\Chlorpyrifos bar.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02000"/>
                    </a:xfrm>
                    <a:prstGeom prst="rect">
                      <a:avLst/>
                    </a:prstGeom>
                    <a:noFill/>
                    <a:ln>
                      <a:noFill/>
                    </a:ln>
                  </pic:spPr>
                </pic:pic>
              </a:graphicData>
            </a:graphic>
          </wp:inline>
        </w:drawing>
      </w:r>
    </w:p>
    <w:p w:rsidR="00240F51" w:rsidRDefault="00240F51" w:rsidP="00240F51">
      <w:pPr>
        <w:pStyle w:val="ListParagraph1"/>
        <w:ind w:left="0"/>
        <w:jc w:val="both"/>
      </w:pPr>
    </w:p>
    <w:p w:rsidR="00240F51" w:rsidRDefault="00240F51" w:rsidP="00240F51">
      <w:pPr>
        <w:pStyle w:val="ListParagraph1"/>
        <w:numPr>
          <w:ilvl w:val="0"/>
          <w:numId w:val="5"/>
        </w:numPr>
        <w:tabs>
          <w:tab w:val="left" w:pos="7710"/>
        </w:tabs>
        <w:spacing w:after="0"/>
        <w:ind w:left="0" w:firstLine="0"/>
        <w:jc w:val="both"/>
      </w:pPr>
      <w:proofErr w:type="spellStart"/>
      <w:r>
        <w:rPr>
          <w:b/>
        </w:rPr>
        <w:t>Diazinon</w:t>
      </w:r>
      <w:proofErr w:type="spellEnd"/>
      <w:r>
        <w:t xml:space="preserve"> (see Figure 3 and S2)</w:t>
      </w:r>
    </w:p>
    <w:p w:rsidR="00240F51" w:rsidRDefault="00240F51" w:rsidP="00240F51">
      <w:pPr>
        <w:spacing w:after="0"/>
        <w:jc w:val="both"/>
      </w:pPr>
      <w:proofErr w:type="spellStart"/>
      <w:r>
        <w:t>Diazinon</w:t>
      </w:r>
      <w:proofErr w:type="spellEnd"/>
      <w:r>
        <w:t xml:space="preserve"> is an organophosphate expected to cause hyperactivity by inhibiting acetylcholinesterase after it is </w:t>
      </w:r>
      <w:proofErr w:type="spellStart"/>
      <w:r>
        <w:t>bioactivated</w:t>
      </w:r>
      <w:proofErr w:type="spellEnd"/>
      <w:r>
        <w:t xml:space="preserve"> i.e. transformed into its –</w:t>
      </w:r>
      <w:proofErr w:type="spellStart"/>
      <w:r>
        <w:t>oxon</w:t>
      </w:r>
      <w:proofErr w:type="spellEnd"/>
      <w:r>
        <w:t xml:space="preserve"> metabolite </w:t>
      </w:r>
      <w:r>
        <w:fldChar w:fldCharType="begin" w:fldLock="1"/>
      </w:r>
      <w:r>
        <w:instrText>ADDIN CSL_CITATION {"citationItems":[{"id":"ITEM-1","itemData":{"DOI":"10.1146/annurev-ento-120811-153645","ISBN":"1545-4487 (Electronic)\\n0066-4170 (Linking)","ISSN":"1545-4487","PMID":"23317040","abstract":"Neuroactive insecticides are the principal means of protecting crops, people, livestock, and pets from pest insect attack and disease transmission. Currently, the four major nerve targets are acetylcholinesterase for organophosphates and methylcarbamates, the nicotinic acetylcholine receptor for neonicotinoids, the γ-aminobutyric acid receptor/chloride channel for polychlorocyclohexanes and fiproles, and the voltage-gated sodium channel for pyrethroids and dichlorodiphenyltrichloroethane. Species selectivity and acquired resistance are attributable in part to structural differences in binding subsites, receptor subunit interfaces, or transmembrane regions. Additional targets are sites in the sodium channel (indoxacarb and metaflumizone), the glutamate-gated chloride channel (avermectins), the octopamine receptor (amitraz metabolite), and the calcium-activated calcium channel (diamides). Secondary toxic effects in mammals from off-target serine hydrolase inhibition include organophosphate-induced delayed neuropathy and disruption of the cannabinoid system. Possible associations between pesticides and Parkinson's and Alzheimer's diseases are proposed but not established based on epidemiological observations and mechanistic considerations.","author":[{"dropping-particle":"","family":"Casida","given":"John E","non-dropping-particle":"","parse-names":false,"suffix":""},{"dropping-particle":"","family":"Durkin","given":"Kathleen a","non-dropping-particle":"","parse-names":false,"suffix":""}],"container-title":"Annual review of entomology","id":"ITEM-1","issued":{"date-parts":[["2013"]]},"page":"99-117","title":"Neuroactive insecticides: targets, selectivity, resistance, and secondary effects.","type":"article-journal","volume":"58"},"uris":["http://www.mendeley.com/documents/?uuid=a00e6cc7-5ad3-4b54-bedc-4eca2ee44978"]}],"mendeley":{"formattedCitation":"(Casida and Durkin 2013)","plainTextFormattedCitation":"(Casida and Durkin 2013)","previouslyFormattedCitation":"(Casida and Durkin 2013)"},"properties":{"noteIndex":0},"schema":"https://github.com/citation-style-language/schema/raw/master/csl-citation.json"}</w:instrText>
      </w:r>
      <w:r>
        <w:fldChar w:fldCharType="separate"/>
      </w:r>
      <w:r w:rsidRPr="00BF6B5F">
        <w:rPr>
          <w:noProof/>
        </w:rPr>
        <w:t>(Casida and Durkin 2013)</w:t>
      </w:r>
      <w:r>
        <w:fldChar w:fldCharType="end"/>
      </w:r>
      <w:r>
        <w:t xml:space="preserve">.  Twelve studies were compared. Hyperactivity was observed only in a single LMR-L/D study (Leuthold et al. 2019). The other 10 studies either showed </w:t>
      </w:r>
      <w:proofErr w:type="spellStart"/>
      <w:r>
        <w:t>hypoactivity</w:t>
      </w:r>
      <w:proofErr w:type="spellEnd"/>
      <w:r>
        <w:t xml:space="preserve"> or no effect. Interestingly, the LMR-L/D study by Leuthold et al. (2019) was the only one that employed a combination of an </w:t>
      </w:r>
      <w:r w:rsidRPr="00074803">
        <w:rPr>
          <w:bCs/>
        </w:rPr>
        <w:t>older</w:t>
      </w:r>
      <w:r w:rsidRPr="00074803">
        <w:t xml:space="preserve"> </w:t>
      </w:r>
      <w:r w:rsidRPr="00074803">
        <w:rPr>
          <w:bCs/>
          <w:u w:val="single"/>
        </w:rPr>
        <w:t>developmental stage</w:t>
      </w:r>
      <w:r>
        <w:t xml:space="preserve"> (96 </w:t>
      </w:r>
      <w:proofErr w:type="spellStart"/>
      <w:r>
        <w:t>hpf</w:t>
      </w:r>
      <w:proofErr w:type="spellEnd"/>
      <w:r>
        <w:t xml:space="preserve">) and a </w:t>
      </w:r>
      <w:r w:rsidRPr="00074803">
        <w:t xml:space="preserve">short </w:t>
      </w:r>
      <w:r w:rsidRPr="00074803">
        <w:rPr>
          <w:u w:val="single"/>
        </w:rPr>
        <w:t>exposure duration</w:t>
      </w:r>
      <w:r>
        <w:t xml:space="preserve"> (24 h) and the anticipated hyperactivity of </w:t>
      </w:r>
      <w:proofErr w:type="spellStart"/>
      <w:r>
        <w:t>diazinon</w:t>
      </w:r>
      <w:proofErr w:type="spellEnd"/>
      <w:r>
        <w:t xml:space="preserve"> was observed at low </w:t>
      </w:r>
      <w:r w:rsidRPr="00074803">
        <w:rPr>
          <w:u w:val="single"/>
        </w:rPr>
        <w:t>exposure concentrations</w:t>
      </w:r>
      <w:r>
        <w:t xml:space="preserve"> while </w:t>
      </w:r>
      <w:proofErr w:type="spellStart"/>
      <w:r>
        <w:t>hypoactivity</w:t>
      </w:r>
      <w:proofErr w:type="spellEnd"/>
      <w:r>
        <w:t xml:space="preserve"> was observed at high concentrations. The lack of effect observed in only short duration studies (STC and PMR) with younger stages could be due to slow uptake or a possible </w:t>
      </w:r>
      <w:proofErr w:type="spellStart"/>
      <w:r>
        <w:t>bioactivation</w:t>
      </w:r>
      <w:proofErr w:type="spellEnd"/>
      <w:r>
        <w:t xml:space="preserve"> limitation of the </w:t>
      </w:r>
      <w:r w:rsidRPr="00074803">
        <w:t>early life-stage</w:t>
      </w:r>
      <w:r>
        <w:t xml:space="preserve"> of the developing embryo. Therefore, the </w:t>
      </w:r>
      <w:proofErr w:type="spellStart"/>
      <w:r>
        <w:lastRenderedPageBreak/>
        <w:t>hypoactivity</w:t>
      </w:r>
      <w:proofErr w:type="spellEnd"/>
      <w:r>
        <w:t xml:space="preserve"> effect could be due to the narcotic effect of </w:t>
      </w:r>
      <w:proofErr w:type="spellStart"/>
      <w:r>
        <w:t>diazinon</w:t>
      </w:r>
      <w:proofErr w:type="spellEnd"/>
      <w:r>
        <w:t xml:space="preserve"> at relatively high concentrations. Different </w:t>
      </w:r>
      <w:r w:rsidRPr="00074803">
        <w:rPr>
          <w:u w:val="single"/>
        </w:rPr>
        <w:t>endpoint parameters</w:t>
      </w:r>
      <w:r>
        <w:t xml:space="preserve"> were also used and this made it difficult to compare effects in some cases.</w:t>
      </w:r>
    </w:p>
    <w:p w:rsidR="008C5CDD" w:rsidRDefault="00A34D5D" w:rsidP="00240F51">
      <w:pPr>
        <w:spacing w:after="0"/>
        <w:jc w:val="both"/>
      </w:pPr>
      <w:r>
        <w:rPr>
          <w:noProof/>
          <w:lang w:eastAsia="en-US"/>
        </w:rPr>
        <w:drawing>
          <wp:inline distT="0" distB="0" distL="0" distR="0">
            <wp:extent cx="5943600" cy="4245429"/>
            <wp:effectExtent l="0" t="0" r="0" b="3175"/>
            <wp:docPr id="5" name="Picture 5" descr="C:\Users\ogungbem\Documents\Review data\Diazinon b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gungbem\Documents\Review data\Diazinon bar.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245429"/>
                    </a:xfrm>
                    <a:prstGeom prst="rect">
                      <a:avLst/>
                    </a:prstGeom>
                    <a:noFill/>
                    <a:ln>
                      <a:noFill/>
                    </a:ln>
                  </pic:spPr>
                </pic:pic>
              </a:graphicData>
            </a:graphic>
          </wp:inline>
        </w:drawing>
      </w:r>
    </w:p>
    <w:p w:rsidR="00240F51" w:rsidRDefault="00240F51" w:rsidP="00240F51">
      <w:pPr>
        <w:pStyle w:val="ListParagraph1"/>
        <w:ind w:left="0"/>
        <w:jc w:val="both"/>
      </w:pPr>
    </w:p>
    <w:p w:rsidR="00240F51" w:rsidRDefault="00240F51" w:rsidP="00A34D5D">
      <w:pPr>
        <w:pStyle w:val="ListParagraph1"/>
        <w:ind w:left="0"/>
        <w:jc w:val="both"/>
      </w:pPr>
      <w:proofErr w:type="spellStart"/>
      <w:r>
        <w:rPr>
          <w:b/>
        </w:rPr>
        <w:t>Endosulfan</w:t>
      </w:r>
      <w:proofErr w:type="spellEnd"/>
      <w:r w:rsidR="00A34D5D">
        <w:t xml:space="preserve"> </w:t>
      </w:r>
    </w:p>
    <w:p w:rsidR="00240F51" w:rsidRDefault="00240F51" w:rsidP="00240F51">
      <w:pPr>
        <w:jc w:val="both"/>
      </w:pPr>
      <w:proofErr w:type="spellStart"/>
      <w:r>
        <w:t>Endosulfan</w:t>
      </w:r>
      <w:proofErr w:type="spellEnd"/>
      <w:r>
        <w:t xml:space="preserve"> is an organochlorine insecticide which is expected to cause hyperactivity by blocking </w:t>
      </w:r>
      <w:r>
        <w:rPr>
          <w:rFonts w:eastAsia="Times New Roman" w:cs="Times New Roman"/>
          <w:color w:val="000000"/>
          <w:lang w:eastAsia="en-US"/>
        </w:rPr>
        <w:t xml:space="preserve">GABA-gated chloride channel </w:t>
      </w:r>
      <w:r>
        <w:fldChar w:fldCharType="begin" w:fldLock="1"/>
      </w:r>
      <w:r>
        <w:instrText>ADDIN CSL_CITATION {"citationItems":[{"id":"ITEM-1","itemData":{"DOI":"10.1146/annurev-ento-120811-153645","ISBN":"1545-4487 (Electronic)\\n0066-4170 (Linking)","ISSN":"1545-4487","PMID":"23317040","abstract":"Neuroactive insecticides are the principal means of protecting crops, people, livestock, and pets from pest insect attack and disease transmission. Currently, the four major nerve targets are acetylcholinesterase for organophosphates and methylcarbamates, the nicotinic acetylcholine receptor for neonicotinoids, the γ-aminobutyric acid receptor/chloride channel for polychlorocyclohexanes and fiproles, and the voltage-gated sodium channel for pyrethroids and dichlorodiphenyltrichloroethane. Species selectivity and acquired resistance are attributable in part to structural differences in binding subsites, receptor subunit interfaces, or transmembrane regions. Additional targets are sites in the sodium channel (indoxacarb and metaflumizone), the glutamate-gated chloride channel (avermectins), the octopamine receptor (amitraz metabolite), and the calcium-activated calcium channel (diamides). Secondary toxic effects in mammals from off-target serine hydrolase inhibition include organophosphate-induced delayed neuropathy and disruption of the cannabinoid system. Possible associations between pesticides and Parkinson's and Alzheimer's diseases are proposed but not established based on epidemiological observations and mechanistic considerations.","author":[{"dropping-particle":"","family":"Casida","given":"John E","non-dropping-particle":"","parse-names":false,"suffix":""},{"dropping-particle":"","family":"Durkin","given":"Kathleen a","non-dropping-particle":"","parse-names":false,"suffix":""}],"container-title":"Annual review of entomology","id":"ITEM-1","issued":{"date-parts":[["2013"]]},"page":"99-117","title":"Neuroactive insecticides: targets, selectivity, resistance, and secondary effects.","type":"article-journal","volume":"58"},"uris":["http://www.mendeley.com/documents/?uuid=a00e6cc7-5ad3-4b54-bedc-4eca2ee44978"]}],"mendeley":{"formattedCitation":"(Casida and Durkin 2013)","plainTextFormattedCitation":"(Casida and Durkin 2013)","previouslyFormattedCitation":"(Casida and Durkin 2013)"},"properties":{"noteIndex":0},"schema":"https://github.com/citation-style-language/schema/raw/master/csl-citation.json"}</w:instrText>
      </w:r>
      <w:r>
        <w:fldChar w:fldCharType="separate"/>
      </w:r>
      <w:r w:rsidRPr="00BF6B5F">
        <w:rPr>
          <w:noProof/>
        </w:rPr>
        <w:t>(Casida and Durkin 2013)</w:t>
      </w:r>
      <w:r>
        <w:fldChar w:fldCharType="end"/>
      </w:r>
      <w:r>
        <w:rPr>
          <w:rFonts w:eastAsia="Times New Roman" w:cs="Times New Roman"/>
          <w:color w:val="000000"/>
          <w:lang w:eastAsia="en-US"/>
        </w:rPr>
        <w:t xml:space="preserve">. </w:t>
      </w:r>
      <w:r>
        <w:t xml:space="preserve">Four studies were compared. Zebrafish embryos reacted with hyperactivity to </w:t>
      </w:r>
      <w:proofErr w:type="spellStart"/>
      <w:r>
        <w:t>endosulfan</w:t>
      </w:r>
      <w:proofErr w:type="spellEnd"/>
      <w:r>
        <w:t xml:space="preserve"> exposure in an LMR-L/D study by </w:t>
      </w:r>
      <w:r w:rsidRPr="00686B51">
        <w:rPr>
          <w:lang w:eastAsia="de-DE"/>
        </w:rPr>
        <w:t>D</w:t>
      </w:r>
      <w:bookmarkStart w:id="25" w:name="__Fieldmark__2494_1441573696"/>
      <w:r w:rsidRPr="00686B51">
        <w:rPr>
          <w:lang w:eastAsia="de-DE"/>
        </w:rPr>
        <w:t>a</w:t>
      </w:r>
      <w:bookmarkStart w:id="26" w:name="__Fieldmark__2114_1142328233"/>
      <w:r w:rsidRPr="00686B51">
        <w:rPr>
          <w:lang w:eastAsia="de-DE"/>
        </w:rPr>
        <w:t>l</w:t>
      </w:r>
      <w:bookmarkStart w:id="27" w:name="__Fieldmark__8552_1894120582"/>
      <w:r w:rsidRPr="00686B51">
        <w:rPr>
          <w:lang w:eastAsia="de-DE"/>
        </w:rPr>
        <w:t>e</w:t>
      </w:r>
      <w:bookmarkStart w:id="28" w:name="__Fieldmark__1594_1894120582"/>
      <w:r w:rsidRPr="00686B51">
        <w:rPr>
          <w:lang w:eastAsia="de-DE"/>
        </w:rPr>
        <w:t xml:space="preserve"> </w:t>
      </w:r>
      <w:bookmarkStart w:id="29" w:name="__Fieldmark__1280_945872730"/>
      <w:r w:rsidRPr="00686B51">
        <w:rPr>
          <w:lang w:eastAsia="de-DE"/>
        </w:rPr>
        <w:t>e</w:t>
      </w:r>
      <w:bookmarkStart w:id="30" w:name="__Fieldmark__1011_376982467"/>
      <w:r w:rsidRPr="00686B51">
        <w:rPr>
          <w:lang w:eastAsia="de-DE"/>
        </w:rPr>
        <w:t>t</w:t>
      </w:r>
      <w:r>
        <w:fldChar w:fldCharType="begin" w:fldLock="1"/>
      </w:r>
      <w:r>
        <w:instrText>ADDIN CSL_CITATION {"citationItems":[{"id":"ITEM-1","itemData":{"DOI":"10.1016/j.fct.2017.01.004","abstract":"The aim of this study was to investigate if vitamin E (a-TOC) modulates the developmental toxicity of the pesticide endosulfan (ESF), using a modified zebrafish embryotoxicity test (ZET). Zebrafish (Danio rerio) embryos were exposed from 6 to 72 h post fertilization (hpf) to either ESF (0.1e50 mg/L) or a-TOC (0.01 e3 mM) alone or in combination. The effects of these exposures on embryonic morphology, larval behavior and antioxidant gene expression were analyzed. Phenotypic analysis at 48 hpf showed that ESF led to a dose-dependent increase in embryonic deformities, including axis malformations, pericardial edema and reduced pigmentation. Co-exposure of ESF with a-TOC (1e3 mM) significantly (p &lt; 0.05) reduced ESF-induced embryonic malformations. Exposure to solely a-TOC did not affect rates of survival or malformations. Behavior studies showed that ESF caused hyperactivity at 5 days post fertilization, indicating a developmental neurotoxic effect. The ESF-induced hyperactivity was ameliorated by a-TOC. Elevated ESF concentrations caused down-regulation of the antioxidant genes cuzn-sod, gpx1a and cat, suggesting that ESF promoted oxidative stress in the embryos. a-TOC did not prevent the ESF-induced dysregulation of these genes. These results demonstrate that a-TOC protects against phenotypic and behavioral effects caused by ESF but did not rescue ESF-induced aberrations in antioxidant gene expression.","author":[{"dropping-particle":"","family":"Dale","given":"Karina","non-dropping-particle":"","parse-names":false,"suffix":""},{"dropping-particle":"","family":"Ellingsen","given":"Staale","non-dropping-particle":"","parse-names":false,"suffix":""},{"dropping-particle":"","family":"Dale","given":"K","non-dropping-particle":"","parse-names":false,"suffix":""},{"dropping-particle":"","family":"Rasinger","given":"J D","non-dropping-particle":"","parse-names":false,"suffix":""},{"dropping-particle":"","family":"Thorstensen","given":"K L","non-dropping-particle":"","parse-names":false,"suffix":""},{"dropping-particle":"","family":"Penglase","given":"S","non-dropping-particle":"","parse-names":false,"suffix":""},{"dropping-particle":"","family":"Ellingsen","given":"S","non-dropping-particle":"","parse-names":false,"suffix":""}],"id":"ITEM-1","issued":{"date-parts":[["2017"]]},"title":"Vitamin E reduces endosulfan-induced toxic effects on morphology and behavior in early development of zebrafish (Danio rerio) Selenium nutrition and toxicology View project EU-FORA View project Vitamin E reduces endosulfan-induced toxic effects on morphol","type":"article-journal"},"uris":["http://www.mendeley.com/documents/?uuid=4a3b1aae-d228-375b-ba49-653b90c11044"]}],"mendeley":{"formattedCitation":"(Dale et al. 2017)","manualFormatting":" al. (2017)","plainTextFormattedCitation":"(Dale et al. 2017)","previouslyFormattedCitation":"(Dale et al. 2017)"},"properties":{"noteIndex":0},"schema":"https://github.com/citation-style-language/schema/raw/master/csl-citation.json"}</w:instrText>
      </w:r>
      <w:r>
        <w:fldChar w:fldCharType="separate"/>
      </w:r>
      <w:bookmarkStart w:id="31" w:name="__Fieldmark__2587_422048926"/>
      <w:r w:rsidRPr="00686B51">
        <w:rPr>
          <w:noProof/>
          <w:lang w:eastAsia="de-DE"/>
        </w:rPr>
        <w:t xml:space="preserve"> </w:t>
      </w:r>
      <w:bookmarkStart w:id="32" w:name="__Fieldmark__5372_523164669"/>
      <w:r w:rsidRPr="00686B51">
        <w:rPr>
          <w:noProof/>
          <w:lang w:eastAsia="de-DE"/>
        </w:rPr>
        <w:t>al. (2017)</w:t>
      </w:r>
      <w:r>
        <w:fldChar w:fldCharType="end"/>
      </w:r>
      <w:bookmarkEnd w:id="25"/>
      <w:bookmarkEnd w:id="26"/>
      <w:bookmarkEnd w:id="27"/>
      <w:bookmarkEnd w:id="28"/>
      <w:bookmarkEnd w:id="29"/>
      <w:bookmarkEnd w:id="30"/>
      <w:bookmarkEnd w:id="31"/>
      <w:bookmarkEnd w:id="32"/>
      <w:r>
        <w:t xml:space="preserve"> </w:t>
      </w:r>
      <w:r>
        <w:rPr>
          <w:b/>
        </w:rPr>
        <w:t>[</w:t>
      </w:r>
      <w:r w:rsidRPr="009E374F">
        <w:t xml:space="preserve">long </w:t>
      </w:r>
      <w:r w:rsidRPr="009E374F">
        <w:rPr>
          <w:u w:val="single"/>
        </w:rPr>
        <w:t>exposure duration</w:t>
      </w:r>
      <w:r w:rsidRPr="009E374F">
        <w:t xml:space="preserve">] and Leuthold et al. (2019) [short exposure duration], </w:t>
      </w:r>
      <w:r>
        <w:t xml:space="preserve">but </w:t>
      </w:r>
      <w:proofErr w:type="spellStart"/>
      <w:r>
        <w:t>hypoactivity</w:t>
      </w:r>
      <w:proofErr w:type="spellEnd"/>
      <w:r>
        <w:t xml:space="preserve"> was observed</w:t>
      </w:r>
      <w:r w:rsidRPr="009E374F">
        <w:t xml:space="preserve"> in the STC study by </w:t>
      </w:r>
      <w:proofErr w:type="spellStart"/>
      <w:r w:rsidRPr="009E374F">
        <w:rPr>
          <w:lang w:eastAsia="de-DE"/>
        </w:rPr>
        <w:t>R</w:t>
      </w:r>
      <w:bookmarkStart w:id="33" w:name="__Fieldmark__2525_1441573696"/>
      <w:r w:rsidRPr="009E374F">
        <w:rPr>
          <w:lang w:eastAsia="de-DE"/>
        </w:rPr>
        <w:t>a</w:t>
      </w:r>
      <w:bookmarkStart w:id="34" w:name="__Fieldmark__2141_1142328233"/>
      <w:r w:rsidRPr="009E374F">
        <w:rPr>
          <w:lang w:eastAsia="de-DE"/>
        </w:rPr>
        <w:t>f</w:t>
      </w:r>
      <w:bookmarkStart w:id="35" w:name="__Fieldmark__8575_1894120582"/>
      <w:r w:rsidRPr="009E374F">
        <w:rPr>
          <w:lang w:eastAsia="de-DE"/>
        </w:rPr>
        <w:t>t</w:t>
      </w:r>
      <w:bookmarkStart w:id="36" w:name="__Fieldmark__1613_1894120582"/>
      <w:r w:rsidRPr="009E374F">
        <w:rPr>
          <w:lang w:eastAsia="de-DE"/>
        </w:rPr>
        <w:t>e</w:t>
      </w:r>
      <w:bookmarkStart w:id="37" w:name="__Fieldmark__1295_945872730"/>
      <w:r w:rsidRPr="009E374F">
        <w:rPr>
          <w:lang w:eastAsia="de-DE"/>
        </w:rPr>
        <w:t>r</w:t>
      </w:r>
      <w:bookmarkStart w:id="38" w:name="__Fieldmark__1022_376982467"/>
      <w:r w:rsidRPr="009E374F">
        <w:rPr>
          <w:lang w:eastAsia="de-DE"/>
        </w:rPr>
        <w:t>y</w:t>
      </w:r>
      <w:proofErr w:type="spellEnd"/>
      <w:r w:rsidRPr="009E374F">
        <w:fldChar w:fldCharType="begin" w:fldLock="1"/>
      </w:r>
      <w:r w:rsidRPr="009E374F">
        <w:instrText>ADDIN CSL_CITATION {"citationItems":[{"id":"ITEM-1","itemData":{"DOI":"10.1016/j.ntt.2015.02.006","abstract":"a b s t r a c t During early zebrafish embryogenesis, spontaneous tail contractions represent the first sign of locomotion and result from innervation of primary motoneuron axons to target axial muscles. Based on a high-content screen, we previously demonstrated that exposure of zebrafish embryos to abamectin – an avermectin insecticide – from 5–25 hours post-fertilization (hpf) abolished spontaneous activity in the absence of effects on survival and gross morphology. Therefore, the objective of this study was to begin investigating the mechanism of abamectin-induced hypoactivity in zebrafish. Similar to 384-well plates, static exposure of embryos to abamectin from 5–25 hpf in glass beakers resulted in elimination of activity at low micromolar concentrations. However, abamectin did not affect neurite outgrowth from spinal motoneurons and, compared with exposure from 5–25 hpf, embryos were equally susceptible to abamectin-induced hypoactivity when exposures were initiated at 10 and 23 hpf. Moreover, immersion of abamectin-exposed embryos in clean water resulted in complete recovery of spontaneous activity relative to vehicle controls, suggesting that abamectin reversibly activated ligand-gated chloride channels and inhibited neurotransmission. To test this hypothesis, we pretreated embryos to vehicle or non-toxic concentrations of fipronil or endosulfan – two insecticides that antagonize the γ-aminobutyric acid (GABA) receptor – from 5–23 hpf, and then exposed embryos to vehicle or abamectin from 23–25 hpf. Interestingly, activity levels within abamectin-exposed embryos pretreated with either antagonist were similar to embryos exposed to vehicle alone. Using quantitative PCR and phylogenetic analyses, we then confirmed the presence of GABA receptor α1 and β2 subunits at 5, 10, and 23 hpf, and demonstrated that zebrafish GABA receptor subunits are homologous to mammalian GABA receptor subunits. Overall, our data collectively suggest that abamectin induces rapid and reversible hypoactivity within early zebrafish embryos, an effect that may be mediated through the GABA receptor.","author":[{"dropping-particle":"","family":"Raftery","given":"Tara D","non-dropping-particle":"","parse-names":false,"suffix":""},{"dropping-particle":"","family":"Volz","given":"David C","non-dropping-particle":"","parse-names":false,"suffix":""}],"container-title":"Neurotoxicology and Teratology","id":"ITEM-1","issued":{"date-parts":[["2015"]]},"page":"10-18","title":"Abamectin induces rapid and reversible hypoactivity within early zebrafish embryos","type":"article-journal","volume":"49"},"uris":["http://www.mendeley.com/documents/?uuid=ba902cbb-57fc-38ef-a0be-cbfd491324b7"]}],"mendeley":{"formattedCitation":"(Raftery and Volz 2015)","manualFormatting":" and Volz (2015)","plainTextFormattedCitation":"(Raftery and Volz 2015)","previouslyFormattedCitation":"(Raftery and Volz 2015)"},"properties":{"noteIndex":0},"schema":"https://github.com/citation-style-language/schema/raw/master/csl-citation.json"}</w:instrText>
      </w:r>
      <w:r w:rsidRPr="009E374F">
        <w:fldChar w:fldCharType="separate"/>
      </w:r>
      <w:bookmarkStart w:id="39" w:name="__Fieldmark__2617_422048926"/>
      <w:r w:rsidRPr="009E374F">
        <w:rPr>
          <w:noProof/>
          <w:lang w:eastAsia="de-DE"/>
        </w:rPr>
        <w:t xml:space="preserve"> </w:t>
      </w:r>
      <w:bookmarkStart w:id="40" w:name="__Fieldmark__5414_523164669"/>
      <w:r w:rsidRPr="009E374F">
        <w:rPr>
          <w:noProof/>
          <w:lang w:eastAsia="de-DE"/>
        </w:rPr>
        <w:t>and Volz (2015)</w:t>
      </w:r>
      <w:r w:rsidRPr="009E374F">
        <w:fldChar w:fldCharType="end"/>
      </w:r>
      <w:bookmarkEnd w:id="33"/>
      <w:bookmarkEnd w:id="34"/>
      <w:bookmarkEnd w:id="35"/>
      <w:bookmarkEnd w:id="36"/>
      <w:bookmarkEnd w:id="37"/>
      <w:bookmarkEnd w:id="38"/>
      <w:bookmarkEnd w:id="39"/>
      <w:bookmarkEnd w:id="40"/>
      <w:r w:rsidRPr="009E374F">
        <w:t xml:space="preserve"> [short exposure duration]. This could be due to limited uptake and perhaps limited biotransformation in the early </w:t>
      </w:r>
      <w:r w:rsidRPr="009E374F">
        <w:rPr>
          <w:u w:val="single"/>
        </w:rPr>
        <w:t>development stage</w:t>
      </w:r>
      <w:r w:rsidRPr="009E374F">
        <w:t xml:space="preserve">. Moreover, the STC endpoint (see selected behavioral endpoints) used in </w:t>
      </w:r>
      <w:proofErr w:type="spellStart"/>
      <w:r w:rsidRPr="009E374F">
        <w:t>Raftery</w:t>
      </w:r>
      <w:proofErr w:type="spellEnd"/>
      <w:r w:rsidRPr="009E374F">
        <w:t xml:space="preserve"> and </w:t>
      </w:r>
      <w:proofErr w:type="spellStart"/>
      <w:r w:rsidRPr="009E374F">
        <w:t>Volz</w:t>
      </w:r>
      <w:proofErr w:type="spellEnd"/>
      <w:r w:rsidRPr="009E374F">
        <w:t xml:space="preserve"> (2015) might be biased towards </w:t>
      </w:r>
      <w:proofErr w:type="spellStart"/>
      <w:r w:rsidRPr="009E374F">
        <w:t>hypoactivity</w:t>
      </w:r>
      <w:proofErr w:type="spellEnd"/>
      <w:r w:rsidRPr="009E374F">
        <w:t xml:space="preserve"> since</w:t>
      </w:r>
      <w:r>
        <w:t xml:space="preserve"> </w:t>
      </w:r>
      <w:proofErr w:type="spellStart"/>
      <w:r>
        <w:t>endosulfan</w:t>
      </w:r>
      <w:proofErr w:type="spellEnd"/>
      <w:r>
        <w:t xml:space="preserve"> blocked </w:t>
      </w:r>
      <w:proofErr w:type="spellStart"/>
      <w:r>
        <w:t>abamectin</w:t>
      </w:r>
      <w:proofErr w:type="spellEnd"/>
      <w:r>
        <w:t xml:space="preserve"> induced </w:t>
      </w:r>
      <w:proofErr w:type="spellStart"/>
      <w:r>
        <w:t>hypoactivity</w:t>
      </w:r>
      <w:proofErr w:type="spellEnd"/>
      <w:r>
        <w:t xml:space="preserve"> in the same study (see section endpoint parameters above). The fourth studies, a PMR study by </w:t>
      </w:r>
      <w:proofErr w:type="spellStart"/>
      <w:r>
        <w:t>Reif</w:t>
      </w:r>
      <w:proofErr w:type="spellEnd"/>
      <w:r>
        <w:t xml:space="preserve"> et al. (2016) did not show any effect and this is also attributed to differences in </w:t>
      </w:r>
      <w:r w:rsidRPr="009E374F">
        <w:rPr>
          <w:u w:val="single"/>
        </w:rPr>
        <w:t>endpoint parameter</w:t>
      </w:r>
      <w:r>
        <w:t xml:space="preserve"> between STC and PMR. </w:t>
      </w:r>
    </w:p>
    <w:p w:rsidR="00A34D5D" w:rsidRDefault="00A34D5D" w:rsidP="00240F51">
      <w:pPr>
        <w:jc w:val="both"/>
      </w:pPr>
      <w:r>
        <w:rPr>
          <w:noProof/>
          <w:lang w:eastAsia="en-US"/>
        </w:rPr>
        <w:lastRenderedPageBreak/>
        <w:drawing>
          <wp:inline distT="0" distB="0" distL="0" distR="0">
            <wp:extent cx="4762500" cy="4762500"/>
            <wp:effectExtent l="0" t="0" r="0" b="0"/>
            <wp:docPr id="6" name="Picture 6" descr="C:\Users\ogungbem\Documents\Review data\Endosulfan b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gungbem\Documents\Review data\Endosulfan bar.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240F51" w:rsidRDefault="00240F51" w:rsidP="00240F51">
      <w:pPr>
        <w:pStyle w:val="ListParagraph1"/>
        <w:ind w:left="0"/>
        <w:jc w:val="both"/>
        <w:rPr>
          <w:rFonts w:eastAsia="Times New Roman" w:cs="Times New Roman"/>
          <w:color w:val="000000"/>
          <w:lang w:eastAsia="en-US"/>
        </w:rPr>
      </w:pPr>
    </w:p>
    <w:p w:rsidR="00240F51" w:rsidRDefault="00240F51" w:rsidP="00A34D5D">
      <w:pPr>
        <w:pStyle w:val="ListParagraph1"/>
        <w:spacing w:after="0"/>
        <w:ind w:left="0"/>
        <w:jc w:val="both"/>
      </w:pPr>
      <w:r>
        <w:rPr>
          <w:b/>
        </w:rPr>
        <w:t xml:space="preserve">Isoproterenol </w:t>
      </w:r>
    </w:p>
    <w:p w:rsidR="00240F51" w:rsidRDefault="00240F51" w:rsidP="00240F51">
      <w:pPr>
        <w:spacing w:after="0"/>
        <w:jc w:val="both"/>
      </w:pPr>
      <w:r>
        <w:t xml:space="preserve">Isoproterenol is a pharmaceutical expected to cause hyperactivity by agonizing beta-adrenergic receptors (www.drugbank.ca). Four studies were compared. Isoproterenol showed consistency in its hyperactivity effects observed in 3 PMR studies. The only exception is the </w:t>
      </w:r>
      <w:proofErr w:type="spellStart"/>
      <w:r>
        <w:t>hypoactivity</w:t>
      </w:r>
      <w:proofErr w:type="spellEnd"/>
      <w:r>
        <w:t xml:space="preserve"> reported in the LMR study by </w:t>
      </w:r>
      <w:r w:rsidRPr="00686B51">
        <w:rPr>
          <w:lang w:eastAsia="de-DE"/>
        </w:rPr>
        <w:t>G</w:t>
      </w:r>
      <w:bookmarkStart w:id="41" w:name="__Fieldmark__2571_1441573696"/>
      <w:r w:rsidRPr="00686B51">
        <w:rPr>
          <w:lang w:eastAsia="de-DE"/>
        </w:rPr>
        <w:t>a</w:t>
      </w:r>
      <w:bookmarkStart w:id="42" w:name="__Fieldmark__2183_1142328233"/>
      <w:r w:rsidRPr="00686B51">
        <w:rPr>
          <w:lang w:eastAsia="de-DE"/>
        </w:rPr>
        <w:t>u</w:t>
      </w:r>
      <w:bookmarkStart w:id="43" w:name="__Fieldmark__8613_1894120582"/>
      <w:r w:rsidRPr="00686B51">
        <w:rPr>
          <w:lang w:eastAsia="de-DE"/>
        </w:rPr>
        <w:t>t</w:t>
      </w:r>
      <w:bookmarkStart w:id="44" w:name="__Fieldmark__1634_1894120582"/>
      <w:r w:rsidRPr="00686B51">
        <w:rPr>
          <w:lang w:eastAsia="de-DE"/>
        </w:rPr>
        <w:t>h</w:t>
      </w:r>
      <w:bookmarkStart w:id="45" w:name="__Fieldmark__1312_945872730"/>
      <w:r w:rsidRPr="00686B51">
        <w:rPr>
          <w:lang w:eastAsia="de-DE"/>
        </w:rPr>
        <w:t>i</w:t>
      </w:r>
      <w:bookmarkStart w:id="46" w:name="__Fieldmark__1035_376982467"/>
      <w:r w:rsidRPr="00686B51">
        <w:rPr>
          <w:lang w:eastAsia="de-DE"/>
        </w:rPr>
        <w:t>e</w:t>
      </w:r>
      <w:r>
        <w:fldChar w:fldCharType="begin" w:fldLock="1"/>
      </w:r>
      <w:r>
        <w:instrText>ADDIN CSL_CITATION {"citationItems":[{"id":"ITEM-1","itemData":{"DOI":"10.1038/s41598-018-20112-x","abstract":"Zebrafish (Danio rerio) early-life stage behavior has the potential for high-throughput screening of neurotoxic environmental contaminants. However, zebrafish embryo and larval behavioral assessments typically utilize linear analyses of mean activity that may not capture the complexity of the behavioral response. Here we tested the hypothesis that nonlinear mixed-modelling of zebrafish embryo and larval behavior provides a better assessment of the impact of chemicals and their mixtures. We demonstrate that zebrafish embryo photomotor responses (PMRs) and larval light/dark locomotor activities can be fit by asymmetric Lorentzian and Ricker-beta functions, respectively, which estimate the magnitude of activity (e.g., maximum and total activities) and temporal aspects (e.g., duration of the responses and its excitatory periods) characterizing early life-stage zebrafish behavior. We exposed zebrafish embryos and larvae to neuroactive chemicals, including isoproterenol, serotonin, and ethanol, as well as their mixtures, to assess the feasibility of using the nonlinear mixed-modelling to assess behavioral modulation. Exposure to chemicals led to distinct effects on specific behavioral characteristics, and interactive effects on temporal characteristics of the behavioral response that were overlooked by the linear analyses of mean activity. Overall, nonlinear mixed-modelling is a more comprehensive approach for screening the impact of chemicals and chemical mixtures on zebrafish behavior. Zebrafish (Danio rerio) have proven to be an excellent model for ecotoxicological applications 1 , in part due to their tractability in laboratory settings, high fecundity, and well-understood and precisely-timed ontogeny 2. The zebrafish is also an excellent model to study chemical effects on developmental programming, as well as early life-stage behavior 3-5. For instance, as early as 30 hours post fertilization (hpf), zebrafish embryos exhibit a short photomotor response (PMR) involving a spike in movement over a 10 s period 4. The PMR has high plasticity to drug exposure and has been used for high-throughput screening of neuroactive chemicals 6,7. Also, after hatch (&gt;72 hpf) the larvae exhibit distinct locomotor activity to alternating dark and light photoperiods 8. Locomotor activity is supressed when larvae are held in an illuminated environment, while a switch to complete darkness evokes a spike in locomotor activity lasting around 15 min 5,8. Recent studies suggest th…","author":[{"dropping-particle":"","family":"Gauthier","given":"Patrick T","non-dropping-particle":"","parse-names":false,"suffix":""},{"dropping-particle":"","family":"Vijayan","given":"Mathilakath M","non-dropping-particle":"","parse-names":false,"suffix":""}],"container-title":"Scientific RePoRTs |","id":"ITEM-1","issued":{"date-parts":[["2018"]]},"title":"Nonlinear mixed-modelling discriminates the effect of chemicals and their mixtures on zebrafish behavior OPEN","type":"article-journal","volume":"8"},"uris":["http://www.mendeley.com/documents/?uuid=d3defc7a-5580-37d6-a6cb-9a25a873d865"]}],"mendeley":{"formattedCitation":"(Gauthier and Vijayan 2018)","manualFormatting":"r and Vijayan (2018)","plainTextFormattedCitation":"(Gauthier and Vijayan 2018)","previouslyFormattedCitation":"(Gauthier and Vijayan 2018)"},"properties":{"noteIndex":0},"schema":"https://github.com/citation-style-language/schema/raw/master/csl-citation.json"}</w:instrText>
      </w:r>
      <w:r>
        <w:fldChar w:fldCharType="separate"/>
      </w:r>
      <w:bookmarkStart w:id="47" w:name="__Fieldmark__2662_422048926"/>
      <w:r w:rsidRPr="00686B51">
        <w:rPr>
          <w:noProof/>
          <w:lang w:eastAsia="de-DE"/>
        </w:rPr>
        <w:t>r</w:t>
      </w:r>
      <w:bookmarkStart w:id="48" w:name="__Fieldmark__5488_523164669"/>
      <w:r w:rsidRPr="00686B51">
        <w:rPr>
          <w:noProof/>
          <w:lang w:eastAsia="de-DE"/>
        </w:rPr>
        <w:t xml:space="preserve"> and Vijayan (2018)</w:t>
      </w:r>
      <w:r>
        <w:fldChar w:fldCharType="end"/>
      </w:r>
      <w:bookmarkEnd w:id="41"/>
      <w:bookmarkEnd w:id="42"/>
      <w:bookmarkEnd w:id="43"/>
      <w:bookmarkEnd w:id="44"/>
      <w:bookmarkEnd w:id="45"/>
      <w:bookmarkEnd w:id="46"/>
      <w:bookmarkEnd w:id="47"/>
      <w:bookmarkEnd w:id="48"/>
      <w:r>
        <w:t xml:space="preserve">. This </w:t>
      </w:r>
      <w:proofErr w:type="spellStart"/>
      <w:r>
        <w:t>hypoactivity</w:t>
      </w:r>
      <w:proofErr w:type="spellEnd"/>
      <w:r>
        <w:t xml:space="preserve"> could be related to side effects of isoproterenol in </w:t>
      </w:r>
      <w:r w:rsidRPr="00386E81">
        <w:t xml:space="preserve">older </w:t>
      </w:r>
      <w:r w:rsidRPr="00386E81">
        <w:rPr>
          <w:u w:val="single"/>
        </w:rPr>
        <w:t>developmental stages</w:t>
      </w:r>
      <w:r>
        <w:t xml:space="preserve"> which probably could possess more molecular receptors, thus increasing susceptibility. Additionally, </w:t>
      </w:r>
      <w:r w:rsidRPr="00386E81">
        <w:rPr>
          <w:u w:val="single"/>
        </w:rPr>
        <w:t>exposure concentration</w:t>
      </w:r>
      <w:r>
        <w:t xml:space="preserve"> seems to be a limiting factor for adequate comparison. The LMR study exposed at a single concentration of 20µM which is 5 times lower than the effect concentration (100µM) re</w:t>
      </w:r>
      <w:r w:rsidR="00A34D5D">
        <w:t>ported in the other PMR studies</w:t>
      </w:r>
    </w:p>
    <w:p w:rsidR="00A34D5D" w:rsidRDefault="00A34D5D" w:rsidP="00240F51">
      <w:pPr>
        <w:spacing w:after="0"/>
        <w:jc w:val="both"/>
      </w:pPr>
      <w:r>
        <w:rPr>
          <w:noProof/>
          <w:lang w:eastAsia="en-US"/>
        </w:rPr>
        <w:lastRenderedPageBreak/>
        <w:drawing>
          <wp:inline distT="0" distB="0" distL="0" distR="0">
            <wp:extent cx="4762500" cy="4762500"/>
            <wp:effectExtent l="0" t="0" r="0" b="0"/>
            <wp:docPr id="7" name="Picture 7" descr="C:\Users\ogungbem\Documents\Review data\Isoproterenol b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gungbem\Documents\Review data\Isoproterenol bar.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240F51" w:rsidRDefault="00240F51" w:rsidP="00240F51">
      <w:pPr>
        <w:pStyle w:val="ListParagraph1"/>
        <w:ind w:left="0"/>
        <w:jc w:val="both"/>
      </w:pPr>
    </w:p>
    <w:p w:rsidR="00240F51" w:rsidRDefault="00240F51" w:rsidP="00A34D5D">
      <w:pPr>
        <w:pStyle w:val="ListParagraph1"/>
        <w:spacing w:after="0"/>
        <w:ind w:left="0"/>
        <w:jc w:val="both"/>
      </w:pPr>
      <w:r>
        <w:rPr>
          <w:b/>
        </w:rPr>
        <w:t>Nicotine</w:t>
      </w:r>
      <w:r w:rsidR="00A34D5D">
        <w:t xml:space="preserve"> </w:t>
      </w:r>
    </w:p>
    <w:p w:rsidR="00240F51" w:rsidRDefault="00240F51" w:rsidP="00240F51">
      <w:pPr>
        <w:pStyle w:val="ListParagraph1"/>
        <w:ind w:left="0"/>
        <w:jc w:val="both"/>
      </w:pPr>
      <w:r>
        <w:t xml:space="preserve">Nicotine is an insecticide that acts by agonizing the nicotinic acetylcholine receptors, thereby causing hyperactivity </w:t>
      </w:r>
      <w:r>
        <w:fldChar w:fldCharType="begin" w:fldLock="1"/>
      </w:r>
      <w:r>
        <w:instrText>ADDIN CSL_CITATION {"citationItems":[{"id":"ITEM-1","itemData":{"DOI":"10.1146/annurev-ento-120811-153645","ISBN":"1545-4487 (Electronic)\\n0066-4170 (Linking)","ISSN":"1545-4487","PMID":"23317040","abstract":"Neuroactive insecticides are the principal means of protecting crops, people, livestock, and pets from pest insect attack and disease transmission. Currently, the four major nerve targets are acetylcholinesterase for organophosphates and methylcarbamates, the nicotinic acetylcholine receptor for neonicotinoids, the γ-aminobutyric acid receptor/chloride channel for polychlorocyclohexanes and fiproles, and the voltage-gated sodium channel for pyrethroids and dichlorodiphenyltrichloroethane. Species selectivity and acquired resistance are attributable in part to structural differences in binding subsites, receptor subunit interfaces, or transmembrane regions. Additional targets are sites in the sodium channel (indoxacarb and metaflumizone), the glutamate-gated chloride channel (avermectins), the octopamine receptor (amitraz metabolite), and the calcium-activated calcium channel (diamides). Secondary toxic effects in mammals from off-target serine hydrolase inhibition include organophosphate-induced delayed neuropathy and disruption of the cannabinoid system. Possible associations between pesticides and Parkinson's and Alzheimer's diseases are proposed but not established based on epidemiological observations and mechanistic considerations.","author":[{"dropping-particle":"","family":"Casida","given":"John E","non-dropping-particle":"","parse-names":false,"suffix":""},{"dropping-particle":"","family":"Durkin","given":"Kathleen a","non-dropping-particle":"","parse-names":false,"suffix":""}],"container-title":"Annual review of entomology","id":"ITEM-1","issued":{"date-parts":[["2013"]]},"page":"99-117","title":"Neuroactive insecticides: targets, selectivity, resistance, and secondary effects.","type":"article-journal","volume":"58"},"uris":["http://www.mendeley.com/documents/?uuid=a00e6cc7-5ad3-4b54-bedc-4eca2ee44978"]}],"mendeley":{"formattedCitation":"(Casida and Durkin 2013)","plainTextFormattedCitation":"(Casida and Durkin 2013)","previouslyFormattedCitation":"(Casida and Durkin 2013)"},"properties":{"noteIndex":0},"schema":"https://github.com/citation-style-language/schema/raw/master/csl-citation.json"}</w:instrText>
      </w:r>
      <w:r>
        <w:fldChar w:fldCharType="separate"/>
      </w:r>
      <w:r w:rsidRPr="00BF6B5F">
        <w:rPr>
          <w:noProof/>
        </w:rPr>
        <w:t>(Casida and Durkin 2013)</w:t>
      </w:r>
      <w:r>
        <w:fldChar w:fldCharType="end"/>
      </w:r>
      <w:r>
        <w:t xml:space="preserve">. Seven studies were found and compared. A trend can be observed in which the short </w:t>
      </w:r>
      <w:r w:rsidRPr="00BD244F">
        <w:rPr>
          <w:u w:val="single"/>
        </w:rPr>
        <w:t>exposure duration</w:t>
      </w:r>
      <w:r>
        <w:t xml:space="preserve"> tests showed hyperactivity. Nicotine is taken up fast in zebrafish embryos and equilibrium is reached after 10 mins </w:t>
      </w:r>
      <w:r>
        <w:fldChar w:fldCharType="begin" w:fldLock="1"/>
      </w:r>
      <w:r>
        <w:instrText>ADDIN CSL_CITATION {"citationItems":[{"id":"ITEM-1","itemData":{"DOI":"10.1016/j.taap.2008.08.023","abstract":"The zebrafish model system is ideal for studying nervous system development. Ultimately, one would like to link the developmental biology to various aspects of behavior. We are studying the consequences of nicotine exposure on nervous system development in zebrafish and have previously shown that chronic nicotine exposure produces paralysis. We also have made observations that the embryos moved in the initial minutes of the exposure as the bend rates of the musculature increased. This nicotine induced behavior manifests as an increase in the rate of spinal musculature bends, which spontaneously begin at ∼ 17 h post fertilization. The behavioral observations prompted the systematic characterization of nicotine-induced modulation of zebrafish embryonic motor output; bends of the trunk musculature. We first characterized embryonic motor output in zebrafish embryos with and without their chorions. We then characterized the motor output in embryos raised at 28 °C and 25 °C. The act of dechorionation along with temperature influenced the embryonic bend rate. We show that nicotine exposure increases embryonic motor output. Nicotine exposure caused the musculature bends to alternate in a left-right-left fashion. Nicotine was able to produce this phenotype in embryos lacking supraspinal input. We then characterize the kinetics of nicotine influx and efflux and demonstrate that nicotine as low as 1 μM can disrupt embryonic physiology. Taken together, these results indicate the presence of nicotinic acetylcholine receptors (nAChRs) associated with a spinal motor circuit early in embryogenesis.","author":[{"dropping-particle":"","family":"Thomas","given":"Latoya T","non-dropping-particle":"","parse-names":false,"suffix":""},{"dropping-particle":"","family":"Welsh","given":"Lillian","non-dropping-particle":"","parse-names":false,"suffix":""},{"dropping-particle":"","family":"Galvez","given":"Fernando","non-dropping-particle":"","parse-names":false,"suffix":""},{"dropping-particle":"","family":"Svoboda","given":"Kurt R","non-dropping-particle":"","parse-names":false,"suffix":""}],"id":"ITEM-1","issued":{"date-parts":[["2009"]]},"title":"Acute nicotine exposure and modulation of a spinal motor circuit in embryonic zebrafish","type":"article-journal"},"uris":["http://www.mendeley.com/documents/?uuid=965a362c-985d-3736-9c87-6e518eb57dbd"]}],"mendeley":{"formattedCitation":"(Thomas et al. 2009)","plainTextFormattedCitation":"(Thomas et al. 2009)","previouslyFormattedCitation":"(Thomas et al. 2009)"},"properties":{"noteIndex":0},"schema":"https://github.com/citation-style-language/schema/raw/master/csl-citation.json"}</w:instrText>
      </w:r>
      <w:r>
        <w:fldChar w:fldCharType="separate"/>
      </w:r>
      <w:bookmarkStart w:id="49" w:name="__Fieldmark__2699_422048926"/>
      <w:r w:rsidRPr="00DC2237">
        <w:rPr>
          <w:noProof/>
          <w:lang w:eastAsia="de-DE"/>
        </w:rPr>
        <w:t>(Thomas et al. 2009)</w:t>
      </w:r>
      <w:bookmarkStart w:id="50" w:name="__Fieldmark__8656_1894120582"/>
      <w:bookmarkStart w:id="51" w:name="__Fieldmark__2230_1142328233"/>
      <w:bookmarkStart w:id="52" w:name="__Fieldmark__1331_945872730"/>
      <w:bookmarkStart w:id="53" w:name="__Fieldmark__1050_376982467"/>
      <w:bookmarkStart w:id="54" w:name="__Fieldmark__5398_298352452"/>
      <w:bookmarkStart w:id="55" w:name="__Fieldmark__2622_1441573696"/>
      <w:bookmarkStart w:id="56" w:name="__Fieldmark__5563_523164669"/>
      <w:bookmarkStart w:id="57" w:name="__Fieldmark__1657_1894120582"/>
      <w:bookmarkEnd w:id="50"/>
      <w:bookmarkEnd w:id="51"/>
      <w:bookmarkEnd w:id="52"/>
      <w:bookmarkEnd w:id="53"/>
      <w:bookmarkEnd w:id="54"/>
      <w:bookmarkEnd w:id="55"/>
      <w:bookmarkEnd w:id="56"/>
      <w:bookmarkEnd w:id="57"/>
      <w:r>
        <w:fldChar w:fldCharType="end"/>
      </w:r>
      <w:bookmarkEnd w:id="49"/>
      <w:r>
        <w:t xml:space="preserve">. This suggests that the </w:t>
      </w:r>
      <w:proofErr w:type="spellStart"/>
      <w:r>
        <w:t>hypoactivity</w:t>
      </w:r>
      <w:proofErr w:type="spellEnd"/>
      <w:r>
        <w:t xml:space="preserve"> reported in </w:t>
      </w:r>
      <w:r w:rsidRPr="00BD244F">
        <w:t>the long duration</w:t>
      </w:r>
      <w:r>
        <w:rPr>
          <w:b/>
        </w:rPr>
        <w:t xml:space="preserve"> </w:t>
      </w:r>
      <w:r>
        <w:t xml:space="preserve">test by </w:t>
      </w:r>
      <w:r>
        <w:fldChar w:fldCharType="begin" w:fldLock="1"/>
      </w:r>
      <w:r>
        <w:instrText>ADDIN CSL_CITATION {"citationItems":[{"id":"ITEM-1","itemData":{"DOI":"10.1016/j.bbr.2011.11.020","ISBN":"0166-4328","ISSN":"01664328","PMID":"22138507","abstract":"The zebrafish is a powerful whole animal model which is complementary to in vitro and mammalian models. It has been shown to be applicable to the high-throughput behavioral screening of compound libraries. We have analysed 60 water-soluble toxic compounds covering a range of common drugs, toxins and chemicals, and representing various pharmacological mechanisms. Wild-type zebrafish larvae were cultured individually in defined buffer in 96 well plates. They were exposed for a 96h period starting at 24h post fertilization (hpf). A logarithmic concentration series was used for range-finding, followed by a narrower geometric series for LC 50 determination. LC 50 values were determined at 24h intervals and behavioral testing was carried out on day 5. We used the visual motor response test, in which movement of individual larvae was analysed using automated video-tracking. For all compounds, LC 50 values were found to decrease as the embryo developed. The majority of compounds (57/60) produced an effect in both the basal (lights on) and challenge phases (lights off) of the behavioral assay. These effects were either (i) suppression of locomotor activity (monotonic concentration-response); (ii) stimulation then suppression (biphasic response); (iii) stimulation (monotonic response). We conclude that behavioral assays with zebrafish embryos could be useful for pharmaceutical efficacy and toxicity screening. The precise phenotypic outcome obtained with behavioral assay varies with compound class. © 2011 Elsevier B.V.","author":[{"dropping-particle":"","family":"Ali","given":"Shaukat","non-dropping-particle":"","parse-names":false,"suffix":""},{"dropping-particle":"","family":"Champagne","given":"Danielle L.","non-dropping-particle":"","parse-names":false,"suffix":""},{"dropping-particle":"","family":"Richardson","given":"Michael K.","non-dropping-particle":"","parse-names":false,"suffix":""}],"container-title":"Behavioural Brain Research","id":"ITEM-1","issue":"2","issued":{"date-parts":[["2012"]]},"page":"272-283","publisher":"Elsevier B.V.","title":"Behavioral profiling of zebrafish embryos exposed to a panel of 60 water-soluble compounds","type":"article-journal","volume":"228"},"uris":["http://www.mendeley.com/documents/?uuid=a46c3b00-2b14-4b61-b539-a031da3d9c5d"]}],"mendeley":{"formattedCitation":"(Ali et al. 2012)","manualFormatting":"Ali et al. (2012)","plainTextFormattedCitation":"(Ali et al. 2012)","previouslyFormattedCitation":"(Ali et al. 2012)"},"properties":{"noteIndex":0},"schema":"https://github.com/citation-style-language/schema/raw/master/csl-citation.json"}</w:instrText>
      </w:r>
      <w:r>
        <w:fldChar w:fldCharType="separate"/>
      </w:r>
      <w:bookmarkStart w:id="58" w:name="__Fieldmark__2730_422048926"/>
      <w:r w:rsidRPr="00DC2237">
        <w:rPr>
          <w:noProof/>
          <w:lang w:eastAsia="de-DE"/>
        </w:rPr>
        <w:t>Ali et al. (2012)</w:t>
      </w:r>
      <w:bookmarkStart w:id="59" w:name="__Fieldmark__5585_523164669"/>
      <w:bookmarkStart w:id="60" w:name="__Fieldmark__1674_1894120582"/>
      <w:bookmarkStart w:id="61" w:name="__Fieldmark__8681_1894120582"/>
      <w:bookmarkStart w:id="62" w:name="__Fieldmark__1344_945872730"/>
      <w:bookmarkStart w:id="63" w:name="__Fieldmark__2252_1142328233"/>
      <w:bookmarkStart w:id="64" w:name="__Fieldmark__1059_376982467"/>
      <w:bookmarkStart w:id="65" w:name="__Fieldmark__2647_1441573696"/>
      <w:bookmarkStart w:id="66" w:name="__Fieldmark__5399_298352452"/>
      <w:bookmarkEnd w:id="59"/>
      <w:bookmarkEnd w:id="60"/>
      <w:bookmarkEnd w:id="61"/>
      <w:bookmarkEnd w:id="62"/>
      <w:bookmarkEnd w:id="63"/>
      <w:bookmarkEnd w:id="64"/>
      <w:bookmarkEnd w:id="65"/>
      <w:bookmarkEnd w:id="66"/>
      <w:r>
        <w:fldChar w:fldCharType="end"/>
      </w:r>
      <w:bookmarkEnd w:id="58"/>
      <w:r>
        <w:t xml:space="preserve"> could be due to over-excitation and paralysis. Furthermore, the STC test by </w:t>
      </w:r>
      <w:proofErr w:type="spellStart"/>
      <w:r>
        <w:t>Raftery</w:t>
      </w:r>
      <w:proofErr w:type="spellEnd"/>
      <w:r>
        <w:t xml:space="preserve"> et al. (2014) did not report any effect. This might probably due to short </w:t>
      </w:r>
      <w:r w:rsidRPr="00BD244F">
        <w:rPr>
          <w:u w:val="single"/>
        </w:rPr>
        <w:t>analysis duration</w:t>
      </w:r>
      <w:r>
        <w:t xml:space="preserve"> of 6 seconds and the different </w:t>
      </w:r>
      <w:r w:rsidRPr="00BD244F">
        <w:rPr>
          <w:u w:val="single"/>
        </w:rPr>
        <w:t>endpoint parameter</w:t>
      </w:r>
      <w:r>
        <w:t xml:space="preserve"> which might be inherently biased against detecting hyperactivity. Similarly, the PMR study by </w:t>
      </w:r>
      <w:proofErr w:type="spellStart"/>
      <w:r>
        <w:t>Reif</w:t>
      </w:r>
      <w:proofErr w:type="spellEnd"/>
      <w:r>
        <w:t xml:space="preserve"> et al. (2016) did not show any effect and this is also attributed to di</w:t>
      </w:r>
      <w:r w:rsidR="00A34D5D">
        <w:t>fferences in endpoint parameter.</w:t>
      </w:r>
    </w:p>
    <w:p w:rsidR="00A34D5D" w:rsidRDefault="00A34D5D" w:rsidP="00240F51">
      <w:pPr>
        <w:pStyle w:val="ListParagraph1"/>
        <w:ind w:left="0"/>
        <w:jc w:val="both"/>
      </w:pPr>
      <w:r>
        <w:rPr>
          <w:noProof/>
          <w:lang w:eastAsia="en-US"/>
        </w:rPr>
        <w:lastRenderedPageBreak/>
        <w:drawing>
          <wp:inline distT="0" distB="0" distL="0" distR="0">
            <wp:extent cx="5242560" cy="6667500"/>
            <wp:effectExtent l="0" t="0" r="0" b="0"/>
            <wp:docPr id="8" name="Picture 8" descr="C:\Users\ogungbem\Documents\Review data\Nicotine b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gungbem\Documents\Review data\Nicotine bar.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2560" cy="6667500"/>
                    </a:xfrm>
                    <a:prstGeom prst="rect">
                      <a:avLst/>
                    </a:prstGeom>
                    <a:noFill/>
                    <a:ln>
                      <a:noFill/>
                    </a:ln>
                  </pic:spPr>
                </pic:pic>
              </a:graphicData>
            </a:graphic>
          </wp:inline>
        </w:drawing>
      </w:r>
    </w:p>
    <w:p w:rsidR="00240F51" w:rsidRDefault="00240F51" w:rsidP="00240F51">
      <w:pPr>
        <w:tabs>
          <w:tab w:val="left" w:pos="7710"/>
        </w:tabs>
        <w:spacing w:after="0"/>
        <w:jc w:val="both"/>
        <w:rPr>
          <w:b/>
        </w:rPr>
      </w:pPr>
    </w:p>
    <w:p w:rsidR="00240F51" w:rsidRDefault="00240F51" w:rsidP="00A34D5D">
      <w:pPr>
        <w:pStyle w:val="ListParagraph1"/>
        <w:spacing w:after="0"/>
        <w:ind w:left="0"/>
        <w:jc w:val="both"/>
      </w:pPr>
      <w:proofErr w:type="spellStart"/>
      <w:r>
        <w:t>Pentyle</w:t>
      </w:r>
      <w:r w:rsidR="00A34D5D">
        <w:t>netetrazole</w:t>
      </w:r>
      <w:proofErr w:type="spellEnd"/>
      <w:r w:rsidR="00A34D5D">
        <w:t xml:space="preserve"> </w:t>
      </w:r>
    </w:p>
    <w:p w:rsidR="00240F51" w:rsidRDefault="00240F51" w:rsidP="00240F51">
      <w:pPr>
        <w:spacing w:after="0"/>
        <w:jc w:val="both"/>
      </w:pPr>
      <w:r>
        <w:t xml:space="preserve">PTZ is a </w:t>
      </w:r>
      <w:proofErr w:type="spellStart"/>
      <w:r>
        <w:t>convulsant</w:t>
      </w:r>
      <w:proofErr w:type="spellEnd"/>
      <w:r>
        <w:t xml:space="preserve"> drug and it is expected to cause hyperactivity by binding to GABA receptors </w:t>
      </w:r>
      <w:r>
        <w:fldChar w:fldCharType="begin" w:fldLock="1"/>
      </w:r>
      <w:r>
        <w:instrText>ADDIN CSL_CITATION {"citationItems":[{"id":"ITEM-1","itemData":{"DOI":"10.1016/0024-3205(84)90159-0","ISSN":"0024-3205","abstract":"A series of tetrazole convulsants were examined for their potencies in displacing [35S]-t-butylbicyclophosphorothionate (TBPS) from the picrotoxin site on the benzodiazepine-GABA-chloride ionophore receptor complex. All of the tetrazole derivatives tested inhibited [35S]-TBPS binding from rat forebrain membranes, and except for one (undecamethylenetetrazole), had Hill coefficients near unity. Similar to other chemically unrelated convulsants the inhibition of [35S]-TBPS binding by the various tetrazole derivatives was unaffected by the addition of the bicucculine-like GABA antagonist, R 5135. To ascertain whether the inhibition of specific [35S]-TBPS binding by the tetrazole derivatives was related to their convulsant properties, we compared their in vitro potencies in displacing [35S]-TBPS binding with their minimum convulsant potencies in mice. A very good correlation was observed (r=0.96, p&lt;0.001) between their relative affinities for the [35S]-TBPS binding site and their convulsant potencies, indicating that pentamethylenetetrazol and related tetrazoles may produced their convulsant and anxiogenic actions via the GABA-benzodiazepine-chloride ionophore receptor complex.","author":[{"dropping-particle":"","family":"Squires","given":"Richard F.","non-dropping-particle":"","parse-names":false,"suffix":""},{"dropping-particle":"","family":"Saederup","given":"Else","non-dropping-particle":"","parse-names":false,"suffix":""},{"dropping-particle":"","family":"Crawley","given":"Jacqueline N.","non-dropping-particle":"","parse-names":false,"suffix":""},{"dropping-particle":"","family":"Skolnick","given":"Phil","non-dropping-particle":"","parse-names":false,"suffix":""},{"dropping-particle":"","family":"Paul","given":"Steven M.","non-dropping-particle":"","parse-names":false,"suffix":""}],"container-title":"Life Sciences","id":"ITEM-1","issue":"14","issued":{"date-parts":[["1984","10","1"]]},"page":"1439-1444","publisher":"Pergamon","title":"Convulsant potencies of tetrazoles are highly correlated with actions on GABA/benzodiazepine/picrotoxin receptor complexes in brain","type":"article-journal","volume":"35"},"uris":["http://www.mendeley.com/documents/?uuid=1d762c71-12d5-32dc-a3eb-f1519822f319"]}],"mendeley":{"formattedCitation":"(Squires et al. 1984)","plainTextFormattedCitation":"(Squires et al. 1984)"},"properties":{"noteIndex":0},"schema":"https://github.com/citation-style-language/schema/raw/master/csl-citation.json"}</w:instrText>
      </w:r>
      <w:r>
        <w:fldChar w:fldCharType="separate"/>
      </w:r>
      <w:r w:rsidRPr="00BD244F">
        <w:rPr>
          <w:noProof/>
        </w:rPr>
        <w:t>(Squires et al. 1984)</w:t>
      </w:r>
      <w:r>
        <w:fldChar w:fldCharType="end"/>
      </w:r>
      <w:r>
        <w:t xml:space="preserve">. Sixteen studies were compared. PTZ showed hyperactivity effect in all the studies except the LMR study by </w:t>
      </w:r>
      <w:proofErr w:type="spellStart"/>
      <w:r>
        <w:t>Bugel</w:t>
      </w:r>
      <w:proofErr w:type="spellEnd"/>
      <w:r>
        <w:t xml:space="preserve"> and </w:t>
      </w:r>
      <w:proofErr w:type="spellStart"/>
      <w:r>
        <w:t>Tanguay</w:t>
      </w:r>
      <w:proofErr w:type="spellEnd"/>
      <w:r>
        <w:t xml:space="preserve"> (2018) which reported no effect. This is possibly due to the use of </w:t>
      </w:r>
      <w:r w:rsidRPr="00A260E3">
        <w:t xml:space="preserve">low </w:t>
      </w:r>
      <w:r w:rsidRPr="00A260E3">
        <w:rPr>
          <w:u w:val="single"/>
        </w:rPr>
        <w:t>exposure concentrations</w:t>
      </w:r>
      <w:r w:rsidRPr="00A260E3">
        <w:t xml:space="preserve"> </w:t>
      </w:r>
      <w:r>
        <w:t xml:space="preserve">which are probably below the effective range of PTZ. Even though the effect concentrations for hyperactivity were within a factor of 10 in all studies, </w:t>
      </w:r>
      <w:proofErr w:type="spellStart"/>
      <w:r>
        <w:t>hypoactivity</w:t>
      </w:r>
      <w:proofErr w:type="spellEnd"/>
      <w:r>
        <w:t xml:space="preserve"> was also </w:t>
      </w:r>
      <w:r>
        <w:lastRenderedPageBreak/>
        <w:t xml:space="preserve">reported, at different concentrations or light period, as an additional effect to hyperactivity in some LMR-L/D studies. The effect of PTZ may be enhanced under alternating light-dark periods and PTZ has been reported to cause a reversal of the observed activity in control treatment i.e. higher activity in dark and lower activity in light phase (Ellis et al 2012; Torres-Hernandez et al 2016). Consequently, it is likely that PTZ is biphasic and this effect is only observed under alternating light conditions. Hence, the use of </w:t>
      </w:r>
      <w:r w:rsidRPr="00A260E3">
        <w:t xml:space="preserve">different </w:t>
      </w:r>
      <w:r w:rsidRPr="00A260E3">
        <w:rPr>
          <w:u w:val="single"/>
        </w:rPr>
        <w:t>light conditions</w:t>
      </w:r>
      <w:r>
        <w:t xml:space="preserve"> during measurement could be a limiting factor for comparing different behavior methods.</w:t>
      </w:r>
    </w:p>
    <w:p w:rsidR="00A34D5D" w:rsidRDefault="00A34D5D" w:rsidP="00240F51">
      <w:pPr>
        <w:spacing w:after="0"/>
        <w:jc w:val="both"/>
      </w:pPr>
      <w:r>
        <w:rPr>
          <w:noProof/>
          <w:lang w:eastAsia="en-US"/>
        </w:rPr>
        <w:drawing>
          <wp:inline distT="0" distB="0" distL="0" distR="0">
            <wp:extent cx="5943600" cy="4322618"/>
            <wp:effectExtent l="0" t="0" r="0" b="1905"/>
            <wp:docPr id="9" name="Picture 9" descr="C:\Users\ogungbem\Documents\Review data\PTZ b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gungbem\Documents\Review data\PTZ bar.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322618"/>
                    </a:xfrm>
                    <a:prstGeom prst="rect">
                      <a:avLst/>
                    </a:prstGeom>
                    <a:noFill/>
                    <a:ln>
                      <a:noFill/>
                    </a:ln>
                  </pic:spPr>
                </pic:pic>
              </a:graphicData>
            </a:graphic>
          </wp:inline>
        </w:drawing>
      </w:r>
    </w:p>
    <w:p w:rsidR="00240F51" w:rsidRDefault="00240F51" w:rsidP="00240F51">
      <w:pPr>
        <w:spacing w:after="0"/>
        <w:jc w:val="both"/>
      </w:pPr>
    </w:p>
    <w:p w:rsidR="00240F51" w:rsidRDefault="00240F51" w:rsidP="00240F51">
      <w:pPr>
        <w:spacing w:after="0"/>
        <w:jc w:val="both"/>
      </w:pPr>
    </w:p>
    <w:p w:rsidR="00240F51" w:rsidRPr="00240F51" w:rsidRDefault="00240F51" w:rsidP="00240F51">
      <w:pPr>
        <w:keepNext/>
        <w:numPr>
          <w:ilvl w:val="2"/>
          <w:numId w:val="2"/>
        </w:numPr>
        <w:spacing w:before="240" w:after="120"/>
        <w:outlineLvl w:val="2"/>
        <w:rPr>
          <w:rFonts w:eastAsia="Noto Sans CJK SC Regular" w:cs="Calibri"/>
          <w:b/>
        </w:rPr>
      </w:pPr>
      <w:r w:rsidRPr="00240F51">
        <w:rPr>
          <w:rFonts w:eastAsia="Noto Sans CJK SC Regular" w:cs="Calibri"/>
          <w:b/>
        </w:rPr>
        <w:t xml:space="preserve">Substances with an expected </w:t>
      </w:r>
      <w:proofErr w:type="spellStart"/>
      <w:r w:rsidRPr="00240F51">
        <w:rPr>
          <w:rFonts w:eastAsia="Noto Sans CJK SC Regular" w:cs="Calibri"/>
          <w:b/>
        </w:rPr>
        <w:t>hypoactivity</w:t>
      </w:r>
      <w:proofErr w:type="spellEnd"/>
      <w:r w:rsidRPr="00240F51">
        <w:rPr>
          <w:rFonts w:eastAsia="Noto Sans CJK SC Regular" w:cs="Calibri"/>
          <w:b/>
        </w:rPr>
        <w:t xml:space="preserve"> effect on zebrafish embryos</w:t>
      </w:r>
    </w:p>
    <w:p w:rsidR="00240F51" w:rsidRPr="00240F51" w:rsidRDefault="00240F51" w:rsidP="00A34D5D">
      <w:pPr>
        <w:jc w:val="both"/>
      </w:pPr>
      <w:proofErr w:type="spellStart"/>
      <w:r w:rsidRPr="00240F51">
        <w:rPr>
          <w:b/>
        </w:rPr>
        <w:t>Abamectin</w:t>
      </w:r>
      <w:proofErr w:type="spellEnd"/>
      <w:r w:rsidRPr="00240F51">
        <w:rPr>
          <w:b/>
        </w:rPr>
        <w:t xml:space="preserve"> </w:t>
      </w:r>
    </w:p>
    <w:p w:rsidR="00240F51" w:rsidRPr="00240F51" w:rsidRDefault="00240F51" w:rsidP="00240F51">
      <w:pPr>
        <w:jc w:val="both"/>
      </w:pPr>
      <w:proofErr w:type="spellStart"/>
      <w:r w:rsidRPr="00240F51">
        <w:t>Abamectin</w:t>
      </w:r>
      <w:proofErr w:type="spellEnd"/>
      <w:r w:rsidRPr="00240F51">
        <w:t xml:space="preserve"> is an </w:t>
      </w:r>
      <w:proofErr w:type="spellStart"/>
      <w:r w:rsidRPr="00240F51">
        <w:t>avermectin</w:t>
      </w:r>
      <w:proofErr w:type="spellEnd"/>
      <w:r w:rsidRPr="00240F51">
        <w:t xml:space="preserve"> insecticide expected to cause </w:t>
      </w:r>
      <w:proofErr w:type="spellStart"/>
      <w:r w:rsidRPr="00240F51">
        <w:t>hypoactivity</w:t>
      </w:r>
      <w:proofErr w:type="spellEnd"/>
      <w:r w:rsidRPr="00240F51">
        <w:t xml:space="preserve"> by activating GABA gated chloride channel </w:t>
      </w:r>
      <w:r w:rsidRPr="00240F51">
        <w:fldChar w:fldCharType="begin" w:fldLock="1"/>
      </w:r>
      <w:r w:rsidRPr="00240F51">
        <w:instrText>ADDIN CSL_CITATION {"citationItems":[{"id":"ITEM-1","itemData":{"DOI":"10.1146/annurev-ento-120811-153645","ISBN":"1545-4487 (Electronic)\\n0066-4170 (Linking)","ISSN":"1545-4487","PMID":"23317040","abstract":"Neuroactive insecticides are the principal means of protecting crops, people, livestock, and pets from pest insect attack and disease transmission. Currently, the four major nerve targets are acetylcholinesterase for organophosphates and methylcarbamates, the nicotinic acetylcholine receptor for neonicotinoids, the γ-aminobutyric acid receptor/chloride channel for polychlorocyclohexanes and fiproles, and the voltage-gated sodium channel for pyrethroids and dichlorodiphenyltrichloroethane. Species selectivity and acquired resistance are attributable in part to structural differences in binding subsites, receptor subunit interfaces, or transmembrane regions. Additional targets are sites in the sodium channel (indoxacarb and metaflumizone), the glutamate-gated chloride channel (avermectins), the octopamine receptor (amitraz metabolite), and the calcium-activated calcium channel (diamides). Secondary toxic effects in mammals from off-target serine hydrolase inhibition include organophosphate-induced delayed neuropathy and disruption of the cannabinoid system. Possible associations between pesticides and Parkinson's and Alzheimer's diseases are proposed but not established based on epidemiological observations and mechanistic considerations.","author":[{"dropping-particle":"","family":"Casida","given":"John E","non-dropping-particle":"","parse-names":false,"suffix":""},{"dropping-particle":"","family":"Durkin","given":"Kathleen a","non-dropping-particle":"","parse-names":false,"suffix":""}],"container-title":"Annual review of entomology","id":"ITEM-1","issued":{"date-parts":[["2013"]]},"page":"99-117","title":"Neuroactive insecticides: targets, selectivity, resistance, and secondary effects.","type":"article-journal","volume":"58"},"uris":["http://www.mendeley.com/documents/?uuid=a00e6cc7-5ad3-4b54-bedc-4eca2ee44978"]}],"mendeley":{"formattedCitation":"(Casida and Durkin 2013)","plainTextFormattedCitation":"(Casida and Durkin 2013)","previouslyFormattedCitation":"(Casida and Durkin 2013)"},"properties":{"noteIndex":0},"schema":"https://github.com/citation-style-language/schema/raw/master/csl-citation.json"}</w:instrText>
      </w:r>
      <w:r w:rsidRPr="00240F51">
        <w:fldChar w:fldCharType="separate"/>
      </w:r>
      <w:r w:rsidRPr="00240F51">
        <w:rPr>
          <w:noProof/>
        </w:rPr>
        <w:t>(Casida and Durkin 2013)</w:t>
      </w:r>
      <w:r w:rsidRPr="00240F51">
        <w:fldChar w:fldCharType="end"/>
      </w:r>
      <w:r w:rsidRPr="00240F51">
        <w:t xml:space="preserve">. Five studies were compared. All studies reported </w:t>
      </w:r>
      <w:proofErr w:type="spellStart"/>
      <w:r w:rsidRPr="00240F51">
        <w:t>hypoactivity</w:t>
      </w:r>
      <w:proofErr w:type="spellEnd"/>
      <w:r w:rsidRPr="00240F51">
        <w:t xml:space="preserve">. Effect concentration for </w:t>
      </w:r>
      <w:proofErr w:type="spellStart"/>
      <w:r w:rsidRPr="00240F51">
        <w:t>hypoactivity</w:t>
      </w:r>
      <w:proofErr w:type="spellEnd"/>
      <w:r w:rsidRPr="00240F51">
        <w:t xml:space="preserve"> reported in all studies are within a factor of 10 (0.36 – 3.13µm) except the STC study by </w:t>
      </w:r>
      <w:proofErr w:type="spellStart"/>
      <w:r w:rsidRPr="00240F51">
        <w:t>Raftery</w:t>
      </w:r>
      <w:proofErr w:type="spellEnd"/>
      <w:r w:rsidRPr="00240F51">
        <w:t xml:space="preserve"> and </w:t>
      </w:r>
      <w:proofErr w:type="spellStart"/>
      <w:r w:rsidRPr="00240F51">
        <w:t>Volz</w:t>
      </w:r>
      <w:proofErr w:type="spellEnd"/>
      <w:r w:rsidRPr="00240F51">
        <w:t xml:space="preserve"> (2015) which reported an effect at 0.25µm. This lower effect concentration could be due to conducting exposure in glass beakers instead of plastic titer-plates as </w:t>
      </w:r>
      <w:r w:rsidRPr="00240F51">
        <w:rPr>
          <w:u w:val="single"/>
        </w:rPr>
        <w:t>exposure vessel</w:t>
      </w:r>
      <w:r w:rsidRPr="00240F51">
        <w:t xml:space="preserve">. </w:t>
      </w:r>
      <w:proofErr w:type="spellStart"/>
      <w:r w:rsidRPr="00240F51">
        <w:t>Abamectin</w:t>
      </w:r>
      <w:proofErr w:type="spellEnd"/>
      <w:r w:rsidRPr="00240F51">
        <w:t xml:space="preserve"> is highly lipophilic (</w:t>
      </w:r>
      <w:proofErr w:type="gramStart"/>
      <w:r w:rsidRPr="00240F51">
        <w:t>logD</w:t>
      </w:r>
      <w:r w:rsidRPr="00240F51">
        <w:rPr>
          <w:vertAlign w:val="subscript"/>
        </w:rPr>
        <w:t>pH7.4(</w:t>
      </w:r>
      <w:proofErr w:type="gramEnd"/>
      <w:r w:rsidRPr="00240F51">
        <w:rPr>
          <w:vertAlign w:val="subscript"/>
        </w:rPr>
        <w:t>ACD/Labs)</w:t>
      </w:r>
      <w:r w:rsidRPr="00240F51">
        <w:t xml:space="preserve"> of 5.85) and hence has more affinity to bind to plastic than glass; therefore, </w:t>
      </w:r>
      <w:proofErr w:type="spellStart"/>
      <w:r w:rsidRPr="00240F51">
        <w:t>abamectin</w:t>
      </w:r>
      <w:proofErr w:type="spellEnd"/>
      <w:r w:rsidRPr="00240F51">
        <w:t xml:space="preserve"> may be highly bioavailable to the embryos in a glass </w:t>
      </w:r>
      <w:r w:rsidRPr="00240F51">
        <w:lastRenderedPageBreak/>
        <w:t>container leading to effects occurring at lower concentration (see above results section on “nature of test container”).</w:t>
      </w:r>
    </w:p>
    <w:p w:rsidR="00240F51" w:rsidRPr="00240F51" w:rsidRDefault="00FC47BF" w:rsidP="00240F51">
      <w:pPr>
        <w:jc w:val="both"/>
      </w:pPr>
      <w:r>
        <w:rPr>
          <w:noProof/>
          <w:lang w:eastAsia="en-US"/>
        </w:rPr>
        <w:drawing>
          <wp:inline distT="0" distB="0" distL="0" distR="0">
            <wp:extent cx="4457700" cy="4457700"/>
            <wp:effectExtent l="0" t="0" r="0" b="0"/>
            <wp:docPr id="2" name="Picture 2" descr="C:\Users\ogungbem\Documents\Review data\abamectin b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gungbem\Documents\Review data\abamectin bar.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7700" cy="4457700"/>
                    </a:xfrm>
                    <a:prstGeom prst="rect">
                      <a:avLst/>
                    </a:prstGeom>
                    <a:noFill/>
                    <a:ln>
                      <a:noFill/>
                    </a:ln>
                  </pic:spPr>
                </pic:pic>
              </a:graphicData>
            </a:graphic>
          </wp:inline>
        </w:drawing>
      </w:r>
    </w:p>
    <w:p w:rsidR="00240F51" w:rsidRPr="00240F51" w:rsidRDefault="00240F51" w:rsidP="00B10798">
      <w:pPr>
        <w:jc w:val="both"/>
      </w:pPr>
      <w:r w:rsidRPr="00240F51">
        <w:rPr>
          <w:b/>
        </w:rPr>
        <w:t>Carbamazepine</w:t>
      </w:r>
      <w:r w:rsidR="00B10798">
        <w:t xml:space="preserve"> </w:t>
      </w:r>
    </w:p>
    <w:p w:rsidR="00B10798" w:rsidRDefault="00240F51" w:rsidP="00B10798">
      <w:pPr>
        <w:jc w:val="both"/>
      </w:pPr>
      <w:r w:rsidRPr="00240F51">
        <w:t xml:space="preserve">Carbamazepine is an anticonvulsant drug which is assumed to act by blocking sodium channels (www.drugbank.ca), therefore causing </w:t>
      </w:r>
      <w:proofErr w:type="spellStart"/>
      <w:r w:rsidRPr="00240F51">
        <w:t>hypoactivity</w:t>
      </w:r>
      <w:proofErr w:type="spellEnd"/>
      <w:r w:rsidRPr="00240F51">
        <w:t xml:space="preserve">. Six studies were compared. Four out of six studies reported </w:t>
      </w:r>
      <w:proofErr w:type="spellStart"/>
      <w:r w:rsidRPr="00240F51">
        <w:t>hypoactivity</w:t>
      </w:r>
      <w:proofErr w:type="spellEnd"/>
      <w:r w:rsidRPr="00240F51">
        <w:t xml:space="preserve"> at similar effect concentrations (100 - 180µM) except the PMR study by </w:t>
      </w:r>
      <w:proofErr w:type="spellStart"/>
      <w:r w:rsidRPr="00240F51">
        <w:t>Reif</w:t>
      </w:r>
      <w:proofErr w:type="spellEnd"/>
      <w:r w:rsidRPr="00240F51">
        <w:t xml:space="preserve"> et al. (2016) and the LMR study by </w:t>
      </w:r>
      <w:r w:rsidRPr="00240F51">
        <w:rPr>
          <w:lang w:eastAsia="de-DE"/>
        </w:rPr>
        <w:t>M</w:t>
      </w:r>
      <w:bookmarkStart w:id="67" w:name="__Fieldmark__2769_1441573696"/>
      <w:r w:rsidRPr="00240F51">
        <w:rPr>
          <w:lang w:eastAsia="de-DE"/>
        </w:rPr>
        <w:t>a</w:t>
      </w:r>
      <w:bookmarkStart w:id="68" w:name="__Fieldmark__2360_1142328233"/>
      <w:r w:rsidRPr="00240F51">
        <w:rPr>
          <w:lang w:eastAsia="de-DE"/>
        </w:rPr>
        <w:t>r</w:t>
      </w:r>
      <w:bookmarkStart w:id="69" w:name="__Fieldmark__8784_1894120582"/>
      <w:r w:rsidRPr="00240F51">
        <w:rPr>
          <w:lang w:eastAsia="de-DE"/>
        </w:rPr>
        <w:t>t</w:t>
      </w:r>
      <w:bookmarkStart w:id="70" w:name="__Fieldmark__1738_1894120582"/>
      <w:r w:rsidRPr="00240F51">
        <w:rPr>
          <w:lang w:eastAsia="de-DE"/>
        </w:rPr>
        <w:t>i</w:t>
      </w:r>
      <w:bookmarkStart w:id="71" w:name="__Fieldmark__1400_945872730"/>
      <w:r w:rsidRPr="00240F51">
        <w:rPr>
          <w:lang w:eastAsia="de-DE"/>
        </w:rPr>
        <w:t>n</w:t>
      </w:r>
      <w:bookmarkStart w:id="72" w:name="__Fieldmark__1108_376982467"/>
      <w:r w:rsidRPr="00240F51">
        <w:rPr>
          <w:lang w:eastAsia="de-DE"/>
        </w:rPr>
        <w:t>e</w:t>
      </w:r>
      <w:r w:rsidRPr="00240F51">
        <w:fldChar w:fldCharType="begin" w:fldLock="1"/>
      </w:r>
      <w:r w:rsidRPr="00240F51">
        <w:instrText>ADDIN CSL_CITATION {"citationItems":[{"id":"ITEM-1","itemData":{"DOI":"10.1016/j.ntt.2018.01.008","ISSN":"18729738","PMID":"29366689","abstract":"Epilepsy is a neurological disorder treated with antiepileptic drugs (AEDs). Since AEDs are administered in women in childbearing age, it is critical to study if drugs are capable of inducing developmental toxicity. Along the bibliography available, there is no research comparing teratogenicity and anticonvulsant effect within the same study. In the present study, we evaluated the teratogenic and anticonvulsant effects of six different AEDs: carbamazepine, levetiracetam, lamotrigine, phenobarbital, phenytoin and valproic acid. Zebrafish was the selected animal model because of its small size, rapid external development and similar neurophysiology to mammals. Zebrafish embryo and larvae were exposed to AEDs. Embryo development was monitored by their hatching and morphology. In larvae, locomotor activity was measured as a parameter of neurotoxicity. Finally, anticonvulsant effect was determined after exposure to AEDs in zebrafish larvae treated with the proconvulsant drug pentylenetetrazole. Our results suggest that lamotrigine and phenytoin could be suitable non-teratogenic and efficient anticonvulsant options for epilepsy treatment.","author":[{"dropping-particle":"","family":"Martinez","given":"C. S.","non-dropping-particle":"","parse-names":false,"suffix":""},{"dropping-particle":"","family":"Feas","given":"D. A.","non-dropping-particle":"","parse-names":false,"suffix":""},{"dropping-particle":"","family":"Siri","given":"M.","non-dropping-particle":"","parse-names":false,"suffix":""},{"dropping-particle":"","family":"Igartúa","given":"D. E.","non-dropping-particle":"","parse-names":false,"suffix":""},{"dropping-particle":"","family":"Chiaramoni","given":"N. S.","non-dropping-particle":"","parse-names":false,"suffix":""},{"dropping-particle":"","family":"del","given":"S.","non-dropping-particle":"","parse-names":false,"suffix":""},{"dropping-particle":"","family":"Prieto","given":"M. J.","non-dropping-particle":"","parse-names":false,"suffix":""}],"container-title":"Neurotoxicology and Teratology","id":"ITEM-1","issue":"January","issued":{"date-parts":[["2018"]]},"page":"17-24","title":"In vivo study of teratogenic and anticonvulsant effects of antiepileptics drugs in zebrafish embryo and larvae","type":"article-journal","volume":"66"},"uris":["http://www.mendeley.com/documents/?uuid=7327e347-3e73-4a73-8831-d8cff8610109"]}],"mendeley":{"formattedCitation":"(Martinez et al. 2018)","manualFormatting":"z et al. (2018)","plainTextFormattedCitation":"(Martinez et al. 2018)","previouslyFormattedCitation":"(Martinez et al. 2018)"},"properties":{"noteIndex":0},"schema":"https://github.com/citation-style-language/schema/raw/master/csl-citation.json"}</w:instrText>
      </w:r>
      <w:r w:rsidRPr="00240F51">
        <w:fldChar w:fldCharType="separate"/>
      </w:r>
      <w:bookmarkStart w:id="73" w:name="__Fieldmark__2869_422048926"/>
      <w:r w:rsidRPr="00240F51">
        <w:rPr>
          <w:noProof/>
          <w:lang w:eastAsia="de-DE"/>
        </w:rPr>
        <w:t>z</w:t>
      </w:r>
      <w:bookmarkStart w:id="74" w:name="__Fieldmark__5842_523164669"/>
      <w:r w:rsidRPr="00240F51">
        <w:rPr>
          <w:noProof/>
          <w:lang w:eastAsia="de-DE"/>
        </w:rPr>
        <w:t xml:space="preserve"> et al. (2018)</w:t>
      </w:r>
      <w:r w:rsidRPr="00240F51">
        <w:fldChar w:fldCharType="end"/>
      </w:r>
      <w:bookmarkEnd w:id="67"/>
      <w:bookmarkEnd w:id="68"/>
      <w:bookmarkEnd w:id="69"/>
      <w:bookmarkEnd w:id="70"/>
      <w:bookmarkEnd w:id="71"/>
      <w:bookmarkEnd w:id="72"/>
      <w:bookmarkEnd w:id="73"/>
      <w:bookmarkEnd w:id="74"/>
      <w:r w:rsidRPr="00240F51">
        <w:t xml:space="preserve"> which reported no effect. This could be due to </w:t>
      </w:r>
      <w:r w:rsidRPr="00240F51">
        <w:rPr>
          <w:u w:val="single"/>
        </w:rPr>
        <w:t>exposure concentrations</w:t>
      </w:r>
      <w:r w:rsidRPr="00240F51">
        <w:t xml:space="preserve"> lower than observed effective range in the PMR study. The LMR study utilized </w:t>
      </w:r>
      <w:proofErr w:type="gramStart"/>
      <w:r w:rsidRPr="00240F51">
        <w:t xml:space="preserve">an </w:t>
      </w:r>
      <w:r w:rsidRPr="00240F51">
        <w:rPr>
          <w:u w:val="single"/>
        </w:rPr>
        <w:t>exposure</w:t>
      </w:r>
      <w:proofErr w:type="gramEnd"/>
      <w:r w:rsidRPr="00240F51">
        <w:rPr>
          <w:u w:val="single"/>
        </w:rPr>
        <w:t xml:space="preserve"> duration</w:t>
      </w:r>
      <w:r w:rsidRPr="00240F51">
        <w:t xml:space="preserve"> of 1 hour and this could lead to low uptake of carbamazepine and therefore negligible effects or effects not yet developed to an extent that could be observed in the LMR test. </w:t>
      </w:r>
    </w:p>
    <w:p w:rsidR="00B10798" w:rsidRPr="00240F51" w:rsidRDefault="00B10798" w:rsidP="00B10798">
      <w:pPr>
        <w:jc w:val="both"/>
      </w:pPr>
      <w:r>
        <w:rPr>
          <w:noProof/>
          <w:lang w:eastAsia="en-US"/>
        </w:rPr>
        <w:lastRenderedPageBreak/>
        <w:drawing>
          <wp:inline distT="0" distB="0" distL="0" distR="0">
            <wp:extent cx="4762500" cy="4762500"/>
            <wp:effectExtent l="0" t="0" r="0" b="0"/>
            <wp:docPr id="10" name="Picture 10" descr="C:\Users\ogungbem\Documents\Review data\carbamazepine b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gungbem\Documents\Review data\carbamazepine bar.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240F51" w:rsidRPr="00240F51" w:rsidRDefault="00240F51" w:rsidP="00240F51">
      <w:pPr>
        <w:spacing w:after="0"/>
        <w:jc w:val="both"/>
      </w:pPr>
    </w:p>
    <w:p w:rsidR="00240F51" w:rsidRPr="00240F51" w:rsidRDefault="00240F51" w:rsidP="00B10798">
      <w:pPr>
        <w:spacing w:after="0"/>
        <w:jc w:val="both"/>
      </w:pPr>
      <w:r w:rsidRPr="00240F51">
        <w:rPr>
          <w:b/>
        </w:rPr>
        <w:t xml:space="preserve">Diazepam </w:t>
      </w:r>
    </w:p>
    <w:p w:rsidR="00240F51" w:rsidRDefault="00240F51" w:rsidP="00240F51">
      <w:pPr>
        <w:contextualSpacing/>
      </w:pPr>
      <w:r w:rsidRPr="00240F51">
        <w:t xml:space="preserve">Diazepam is an anticonvulsant and anxiolytic drug which acts by stimulating the GABA receptor (www.drugbank.ca) and it is expected to cause </w:t>
      </w:r>
      <w:proofErr w:type="spellStart"/>
      <w:r w:rsidRPr="00240F51">
        <w:t>hypoactivity</w:t>
      </w:r>
      <w:proofErr w:type="spellEnd"/>
      <w:r w:rsidRPr="00240F51">
        <w:t xml:space="preserve">. Five studies were compared. </w:t>
      </w:r>
      <w:proofErr w:type="spellStart"/>
      <w:r w:rsidRPr="00240F51">
        <w:t>Hypoactivity</w:t>
      </w:r>
      <w:proofErr w:type="spellEnd"/>
      <w:r w:rsidRPr="00240F51">
        <w:t xml:space="preserve"> was reported in all studies considered except the LMR-L/D study by </w:t>
      </w:r>
      <w:proofErr w:type="spellStart"/>
      <w:r w:rsidRPr="00240F51">
        <w:rPr>
          <w:lang w:eastAsia="de-DE"/>
        </w:rPr>
        <w:t>S</w:t>
      </w:r>
      <w:bookmarkStart w:id="75" w:name="__Fieldmark__2804_1441573696"/>
      <w:r w:rsidRPr="00240F51">
        <w:rPr>
          <w:lang w:eastAsia="de-DE"/>
        </w:rPr>
        <w:t>t</w:t>
      </w:r>
      <w:bookmarkStart w:id="76" w:name="__Fieldmark__2391_1142328233"/>
      <w:r w:rsidRPr="00240F51">
        <w:rPr>
          <w:lang w:eastAsia="de-DE"/>
        </w:rPr>
        <w:t>e</w:t>
      </w:r>
      <w:bookmarkStart w:id="77" w:name="__Fieldmark__8811_1894120582"/>
      <w:r w:rsidRPr="00240F51">
        <w:rPr>
          <w:lang w:eastAsia="de-DE"/>
        </w:rPr>
        <w:t>e</w:t>
      </w:r>
      <w:bookmarkStart w:id="78" w:name="__Fieldmark__1761_1894120582"/>
      <w:r w:rsidRPr="00240F51">
        <w:rPr>
          <w:lang w:eastAsia="de-DE"/>
        </w:rPr>
        <w:t>n</w:t>
      </w:r>
      <w:bookmarkStart w:id="79" w:name="__Fieldmark__1419_945872730"/>
      <w:r w:rsidRPr="00240F51">
        <w:rPr>
          <w:lang w:eastAsia="de-DE"/>
        </w:rPr>
        <w:t>b</w:t>
      </w:r>
      <w:bookmarkStart w:id="80" w:name="__Fieldmark__1123_376982467"/>
      <w:r w:rsidRPr="00240F51">
        <w:rPr>
          <w:lang w:eastAsia="de-DE"/>
        </w:rPr>
        <w:t>e</w:t>
      </w:r>
      <w:r w:rsidRPr="00240F51">
        <w:fldChar w:fldCharType="begin" w:fldLock="1"/>
      </w:r>
      <w:r w:rsidRPr="00240F51">
        <w:instrText>ADDIN CSL_CITATION {"citationItems":[{"id":"ITEM-1","itemData":{"DOI":"10.1016/j.bbr.2011.03.025","abstract":"a b s t r a c t The light/dark preference test is commonly used to assess anxiety-like phenotypes and validate the phar-macological effects of neuroactive compounds. This test has been recently adapted for adult zebrafish but has not yet been characterized and pharmacologically validated for young juvenile zebrafish. In the present study, we provide a detailed description of the pattern of exploratory behaviours encountered in juvenile zebrafish when exposed to the light/dark preference test. We report that juveniles display strong dark-avoidance behaviours in this test. Specifically, juveniles spent significantly less time, displayed high latency to enter and moved significantly less in the dark compartment relative to the white compartment of the testing apparatus. The expression of these dark-avoidance behaviours was significantly attenuated and increased by commonly used anxiolytic (diazepam, buspirone, ethanol) and anxiogenic (caffeine but not FG-7142) drugs, respectively. We also show that the expression of dark-avoidance behaviours can be significantly reduced in a manner similar to what is achieved with anxiolytic drugs, simply by decreasing the contrast between the white and dark zones, which made the dark zone less dark. Taken together, these findings provide the first pharmacological validation of the light/dark prefer-ence test for juvenile zebrafish and ascertain the nature of dark-avoidance behaviours as anxiety-like behaviours in young juvenile zebrafish. This behavioural-based assay is also versatile and can accom-modate drug screening of both anxiolytic and anxiogenic compounds while eventually amenable to automation and high-throughput capacity in a near future.","author":[{"dropping-particle":"","family":"Steenbergen","given":"Peter J","non-dropping-particle":"","parse-names":false,"suffix":""},{"dropping-particle":"","family":"Richardson","given":"Michael K","non-dropping-particle":"","parse-names":false,"suffix":""},{"dropping-particle":"","family":"Champagne","given":"Danielle L","non-dropping-particle":"","parse-names":false,"suffix":""}],"container-title":"Behavioural Brain Research","id":"ITEM-1","issued":{"date-parts":[["2011"]]},"page":"15-25","title":"Patterns of avoidance behaviours in the light/dark preference test in young juvenile zebrafish: A pharmacological study","type":"article-journal","volume":"222"},"uris":["http://www.mendeley.com/documents/?uuid=61d04d97-2781-3d65-9043-2f906aa81d2c"]}],"mendeley":{"formattedCitation":"(Steenbergen et al. 2011)","manualFormatting":"rgen et al. (2011)","plainTextFormattedCitation":"(Steenbergen et al. 2011)","previouslyFormattedCitation":"(Steenbergen et al. 2011)"},"properties":{"noteIndex":0},"schema":"https://github.com/citation-style-language/schema/raw/master/csl-citation.json"}</w:instrText>
      </w:r>
      <w:r w:rsidRPr="00240F51">
        <w:fldChar w:fldCharType="separate"/>
      </w:r>
      <w:bookmarkStart w:id="81" w:name="__Fieldmark__2903_422048926"/>
      <w:r w:rsidRPr="00240F51">
        <w:rPr>
          <w:noProof/>
          <w:lang w:eastAsia="de-DE"/>
        </w:rPr>
        <w:t>r</w:t>
      </w:r>
      <w:bookmarkStart w:id="82" w:name="__Fieldmark__5892_523164669"/>
      <w:r w:rsidRPr="00240F51">
        <w:rPr>
          <w:noProof/>
          <w:lang w:eastAsia="de-DE"/>
        </w:rPr>
        <w:t>gen</w:t>
      </w:r>
      <w:proofErr w:type="spellEnd"/>
      <w:r w:rsidRPr="00240F51">
        <w:rPr>
          <w:noProof/>
          <w:lang w:eastAsia="de-DE"/>
        </w:rPr>
        <w:t xml:space="preserve"> et al. (2011)</w:t>
      </w:r>
      <w:r w:rsidRPr="00240F51">
        <w:fldChar w:fldCharType="end"/>
      </w:r>
      <w:bookmarkEnd w:id="75"/>
      <w:bookmarkEnd w:id="76"/>
      <w:bookmarkEnd w:id="77"/>
      <w:bookmarkEnd w:id="78"/>
      <w:bookmarkEnd w:id="79"/>
      <w:bookmarkEnd w:id="80"/>
      <w:bookmarkEnd w:id="81"/>
      <w:bookmarkEnd w:id="82"/>
      <w:r w:rsidRPr="00240F51">
        <w:t xml:space="preserve"> which reported no effect. This could be attributed to the use of a different </w:t>
      </w:r>
      <w:r w:rsidRPr="00240F51">
        <w:rPr>
          <w:u w:val="single"/>
        </w:rPr>
        <w:t>endpoint parameter</w:t>
      </w:r>
      <w:r w:rsidRPr="00240F51">
        <w:t xml:space="preserve"> and single </w:t>
      </w:r>
      <w:r w:rsidRPr="00240F51">
        <w:rPr>
          <w:u w:val="single"/>
        </w:rPr>
        <w:t>exposure concentration</w:t>
      </w:r>
      <w:r w:rsidRPr="00240F51">
        <w:t xml:space="preserve"> (2.5µM). The effect concentration for </w:t>
      </w:r>
      <w:proofErr w:type="spellStart"/>
      <w:r w:rsidRPr="00240F51">
        <w:t>hypoactivity</w:t>
      </w:r>
      <w:proofErr w:type="spellEnd"/>
      <w:r w:rsidRPr="00240F51">
        <w:t xml:space="preserve"> reported by </w:t>
      </w:r>
      <w:proofErr w:type="spellStart"/>
      <w:r w:rsidRPr="00240F51">
        <w:t>Dach</w:t>
      </w:r>
      <w:proofErr w:type="spellEnd"/>
      <w:r w:rsidRPr="00240F51">
        <w:t xml:space="preserve"> et al. 2019 was lower than the others and this could be due to longer </w:t>
      </w:r>
      <w:r w:rsidRPr="00240F51">
        <w:rPr>
          <w:u w:val="single"/>
        </w:rPr>
        <w:t>exposure duration</w:t>
      </w:r>
      <w:r w:rsidRPr="00240F51">
        <w:t xml:space="preserve"> (114 h) employed. </w:t>
      </w:r>
    </w:p>
    <w:p w:rsidR="00B10798" w:rsidRPr="00240F51" w:rsidRDefault="00B10798" w:rsidP="00240F51">
      <w:pPr>
        <w:contextualSpacing/>
      </w:pPr>
      <w:r>
        <w:rPr>
          <w:noProof/>
          <w:lang w:eastAsia="en-US"/>
        </w:rPr>
        <w:lastRenderedPageBreak/>
        <w:drawing>
          <wp:inline distT="0" distB="0" distL="0" distR="0">
            <wp:extent cx="4762500" cy="4762500"/>
            <wp:effectExtent l="0" t="0" r="0" b="0"/>
            <wp:docPr id="11" name="Picture 11" descr="C:\Users\ogungbem\Documents\Review data\Diazepam b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gungbem\Documents\Review data\Diazepam bar.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240F51" w:rsidRPr="00240F51" w:rsidRDefault="00240F51" w:rsidP="00240F51">
      <w:pPr>
        <w:spacing w:after="0"/>
        <w:jc w:val="both"/>
      </w:pPr>
    </w:p>
    <w:p w:rsidR="00240F51" w:rsidRPr="00240F51" w:rsidRDefault="00240F51" w:rsidP="00B10798">
      <w:pPr>
        <w:spacing w:after="0"/>
        <w:jc w:val="both"/>
      </w:pPr>
      <w:proofErr w:type="spellStart"/>
      <w:r w:rsidRPr="00B10798">
        <w:rPr>
          <w:b/>
        </w:rPr>
        <w:t>Emamectin</w:t>
      </w:r>
      <w:proofErr w:type="spellEnd"/>
      <w:r w:rsidRPr="00B10798">
        <w:rPr>
          <w:b/>
        </w:rPr>
        <w:t xml:space="preserve"> benzoate</w:t>
      </w:r>
      <w:r w:rsidR="00B10798">
        <w:t xml:space="preserve"> </w:t>
      </w:r>
    </w:p>
    <w:p w:rsidR="00240F51" w:rsidRDefault="00240F51" w:rsidP="00240F51">
      <w:pPr>
        <w:spacing w:after="0"/>
        <w:jc w:val="both"/>
      </w:pPr>
      <w:proofErr w:type="spellStart"/>
      <w:r w:rsidRPr="00240F51">
        <w:t>Emamectin</w:t>
      </w:r>
      <w:proofErr w:type="spellEnd"/>
      <w:r w:rsidRPr="00240F51">
        <w:t xml:space="preserve"> is an </w:t>
      </w:r>
      <w:proofErr w:type="spellStart"/>
      <w:r w:rsidRPr="00240F51">
        <w:t>avermectin</w:t>
      </w:r>
      <w:proofErr w:type="spellEnd"/>
      <w:r w:rsidRPr="00240F51">
        <w:t xml:space="preserve"> insecticide and it is expected to cause </w:t>
      </w:r>
      <w:proofErr w:type="spellStart"/>
      <w:r w:rsidRPr="00240F51">
        <w:t>hypoactivity</w:t>
      </w:r>
      <w:proofErr w:type="spellEnd"/>
      <w:r w:rsidRPr="00240F51">
        <w:t xml:space="preserve"> by activating GABA gated chloride channels </w:t>
      </w:r>
      <w:r w:rsidRPr="00240F51">
        <w:fldChar w:fldCharType="begin" w:fldLock="1"/>
      </w:r>
      <w:r w:rsidRPr="00240F51">
        <w:instrText>ADDIN CSL_CITATION {"citationItems":[{"id":"ITEM-1","itemData":{"DOI":"10.1146/annurev-ento-120811-153645","ISBN":"1545-4487 (Electronic)\\n0066-4170 (Linking)","ISSN":"1545-4487","PMID":"23317040","abstract":"Neuroactive insecticides are the principal means of protecting crops, people, livestock, and pets from pest insect attack and disease transmission. Currently, the four major nerve targets are acetylcholinesterase for organophosphates and methylcarbamates, the nicotinic acetylcholine receptor for neonicotinoids, the γ-aminobutyric acid receptor/chloride channel for polychlorocyclohexanes and fiproles, and the voltage-gated sodium channel for pyrethroids and dichlorodiphenyltrichloroethane. Species selectivity and acquired resistance are attributable in part to structural differences in binding subsites, receptor subunit interfaces, or transmembrane regions. Additional targets are sites in the sodium channel (indoxacarb and metaflumizone), the glutamate-gated chloride channel (avermectins), the octopamine receptor (amitraz metabolite), and the calcium-activated calcium channel (diamides). Secondary toxic effects in mammals from off-target serine hydrolase inhibition include organophosphate-induced delayed neuropathy and disruption of the cannabinoid system. Possible associations between pesticides and Parkinson's and Alzheimer's diseases are proposed but not established based on epidemiological observations and mechanistic considerations.","author":[{"dropping-particle":"","family":"Casida","given":"John E","non-dropping-particle":"","parse-names":false,"suffix":""},{"dropping-particle":"","family":"Durkin","given":"Kathleen a","non-dropping-particle":"","parse-names":false,"suffix":""}],"container-title":"Annual review of entomology","id":"ITEM-1","issued":{"date-parts":[["2013"]]},"page":"99-117","title":"Neuroactive insecticides: targets, selectivity, resistance, and secondary effects.","type":"article-journal","volume":"58"},"uris":["http://www.mendeley.com/documents/?uuid=a00e6cc7-5ad3-4b54-bedc-4eca2ee44978"]}],"mendeley":{"formattedCitation":"(Casida and Durkin 2013)","plainTextFormattedCitation":"(Casida and Durkin 2013)","previouslyFormattedCitation":"(Casida and Durkin 2013)"},"properties":{"noteIndex":0},"schema":"https://github.com/citation-style-language/schema/raw/master/csl-citation.json"}</w:instrText>
      </w:r>
      <w:r w:rsidRPr="00240F51">
        <w:fldChar w:fldCharType="separate"/>
      </w:r>
      <w:r w:rsidRPr="00240F51">
        <w:rPr>
          <w:noProof/>
        </w:rPr>
        <w:t>(Casida and Durkin 2013)</w:t>
      </w:r>
      <w:r w:rsidRPr="00240F51">
        <w:fldChar w:fldCharType="end"/>
      </w:r>
      <w:r w:rsidRPr="00240F51">
        <w:t xml:space="preserve">. Three studies were compared. Although all three studies reported </w:t>
      </w:r>
      <w:proofErr w:type="spellStart"/>
      <w:r w:rsidRPr="00240F51">
        <w:t>hypoactivity</w:t>
      </w:r>
      <w:proofErr w:type="spellEnd"/>
      <w:r w:rsidRPr="00240F51">
        <w:t xml:space="preserve"> for </w:t>
      </w:r>
      <w:proofErr w:type="spellStart"/>
      <w:r w:rsidRPr="00240F51">
        <w:t>emamectin</w:t>
      </w:r>
      <w:proofErr w:type="spellEnd"/>
      <w:r w:rsidRPr="00240F51">
        <w:t xml:space="preserve">, the effect concentrations (0.0064, 1.03 and 25 µM) were not within a factor of 10. A possible explanation is the use of different </w:t>
      </w:r>
      <w:r w:rsidRPr="00240F51">
        <w:rPr>
          <w:u w:val="single"/>
        </w:rPr>
        <w:t>exposure well sizes</w:t>
      </w:r>
      <w:r w:rsidRPr="00240F51">
        <w:t xml:space="preserve">. The 384 well-plates used in </w:t>
      </w:r>
      <w:proofErr w:type="spellStart"/>
      <w:r w:rsidRPr="00240F51">
        <w:t>Raftery</w:t>
      </w:r>
      <w:proofErr w:type="spellEnd"/>
      <w:r w:rsidRPr="00240F51">
        <w:t xml:space="preserve"> et al. (2014) with effect concentration of 25 µM could cause a higher adsorption of </w:t>
      </w:r>
      <w:proofErr w:type="spellStart"/>
      <w:r w:rsidRPr="00240F51">
        <w:t>emamectin</w:t>
      </w:r>
      <w:proofErr w:type="spellEnd"/>
      <w:r w:rsidRPr="00240F51">
        <w:t xml:space="preserve"> (</w:t>
      </w:r>
      <w:proofErr w:type="gramStart"/>
      <w:r w:rsidRPr="00240F51">
        <w:t>logD</w:t>
      </w:r>
      <w:r w:rsidRPr="00240F51">
        <w:rPr>
          <w:vertAlign w:val="subscript"/>
        </w:rPr>
        <w:t xml:space="preserve">pH7  </w:t>
      </w:r>
      <w:r w:rsidRPr="00240F51">
        <w:t>of</w:t>
      </w:r>
      <w:proofErr w:type="gramEnd"/>
      <w:r w:rsidRPr="00240F51">
        <w:t xml:space="preserve"> 5) compared to the 24 well-plates used in </w:t>
      </w:r>
      <w:proofErr w:type="spellStart"/>
      <w:r w:rsidRPr="00240F51">
        <w:t>Weichert</w:t>
      </w:r>
      <w:proofErr w:type="spellEnd"/>
      <w:r w:rsidRPr="00240F51">
        <w:t xml:space="preserve"> et al. (2017) [effect concentration =1.03 µM]. This could lead to an overall decrease in bioavailability and hence toxicity in the former (see section exposure well size above). Additionally, different </w:t>
      </w:r>
      <w:r w:rsidRPr="00240F51">
        <w:rPr>
          <w:u w:val="single"/>
        </w:rPr>
        <w:t>endpoint parameter</w:t>
      </w:r>
      <w:r w:rsidRPr="00240F51">
        <w:rPr>
          <w:b/>
        </w:rPr>
        <w:t xml:space="preserve"> </w:t>
      </w:r>
      <w:r w:rsidRPr="00240F51">
        <w:t>between the STC and PMR could be responsible for the divergent effect concentrations.</w:t>
      </w:r>
    </w:p>
    <w:p w:rsidR="00B10798" w:rsidRPr="00240F51" w:rsidRDefault="00B10798" w:rsidP="00240F51">
      <w:pPr>
        <w:spacing w:after="0"/>
        <w:jc w:val="both"/>
      </w:pPr>
      <w:r>
        <w:rPr>
          <w:noProof/>
          <w:lang w:eastAsia="en-US"/>
        </w:rPr>
        <w:lastRenderedPageBreak/>
        <w:drawing>
          <wp:inline distT="0" distB="0" distL="0" distR="0">
            <wp:extent cx="4762500" cy="4762500"/>
            <wp:effectExtent l="0" t="0" r="0" b="0"/>
            <wp:docPr id="12" name="Picture 12" descr="C:\Users\ogungbem\Documents\Review data\Emamectin b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gungbem\Documents\Review data\Emamectin bar.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240F51" w:rsidRPr="00240F51" w:rsidRDefault="00240F51" w:rsidP="00240F51">
      <w:pPr>
        <w:spacing w:after="0"/>
        <w:jc w:val="both"/>
      </w:pPr>
    </w:p>
    <w:p w:rsidR="00240F51" w:rsidRPr="00240F51" w:rsidRDefault="00240F51" w:rsidP="00B10798">
      <w:pPr>
        <w:jc w:val="both"/>
      </w:pPr>
      <w:proofErr w:type="spellStart"/>
      <w:r w:rsidRPr="00240F51">
        <w:rPr>
          <w:b/>
          <w:bCs/>
        </w:rPr>
        <w:t>Levetiracetam</w:t>
      </w:r>
      <w:proofErr w:type="spellEnd"/>
      <w:r w:rsidR="00B10798">
        <w:rPr>
          <w:bCs/>
        </w:rPr>
        <w:t xml:space="preserve"> </w:t>
      </w:r>
    </w:p>
    <w:p w:rsidR="00240F51" w:rsidRDefault="00240F51" w:rsidP="00240F51">
      <w:pPr>
        <w:jc w:val="both"/>
      </w:pPr>
      <w:proofErr w:type="spellStart"/>
      <w:r w:rsidRPr="00240F51">
        <w:rPr>
          <w:rFonts w:asciiTheme="minorHAnsi" w:hAnsiTheme="minorHAnsi"/>
        </w:rPr>
        <w:t>Levetiracetam</w:t>
      </w:r>
      <w:proofErr w:type="spellEnd"/>
      <w:r w:rsidRPr="00240F51">
        <w:rPr>
          <w:rFonts w:asciiTheme="minorHAnsi" w:hAnsiTheme="minorHAnsi"/>
        </w:rPr>
        <w:t xml:space="preserve"> is an anticonvulsant drug which is assumed </w:t>
      </w:r>
      <w:r w:rsidRPr="00240F51">
        <w:rPr>
          <w:rFonts w:asciiTheme="minorHAnsi" w:hAnsiTheme="minorHAnsi"/>
          <w:color w:val="192027"/>
          <w:shd w:val="clear" w:color="auto" w:fill="FFFFFF"/>
        </w:rPr>
        <w:t xml:space="preserve">to selectively prevent </w:t>
      </w:r>
      <w:proofErr w:type="spellStart"/>
      <w:r w:rsidRPr="00240F51">
        <w:rPr>
          <w:rFonts w:asciiTheme="minorHAnsi" w:hAnsiTheme="minorHAnsi"/>
          <w:color w:val="192027"/>
          <w:shd w:val="clear" w:color="auto" w:fill="FFFFFF"/>
        </w:rPr>
        <w:t>hypersynchronization</w:t>
      </w:r>
      <w:proofErr w:type="spellEnd"/>
      <w:r w:rsidRPr="00240F51">
        <w:rPr>
          <w:rFonts w:asciiTheme="minorHAnsi" w:hAnsiTheme="minorHAnsi"/>
          <w:color w:val="192027"/>
          <w:shd w:val="clear" w:color="auto" w:fill="FFFFFF"/>
        </w:rPr>
        <w:t xml:space="preserve"> of epileptiform burst firing by </w:t>
      </w:r>
      <w:r w:rsidRPr="00240F51">
        <w:rPr>
          <w:rFonts w:eastAsia="Times New Roman" w:cs="Times New Roman"/>
          <w:color w:val="auto"/>
          <w:lang w:eastAsia="en-US"/>
        </w:rPr>
        <w:t>inhibiting voltage dependent calcium channel</w:t>
      </w:r>
      <w:r w:rsidRPr="00240F51">
        <w:rPr>
          <w:rFonts w:asciiTheme="minorHAnsi" w:hAnsiTheme="minorHAnsi"/>
          <w:color w:val="192027"/>
          <w:shd w:val="clear" w:color="auto" w:fill="FFFFFF"/>
        </w:rPr>
        <w:t xml:space="preserve"> </w:t>
      </w:r>
      <w:r w:rsidRPr="00240F51">
        <w:t>(www.drugbank.ca)</w:t>
      </w:r>
      <w:r w:rsidRPr="00240F51">
        <w:rPr>
          <w:rFonts w:asciiTheme="minorHAnsi" w:hAnsiTheme="minorHAnsi"/>
          <w:color w:val="192027"/>
          <w:shd w:val="clear" w:color="auto" w:fill="FFFFFF"/>
        </w:rPr>
        <w:t xml:space="preserve">. </w:t>
      </w:r>
      <w:r w:rsidRPr="00240F51">
        <w:t xml:space="preserve">It is expected to cause </w:t>
      </w:r>
      <w:proofErr w:type="spellStart"/>
      <w:r w:rsidRPr="00240F51">
        <w:t>hypoactivity</w:t>
      </w:r>
      <w:proofErr w:type="spellEnd"/>
      <w:r w:rsidRPr="00240F51">
        <w:t xml:space="preserve"> in zebrafish embryos based on its ability to reduce the release of neurotransmitters into the synaptic cleft. This is supported by effectively inhibiting the movement in PTZ (GABA receptor blocker) induced hyperactivity </w:t>
      </w:r>
      <w:r w:rsidRPr="00240F51">
        <w:rPr>
          <w:lang w:eastAsia="de-DE"/>
        </w:rPr>
        <w:t>(</w:t>
      </w:r>
      <w:bookmarkStart w:id="83" w:name="__Fieldmark__2861_1441573696"/>
      <w:proofErr w:type="spellStart"/>
      <w:r w:rsidRPr="00240F51">
        <w:rPr>
          <w:lang w:eastAsia="de-DE"/>
        </w:rPr>
        <w:t>B</w:t>
      </w:r>
      <w:bookmarkStart w:id="84" w:name="__Fieldmark__2444_1142328233"/>
      <w:r w:rsidRPr="00240F51">
        <w:rPr>
          <w:lang w:eastAsia="de-DE"/>
        </w:rPr>
        <w:t>e</w:t>
      </w:r>
      <w:bookmarkStart w:id="85" w:name="__Fieldmark__8852_1894120582"/>
      <w:r w:rsidRPr="00240F51">
        <w:rPr>
          <w:lang w:eastAsia="de-DE"/>
        </w:rPr>
        <w:t>r</w:t>
      </w:r>
      <w:bookmarkStart w:id="86" w:name="__Fieldmark__1791_1894120582"/>
      <w:r w:rsidRPr="00240F51">
        <w:rPr>
          <w:lang w:eastAsia="de-DE"/>
        </w:rPr>
        <w:t>g</w:t>
      </w:r>
      <w:bookmarkStart w:id="87" w:name="__Fieldmark__1445_945872730"/>
      <w:r w:rsidRPr="00240F51">
        <w:rPr>
          <w:lang w:eastAsia="de-DE"/>
        </w:rPr>
        <w:t>h</w:t>
      </w:r>
      <w:bookmarkStart w:id="88" w:name="__Fieldmark__1145_376982467"/>
      <w:r w:rsidRPr="00240F51">
        <w:rPr>
          <w:lang w:eastAsia="de-DE"/>
        </w:rPr>
        <w:t>m</w:t>
      </w:r>
      <w:r w:rsidRPr="00240F51">
        <w:fldChar w:fldCharType="begin" w:fldLock="1"/>
      </w:r>
      <w:r w:rsidRPr="00240F51">
        <w:instrText>ADDIN CSL_CITATION {"citationItems":[{"id":"ITEM-1","itemData":{"DOI":"10.1016/j.eplepsyres.2007.03.015","ISSN":"09201211","author":[{"dropping-particle":"","family":"Berghmans","given":"Stephane","non-dropping-particle":"","parse-names":false,"suffix":""},{"dropping-particle":"","family":"Hunt","given":"Julia","non-dropping-particle":"","parse-names":false,"suffix":""},{"dropping-particle":"","family":"Roach","given":"Alan","non-dropping-particle":"","parse-names":false,"suffix":""},{"dropping-particle":"","family":"Goldsmith","given":"Paul","non-dropping-particle":"","parse-names":false,"suffix":""}],"container-title":"Epilepsy Research","id":"ITEM-1","issue":"1","issued":{"date-parts":[["2007","6"]]},"page":"18-28","title":"Zebrafish offer the potential for a primary screen to identify a wide variety of potential anticonvulsants","type":"article-journal","volume":"75"},"uris":["http://www.mendeley.com/documents/?uuid=8cc59cd0-9f4c-3047-b4d3-5e32fe2ecddb"]}],"mendeley":{"formattedCitation":"(Berghmans et al. 2007)","manualFormatting":"ans et al. 2007)","plainTextFormattedCitation":"(Berghmans et al. 2007)","previouslyFormattedCitation":"(Berghmans et al. 2007)"},"properties":{"noteIndex":0},"schema":"https://github.com/citation-style-language/schema/raw/master/csl-citation.json"}</w:instrText>
      </w:r>
      <w:r w:rsidRPr="00240F51">
        <w:fldChar w:fldCharType="separate"/>
      </w:r>
      <w:bookmarkStart w:id="89" w:name="__Fieldmark__2959_422048926"/>
      <w:r w:rsidRPr="00240F51">
        <w:rPr>
          <w:noProof/>
          <w:lang w:eastAsia="de-DE"/>
        </w:rPr>
        <w:t>a</w:t>
      </w:r>
      <w:bookmarkStart w:id="90" w:name="__Fieldmark__5979_523164669"/>
      <w:r w:rsidRPr="00240F51">
        <w:rPr>
          <w:noProof/>
          <w:lang w:eastAsia="de-DE"/>
        </w:rPr>
        <w:t>ns</w:t>
      </w:r>
      <w:proofErr w:type="spellEnd"/>
      <w:r w:rsidRPr="00240F51">
        <w:rPr>
          <w:noProof/>
          <w:lang w:eastAsia="de-DE"/>
        </w:rPr>
        <w:t xml:space="preserve"> et al. 2007)</w:t>
      </w:r>
      <w:r w:rsidRPr="00240F51">
        <w:fldChar w:fldCharType="end"/>
      </w:r>
      <w:bookmarkEnd w:id="83"/>
      <w:bookmarkEnd w:id="84"/>
      <w:bookmarkEnd w:id="85"/>
      <w:bookmarkEnd w:id="86"/>
      <w:bookmarkEnd w:id="87"/>
      <w:bookmarkEnd w:id="88"/>
      <w:bookmarkEnd w:id="89"/>
      <w:bookmarkEnd w:id="90"/>
      <w:r w:rsidRPr="00240F51">
        <w:t xml:space="preserve">. Three studies were compared. It was probably impossible to detect an effect in the LMR study by Martinez et al. (2018) because the </w:t>
      </w:r>
      <w:r w:rsidRPr="00240F51">
        <w:rPr>
          <w:u w:val="single"/>
        </w:rPr>
        <w:t>exposure concentration</w:t>
      </w:r>
      <w:r w:rsidRPr="00240F51">
        <w:t xml:space="preserve"> used was a factor of 1000 below that used in the other studies and this suggests that these concentrations might not be in the effective range of </w:t>
      </w:r>
      <w:proofErr w:type="spellStart"/>
      <w:r w:rsidRPr="00240F51">
        <w:t>levetiracetam</w:t>
      </w:r>
      <w:proofErr w:type="spellEnd"/>
      <w:r w:rsidRPr="00240F51">
        <w:t xml:space="preserve">. Even though the LMR study by </w:t>
      </w:r>
      <w:proofErr w:type="spellStart"/>
      <w:r w:rsidRPr="00240F51">
        <w:t>Berghmans</w:t>
      </w:r>
      <w:proofErr w:type="spellEnd"/>
      <w:r w:rsidRPr="00240F51">
        <w:t xml:space="preserve"> et al. (2007) and the LMR(L/D) study by </w:t>
      </w:r>
      <w:proofErr w:type="spellStart"/>
      <w:r w:rsidRPr="00240F51">
        <w:rPr>
          <w:lang w:eastAsia="de-DE"/>
        </w:rPr>
        <w:t>B</w:t>
      </w:r>
      <w:bookmarkStart w:id="91" w:name="__Fieldmark__2895_1441573696"/>
      <w:r w:rsidRPr="00240F51">
        <w:rPr>
          <w:lang w:eastAsia="de-DE"/>
        </w:rPr>
        <w:t>e</w:t>
      </w:r>
      <w:bookmarkStart w:id="92" w:name="__Fieldmark__2474_1142328233"/>
      <w:r w:rsidRPr="00240F51">
        <w:rPr>
          <w:lang w:eastAsia="de-DE"/>
        </w:rPr>
        <w:t>k</w:t>
      </w:r>
      <w:bookmarkStart w:id="93" w:name="__Fieldmark__8873_1894120582"/>
      <w:r w:rsidRPr="00240F51">
        <w:rPr>
          <w:lang w:eastAsia="de-DE"/>
        </w:rPr>
        <w:t>e</w:t>
      </w:r>
      <w:bookmarkStart w:id="94" w:name="__Fieldmark__1808_1894120582"/>
      <w:r w:rsidRPr="00240F51">
        <w:rPr>
          <w:lang w:eastAsia="de-DE"/>
        </w:rPr>
        <w:t>r</w:t>
      </w:r>
      <w:bookmarkStart w:id="95" w:name="__Fieldmark__1458_945872730"/>
      <w:proofErr w:type="spellEnd"/>
      <w:r w:rsidRPr="00240F51">
        <w:rPr>
          <w:lang w:eastAsia="de-DE"/>
        </w:rPr>
        <w:t xml:space="preserve"> </w:t>
      </w:r>
      <w:bookmarkStart w:id="96" w:name="__Fieldmark__1154_376982467"/>
      <w:r w:rsidRPr="00240F51">
        <w:rPr>
          <w:lang w:eastAsia="de-DE"/>
        </w:rPr>
        <w:t>v</w:t>
      </w:r>
      <w:r w:rsidRPr="00240F51">
        <w:fldChar w:fldCharType="begin" w:fldLock="1"/>
      </w:r>
      <w:r w:rsidRPr="00240F51">
        <w:instrText>ADDIN CSL_CITATION {"citationItems":[{"id":"ITEM-1","itemData":{"DOI":"10.1016/j.reprotox.2014.07.082","ISBN":"0890-6238","ISSN":"18731708","PMID":"25111975","abstract":"To improve the predictability of the zebrafish embryotoxicity test (ZET) for developmental (neuro)toxicity screening, we used a multiple-endpoints strategy, including morphology, motor activity (MA), histopathology and kinetics. The model compounds used were antiepileptic drugs (AEDs): valproic acid (VPA), carbamazepine (CBZ), ethosuximide (ETH) and levetiracetam (LEV). For VPA, histopathology was the most sensitive parameter, showing effects already at 60. μM. For CBZ, morphology and MA were the most sensitive parameters, showing effects at 180. μM. For ETH, all endpoints showed similar sensitivity (6.6. mM), whereas MA was the most sensitive parameter for LEV (40. mM). Inclusion of kinetics did not alter the absolute ranking of the compounds, but the relative potency was changed considerably. Taking all together, this demo-case study showed that inclusion of multiple-endpoints in ZET may increase the sensitivity of the assay, contribute to the elucidation of the mode of toxic action and to a better definition of the applicability domain of ZET. © 2014 Elsevier Inc.","author":[{"dropping-particle":"","family":"Beker van Woudenberg","given":"Anna","non-dropping-particle":"","parse-names":false,"suffix":""},{"dropping-particle":"","family":"Snel","given":"Cor","non-dropping-particle":"","parse-names":false,"suffix":""},{"dropping-particle":"","family":"Rijkmans","given":"Eke","non-dropping-particle":"","parse-names":false,"suffix":""},{"dropping-particle":"","family":"Groot","given":"Didima","non-dropping-particle":"De","parse-names":false,"suffix":""},{"dropping-particle":"","family":"Bouma","given":"Marga","non-dropping-particle":"","parse-names":false,"suffix":""},{"dropping-particle":"","family":"Hermsen","given":"Sanne","non-dropping-particle":"","parse-names":false,"suffix":""},{"dropping-particle":"","family":"Piersma","given":"Aldert","non-dropping-particle":"","parse-names":false,"suffix":""},{"dropping-particle":"","family":"Menke","given":"Aswin","non-dropping-particle":"","parse-names":false,"suffix":""},{"dropping-particle":"","family":"Wolterbeek","given":"André","non-dropping-particle":"","parse-names":false,"suffix":""}],"container-title":"Reproductive Toxicology","id":"ITEM-1","issued":{"date-parts":[["2014"]]},"page":"101-116","title":"Zebrafish embryotoxicity test for developmental (neuro)toxicity: Demo case of an integrated screening approach system using anti-epileptic drugs","type":"article-journal","volume":"49"},"uris":["http://www.mendeley.com/documents/?uuid=f5e509ed-2423-498d-ab81-daf2bc3a52a1"]}],"mendeley":{"formattedCitation":"(Beker van Woudenberg et al. 2014)","manualFormatting":"an Woudenberg et al. (2014)","plainTextFormattedCitation":"(Beker van Woudenberg et al. 2014)","previouslyFormattedCitation":"(Beker van Woudenberg et al. 2014)"},"properties":{"noteIndex":0},"schema":"https://github.com/citation-style-language/schema/raw/master/csl-citation.json"}</w:instrText>
      </w:r>
      <w:r w:rsidRPr="00240F51">
        <w:fldChar w:fldCharType="separate"/>
      </w:r>
      <w:bookmarkStart w:id="97" w:name="__Fieldmark__2992_422048926"/>
      <w:r w:rsidRPr="00240F51">
        <w:rPr>
          <w:noProof/>
          <w:lang w:eastAsia="de-DE"/>
        </w:rPr>
        <w:t>a</w:t>
      </w:r>
      <w:bookmarkStart w:id="98" w:name="__Fieldmark__6031_523164669"/>
      <w:r w:rsidRPr="00240F51">
        <w:rPr>
          <w:noProof/>
          <w:lang w:eastAsia="de-DE"/>
        </w:rPr>
        <w:t>n Woudenberg et al. (2014)</w:t>
      </w:r>
      <w:r w:rsidRPr="00240F51">
        <w:fldChar w:fldCharType="end"/>
      </w:r>
      <w:bookmarkEnd w:id="91"/>
      <w:bookmarkEnd w:id="92"/>
      <w:bookmarkEnd w:id="93"/>
      <w:bookmarkEnd w:id="94"/>
      <w:bookmarkEnd w:id="95"/>
      <w:bookmarkEnd w:id="96"/>
      <w:bookmarkEnd w:id="97"/>
      <w:bookmarkEnd w:id="98"/>
      <w:r w:rsidRPr="00240F51">
        <w:t xml:space="preserve"> shows </w:t>
      </w:r>
      <w:proofErr w:type="spellStart"/>
      <w:r w:rsidRPr="00240F51">
        <w:t>hypoactivity</w:t>
      </w:r>
      <w:proofErr w:type="spellEnd"/>
      <w:r w:rsidRPr="00240F51">
        <w:t xml:space="preserve"> at a similar concentration, the latter study also shows hyperactivity at higher concentrations. This might be attributed to the differences in </w:t>
      </w:r>
      <w:r w:rsidRPr="00240F51">
        <w:rPr>
          <w:u w:val="single"/>
        </w:rPr>
        <w:t>exposure duration</w:t>
      </w:r>
      <w:r w:rsidRPr="00240F51">
        <w:t xml:space="preserve">, </w:t>
      </w:r>
      <w:r w:rsidRPr="00240F51">
        <w:rPr>
          <w:u w:val="single"/>
        </w:rPr>
        <w:t>developmental stage</w:t>
      </w:r>
      <w:r w:rsidRPr="00240F51">
        <w:t xml:space="preserve"> and </w:t>
      </w:r>
      <w:r w:rsidRPr="00240F51">
        <w:rPr>
          <w:u w:val="single"/>
        </w:rPr>
        <w:t>light conditions</w:t>
      </w:r>
      <w:r w:rsidRPr="00240F51">
        <w:t xml:space="preserve"> between the studies.</w:t>
      </w:r>
    </w:p>
    <w:p w:rsidR="00B10798" w:rsidRPr="00240F51" w:rsidRDefault="00B10798" w:rsidP="00240F51">
      <w:pPr>
        <w:jc w:val="both"/>
        <w:rPr>
          <w:rFonts w:eastAsia="Times New Roman" w:cs="Times New Roman"/>
          <w:color w:val="auto"/>
          <w:lang w:eastAsia="en-US"/>
        </w:rPr>
      </w:pPr>
      <w:r>
        <w:rPr>
          <w:rFonts w:eastAsia="Times New Roman" w:cs="Times New Roman"/>
          <w:noProof/>
          <w:color w:val="auto"/>
          <w:lang w:eastAsia="en-US"/>
        </w:rPr>
        <w:lastRenderedPageBreak/>
        <w:drawing>
          <wp:inline distT="0" distB="0" distL="0" distR="0">
            <wp:extent cx="4762500" cy="4762500"/>
            <wp:effectExtent l="0" t="0" r="0" b="0"/>
            <wp:docPr id="13" name="Picture 13" descr="C:\Users\ogungbem\Documents\Review data\Levetiracetam b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gungbem\Documents\Review data\Levetiracetam bar.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240F51" w:rsidRPr="00240F51" w:rsidRDefault="00240F51" w:rsidP="00240F51">
      <w:pPr>
        <w:spacing w:after="0"/>
        <w:jc w:val="both"/>
      </w:pPr>
    </w:p>
    <w:p w:rsidR="00240F51" w:rsidRPr="00240F51" w:rsidRDefault="00240F51" w:rsidP="00B10798">
      <w:pPr>
        <w:spacing w:after="0"/>
        <w:jc w:val="both"/>
      </w:pPr>
      <w:r w:rsidRPr="00240F51">
        <w:rPr>
          <w:b/>
        </w:rPr>
        <w:t>Valproate</w:t>
      </w:r>
      <w:r w:rsidR="00B10798">
        <w:t xml:space="preserve"> </w:t>
      </w:r>
    </w:p>
    <w:p w:rsidR="00240F51" w:rsidRDefault="00240F51" w:rsidP="00240F51">
      <w:pPr>
        <w:spacing w:after="0"/>
        <w:jc w:val="both"/>
      </w:pPr>
      <w:r w:rsidRPr="00240F51">
        <w:t xml:space="preserve">Valproate is an anticonvulsant drug and it is expected to cause </w:t>
      </w:r>
      <w:proofErr w:type="spellStart"/>
      <w:r w:rsidRPr="00240F51">
        <w:t>hypoactivity</w:t>
      </w:r>
      <w:proofErr w:type="spellEnd"/>
      <w:r w:rsidRPr="00240F51">
        <w:t xml:space="preserve"> by inhibiting GABA transaminase (www.drugbank.ca). This assumption is supported by </w:t>
      </w:r>
      <w:proofErr w:type="spellStart"/>
      <w:r w:rsidRPr="00240F51">
        <w:rPr>
          <w:lang w:eastAsia="de-DE"/>
        </w:rPr>
        <w:t>B</w:t>
      </w:r>
      <w:bookmarkStart w:id="99" w:name="__Fieldmark__2937_1441573696"/>
      <w:r w:rsidRPr="00240F51">
        <w:rPr>
          <w:lang w:eastAsia="de-DE"/>
        </w:rPr>
        <w:t>a</w:t>
      </w:r>
      <w:bookmarkStart w:id="100" w:name="__Fieldmark__2512_1142328233"/>
      <w:r w:rsidRPr="00240F51">
        <w:rPr>
          <w:lang w:eastAsia="de-DE"/>
        </w:rPr>
        <w:t>r</w:t>
      </w:r>
      <w:bookmarkStart w:id="101" w:name="__Fieldmark__8900_1894120582"/>
      <w:r w:rsidRPr="00240F51">
        <w:rPr>
          <w:lang w:eastAsia="de-DE"/>
        </w:rPr>
        <w:t>a</w:t>
      </w:r>
      <w:bookmarkStart w:id="102" w:name="__Fieldmark__1831_1894120582"/>
      <w:r w:rsidRPr="00240F51">
        <w:rPr>
          <w:lang w:eastAsia="de-DE"/>
        </w:rPr>
        <w:t>b</w:t>
      </w:r>
      <w:bookmarkStart w:id="103" w:name="__Fieldmark__1477_945872730"/>
      <w:r w:rsidRPr="00240F51">
        <w:rPr>
          <w:lang w:eastAsia="de-DE"/>
        </w:rPr>
        <w:t>a</w:t>
      </w:r>
      <w:bookmarkStart w:id="104" w:name="__Fieldmark__1169_376982467"/>
      <w:r w:rsidRPr="00240F51">
        <w:rPr>
          <w:lang w:eastAsia="de-DE"/>
        </w:rPr>
        <w:t>n</w:t>
      </w:r>
      <w:proofErr w:type="spellEnd"/>
      <w:r w:rsidRPr="00240F51">
        <w:fldChar w:fldCharType="begin" w:fldLock="1"/>
      </w:r>
      <w:r w:rsidRPr="00240F51">
        <w:instrText>ADDIN CSL_CITATION {"citationItems":[{"id":"ITEM-1","itemData":{"DOI":"10.1016/j.neuroscience.2004.11.031","abstract":"—Rodent seizure models have significantly contrib-uted to our basic understanding of epilepsy. However, med-ically intractable forms of epilepsy persist and the fundamen-tal mechanisms underlying this disease remain unclear. Here we show that seizures can be elicited in a simple vertebrate system e.g. zebrafish larvae (Danio rerio). Exposure to a common convulsant agent (pentylenetetrazole, PTZ) induced a stereotyped and concentration-dependent sequence of be-havioral changes culminating in clonus-like convulsions. Ex-tracellular recordings from fish optic tectum revealed ictal and interictal-like electrographic discharges after application of PTZ, which could be blocked by tetrodotoxin or glutamate receptor antagonists. Epileptiform discharges were sup-pressed by commonly used antiepileptic drugs, valproate and diazepam, in a concentration-dependent manner. Up-regulation of c-fos expression was also observed in CNS structures of zebrafish exposed to PTZ. Taken together, these results demonstrate that chemically-induced seizures in zebrafish exhibit behavioral, electrographic, and molecular changes that would be expected from a rodent seizure model. Therefore, zebrafish larvae represent a powerful new system to study the underlying basis of seizure generation, epilepsy and epileptogenesis. Epilepsy, a common neurological disorder marked by the occurrence of spontaneous seizures, afflicts nearly 50 mil-lion people worldwide. Proposed mechanisms to explain how seizures occur incorporate multiple levels of analysis ranging from behavioral (e.g. defined seizure stages), to electrophysiological (e.g. electrical events contributing to a seizure episode) to molecular (e.g. alterations in gene expression). To date, the vast majority of epilepsy re-search has been performed in rodents (Mello et al., 1993; Lothman et al., 1989; Buhl et al., 1996; Jacobs et al., 1999; Galvan et al., 2000; Sperber et al., 1991; Lukasiuk et al., 2003), with additional insights derived from analysis of human tissue obtained during surgical resection for intrac-table epilepsy (Prince and Wong, 1981; Schwartzkroin and Knowles, 1984; Andre et al., 2004). Although recent stud-ies incorporate mutant mice exhibiting a spontaneous sei-zure phenotype (Noebels, 2001), our greater understand-ing of epilepsy largely derives from animal models in which seizures were induced (e.g. kindling, kainic acid, pentyl-enetetrazole [PTZ], pilocarpine, etc.). Among the recent insights gained from studying …","author":[{"dropping-particle":"","family":"Baraban","given":"S C","non-dropping-particle":"","parse-names":false,"suffix":""},{"dropping-particle":"","family":"Taylor","given":"M R","non-dropping-particle":"","parse-names":false,"suffix":""},{"dropping-particle":"","family":"Castro","given":"P A","non-dropping-particle":"","parse-names":false,"suffix":""},{"dropping-particle":"","family":"Baier","given":"And H","non-dropping-particle":"","parse-names":false,"suffix":""}],"id":"ITEM-1","issued":{"date-parts":[["2005"]]},"title":"PENTYLENETETRAZOLE INDUCED CHANGES IN ZEBRAFISH BEHAVIOR, NEURAL ACTIVITY AND C-FOS EXPRESSION","type":"article-journal"},"uris":["http://www.mendeley.com/documents/?uuid=ff7e1329-c22f-3f48-a2ae-dabd2337f597"]}],"mendeley":{"formattedCitation":"(Baraban et al. 2005)","manualFormatting":" et al. (2005)","plainTextFormattedCitation":"(Baraban et al. 2005)","previouslyFormattedCitation":"(Baraban et al. 2005)"},"properties":{"noteIndex":0},"schema":"https://github.com/citation-style-language/schema/raw/master/csl-citation.json"}</w:instrText>
      </w:r>
      <w:r w:rsidRPr="00240F51">
        <w:fldChar w:fldCharType="separate"/>
      </w:r>
      <w:bookmarkStart w:id="105" w:name="__Fieldmark__3033_422048926"/>
      <w:r w:rsidRPr="00240F51">
        <w:rPr>
          <w:noProof/>
          <w:lang w:eastAsia="de-DE"/>
        </w:rPr>
        <w:t xml:space="preserve"> </w:t>
      </w:r>
      <w:bookmarkStart w:id="106" w:name="__Fieldmark__6091_523164669"/>
      <w:r w:rsidRPr="00240F51">
        <w:rPr>
          <w:noProof/>
          <w:lang w:eastAsia="de-DE"/>
        </w:rPr>
        <w:t>et al. (2005)</w:t>
      </w:r>
      <w:r w:rsidRPr="00240F51">
        <w:fldChar w:fldCharType="end"/>
      </w:r>
      <w:bookmarkEnd w:id="99"/>
      <w:bookmarkEnd w:id="100"/>
      <w:bookmarkEnd w:id="101"/>
      <w:bookmarkEnd w:id="102"/>
      <w:bookmarkEnd w:id="103"/>
      <w:bookmarkEnd w:id="104"/>
      <w:bookmarkEnd w:id="105"/>
      <w:bookmarkEnd w:id="106"/>
      <w:r w:rsidRPr="00240F51">
        <w:t xml:space="preserve"> who reported that valproate reduced PTZ invoked seizures and epileptic activity. Twelve studies were compared. In six studies, valproate showed a trend in which hyperactivity was reported mostly at low concentrations </w:t>
      </w:r>
      <w:r w:rsidRPr="00240F51">
        <w:rPr>
          <w:lang w:eastAsia="de-DE"/>
        </w:rPr>
        <w:t>(</w:t>
      </w:r>
      <w:bookmarkStart w:id="107" w:name="__Fieldmark__2964_1441573696"/>
      <w:proofErr w:type="spellStart"/>
      <w:r w:rsidRPr="00240F51">
        <w:rPr>
          <w:lang w:eastAsia="de-DE"/>
        </w:rPr>
        <w:t>Z</w:t>
      </w:r>
      <w:bookmarkStart w:id="108" w:name="__Fieldmark__2535_1142328233"/>
      <w:r w:rsidRPr="00240F51">
        <w:rPr>
          <w:lang w:eastAsia="de-DE"/>
        </w:rPr>
        <w:t>e</w:t>
      </w:r>
      <w:bookmarkStart w:id="109" w:name="__Fieldmark__8919_1894120582"/>
      <w:r w:rsidRPr="00240F51">
        <w:rPr>
          <w:lang w:eastAsia="de-DE"/>
        </w:rPr>
        <w:t>l</w:t>
      </w:r>
      <w:bookmarkStart w:id="110" w:name="__Fieldmark__1846_1894120582"/>
      <w:r w:rsidRPr="00240F51">
        <w:rPr>
          <w:lang w:eastAsia="de-DE"/>
        </w:rPr>
        <w:t>l</w:t>
      </w:r>
      <w:bookmarkStart w:id="111" w:name="__Fieldmark__1488_945872730"/>
      <w:r w:rsidRPr="00240F51">
        <w:rPr>
          <w:lang w:eastAsia="de-DE"/>
        </w:rPr>
        <w:t>n</w:t>
      </w:r>
      <w:bookmarkStart w:id="112" w:name="__Fieldmark__1176_376982467"/>
      <w:r w:rsidRPr="00240F51">
        <w:rPr>
          <w:lang w:eastAsia="de-DE"/>
        </w:rPr>
        <w:t>e</w:t>
      </w:r>
      <w:r w:rsidRPr="00240F51">
        <w:fldChar w:fldCharType="begin" w:fldLock="1"/>
      </w:r>
      <w:r w:rsidRPr="00240F51">
        <w:instrText>ADDIN CSL_CITATION {"citationItems":[{"id":"ITEM-1","itemData":{"DOI":"10.1016/J.REPROTOX.2011.11.111","abstract":"Given the minimal developmental neurotoxicity data available for the large number of new and existing chemicals, there is a critical need for alternative methods to identify and prioritize chemicals for further testing. We outline a developmental neurotoxicity screening approach using zebrafish embryos. Embryos were exposed to nominal concentrations of either valproate or ethanol then examined for lethality, malformation, nervous system structure and locomotor activity. Developmental valproate exposure caused locomotor activity changes at concentrations that did not result in malformations and showed a concentration-dependent decrease in retino-tectal projection area in the optic tectum. Developmental ethanol exposure also affected retino-tectal projection area at concentrations below those concentrations causing malformations. As both valproate and ethanol are known human developmental neurotoxicants, these results add to the growing body of evidence showing the potential utility of zebrafish in screening compounds for mammalian developmental neurotoxicity.\r\n\r\nHighlights\r\n\r\n</w:instrText>
      </w:r>
      <w:r w:rsidRPr="00240F51">
        <w:rPr>
          <w:rFonts w:ascii="Arial" w:hAnsi="Arial" w:cs="Arial"/>
        </w:rPr>
        <w:instrText>►</w:instrText>
      </w:r>
      <w:r w:rsidRPr="00240F51">
        <w:instrText xml:space="preserve"> We outline a developmental neurotoxicity screen using zebrafish embryos. </w:instrText>
      </w:r>
      <w:r w:rsidRPr="00240F51">
        <w:rPr>
          <w:rFonts w:ascii="Arial" w:hAnsi="Arial" w:cs="Arial"/>
        </w:rPr>
        <w:instrText>►</w:instrText>
      </w:r>
      <w:r w:rsidRPr="00240F51">
        <w:instrText xml:space="preserve"> Neurotoxic endpoints include retino-tectal projection area and locomotor activity. </w:instrText>
      </w:r>
      <w:r w:rsidRPr="00240F51">
        <w:rPr>
          <w:rFonts w:ascii="Arial" w:hAnsi="Arial" w:cs="Arial"/>
        </w:rPr>
        <w:instrText>►</w:instrText>
      </w:r>
      <w:r w:rsidRPr="00240F51">
        <w:instrText xml:space="preserve"> Valproate and ethanol were developmentally neurotoxic to zebrafish embryos. </w:instrText>
      </w:r>
      <w:r w:rsidRPr="00240F51">
        <w:rPr>
          <w:rFonts w:ascii="Arial" w:hAnsi="Arial" w:cs="Arial"/>
        </w:rPr>
        <w:instrText>►</w:instrText>
      </w:r>
      <w:r w:rsidRPr="00240F51">
        <w:instrText xml:space="preserve"> Neurotoxicity was observed at doses below those resulting in overt toxicity. </w:instrText>
      </w:r>
      <w:r w:rsidRPr="00240F51">
        <w:rPr>
          <w:rFonts w:ascii="Arial" w:hAnsi="Arial" w:cs="Arial"/>
        </w:rPr>
        <w:instrText>►</w:instrText>
      </w:r>
      <w:r w:rsidRPr="00240F51">
        <w:instrText xml:space="preserve"> Zebrafish embryo screens may help identify putative developmental neurotoxicants.","author":[{"dropping-particle":"","family":"Cowden","given":"John","non-dropping-particle":"","parse-names":false,"suffix":""},{"dropping-particle":"","family":"Padnos","given":"Beth","non-dropping-particle":"","parse-names":false,"suffix":""},{"dropping-particle":"","family":"Hunter","given":"Deborah","non-dropping-particle":"","parse-names":false,"suffix":""},{"dropping-particle":"","family":"MacPhail","given":"Robert","non-dropping-particle":"","parse-names":false,"suffix":""},{"dropping-particle":"","family":"Jensen","given":"Karl","non-dropping-particle":"","parse-names":false,"suffix":""},{"dropping-particle":"","family":"Padilla","given":"Stephanie","non-dropping-particle":"","parse-names":false,"suffix":""}],"container-title":"Reproductive Toxicology","id":"ITEM-1","issue":"2","issued":{"date-parts":[["2012","4","1"]]},"page":"165-173","publisher":"Pergamon","title":"Developmental exposure to valproate and ethanol alters locomotor activity and retino-tectal projection area in zebrafish embryos","type":"article-journal","volume":"33"},"uris":["http://www.mendeley.com/documents/?uuid=9f55674e-d38e-3dd2-bf9a-f0c59e89e6ad"]},{"id":"ITEM-2","itemData":{"DOI":"10.1016/j.ntt.2011.06.007","ISBN":"1872-9738","ISSN":"08920362","PMID":"21767635","abstract":"Zebrafish (Danio rerio) are widely used in developmental research, but still not much is known about the role of the environment in their development. Zebrafish are a highly social organism; thus exposure to, or isolation from, social environments may have profound developmental effects. Details of rearing conditions are often sparse in the zebrafish literature. This study compared (1) the activity of larval zebrafish that were raised individually vs in groups, and (2) the effect of the developmental neurotoxicant valproate. We randomly assigned embryos to single- or group-reared social environments from 0 to 5. days post fertilization (dpf), while treating them with or without valproate (final concentration 48 μM) from 0 to 2. dpf, resulting in a total of four groups (group control, group treated, single control, single treated). At 5. dpf all embryos were transferred to singly-housed environments where they remained for locomotor activity testing (alternating periods of light and dark) conducted on day 6. Larvae that had been reared in groups had higher levels of activity in the dark period compared to larvae that had been raised individually. Valproate increased activity in both the singly-reared and group-reared larvae during periods of darkness but not light. Further analyses of dark activity indicated that rearing condition did not differentially affect larval responses to valproate. These results indicate that rearing conditions affected the locomotion of zebrafish larvae, but did not alter the effect of the developmental neurotoxicant valproate. © 2011.","author":[{"dropping-particle":"","family":"Zellner","given":"D.","non-dropping-particle":"","parse-names":false,"suffix":""},{"dropping-particle":"","family":"Padnos","given":"B.","non-dropping-particle":"","parse-names":false,"suffix":""},{"dropping-particle":"","family":"Hunter","given":"D. L.","non-dropping-particle":"","parse-names":false,"suffix":""},{"dropping-particle":"","family":"MacPhail","given":"R. C.","non-dropping-particle":"","parse-names":false,"suffix":""},{"dropping-particle":"","family":"Padilla","given":"S.","non-dropping-particle":"","parse-names":false,"suffix":""}],"container-title":"Neurotoxicology and Teratology","id":"ITEM-2","issue":"6","issued":{"date-parts":[["2011"]]},"page":"674-679","publisher":"Elsevier B.V.","title":"Rearing conditions differentially affect the locomotor behavior of larval zebrafish, but not their response to valproate-induced developmental neurotoxicity","type":"article-journal","volume":"33"},"uris":["http://www.mendeley.com/documents/?uuid=e93d1a3b-8f5d-4cff-b615-52437d707105"]},{"id":"ITEM-3","itemData":{"DOI":"10.1016/j.taap.2018.02.019","ISSN":"10960333","PMID":"29499247","abstract":"The comparative analysis of complex behavioral phenotypes is valuable as a reductionist tool for both drug discovery and defining chemical bioactivity. Flavonoids are a diverse class of chemicals that elicit robust neuroactive and hormonal actions, though bioactivity information is limited for many, particularly for neurobehavioral endpoints. Here, we used a zebrafish larval chemomotor response (LCR) bioassay to comparatively evaluate a suite of 24 flavonoids, and in addition a panel of 30 model neuroactive compounds representing diverse modes of action (e.g. caffeine, chlorpyrifos, methamphetamine, nicotine, picrotoxin). Naïve larval zebrafish were exposed to concentration ranges of each compound at 120 hour post-fertilization (hpf) and locomotor activity measured for 5 h. The model neuroactive compounds were largely behaviorally bioactive (20 of 30) with most effects phenotypic of their known modes of action. Flavonoids rapidly and broadly elicited hyperactive locomotor effects (22 of 24). Multidimensional analyses compared responses over time and identified three distinct bioactive groups of flavonoids based on efficacy and potency. Using GABAergics to modulate hyperactive responses, two flavonoids, (S)-equol and kaempferol were tested for GABAAreceptor antagonism, as well as a known GABAAreceptor antagonist, picrotoxin. Pharmacological intervention with positive allosteric modulators of the GABAAreceptor, alfaxalone and chlormethiazole, ameliorated the hyperactive response to picrotoxin, but not for (S)-equol or kaempferol. Taken together, these studies demonstrate that flavonoids are differentially bioactive and that the chemobehavioral effects likely do not involve a GABAAreceptor mediated mode of action. Overall, the integrative zebrafish platform provides a useful framework for comparatively evaluating high-content chemobehavioral data for sets of structurally- and mechanistically-related flavonoids and neuroactive compounds.","author":[{"dropping-particle":"","family":"Bugel","given":"Sean M.","non-dropping-particle":"","parse-names":false,"suffix":""},{"dropping-particle":"","family":"Tanguay","given":"Robert L.","non-dropping-particle":"","parse-names":false,"suffix":""}],"container-title":"Toxicology and Applied Pharmacology","id":"ITEM-3","issue":"December 2017","issued":{"date-parts":[["2018"]]},"page":"23-34","publisher":"Elsevier","title":"Multidimensional chemobehavior analysis of flavonoids and neuroactive compounds in zebrafish","type":"article-journal","volume":"344"},"uris":["http://www.mendeley.com/documents/?uuid=bd738895-cb27-4d8a-85f5-3ebaa9f561db"]},{"id":"ITEM-4","itemData":{"DOI":"10.1016/j.ntt.2015.10.002","ISBN":"0892-0362","ISSN":"18729738","PMID":"26477937","abstract":"Changes in social behavior are associated with brain disorders, including mood disorders, stress, schizophrenia, Alzheimer's disease, and autism spectrum disorders (ASD). Autism is a complex neurodevelopmental disorder characterized by deficits in social interaction, impaired communication, anxiety, hyperactivity, and the presence of restricted interests. Zebrafish is one of the most social vertebrates used as a model in biomedical research, contributing to an understanding of the mechanisms that underlie social behavior. Valproic acid (VPA) is used as an anti-epileptic drug and mood stabilizer; however, prenatal VPA exposure in humans has been associated with an increased incidence of autism and it can also affect fetal brain development. Therefore, we conducted a behavioral screening at different periods of zebrafish development at 6, 30, 70, and 120. dpf (days postfertilization) after VPA exposure in the early development stage to investigate social behavior, locomotion, aggression, and anxiety. VPA (48. μM) exposure during the first 48. hpf (hours postfertilization) did not promote changes on survival, morphology, and hatching rate at 24. hpf, 48. hpf, and 72. hpf. The behavioral patterns suggest that VPA exposure induces changes in locomotor activity and anxiety at different developmental periods in zebrafish. Furthermore, a social interaction deficit is present at 70. dpf and 120. dpf. VPA exposure did not affect aggression in the adult stage at 70. dpf and 120. dpf. This is the first study that demonstrated zebrafish exposed to VPA during the first 48. h of development exhibit deficits in social interaction, anxiety, and hyperactivity at different developmental periods.","author":[{"dropping-particle":"","family":"Zimmermann","given":"Fernanda Francine","non-dropping-particle":"","parse-names":false,"suffix":""},{"dropping-particle":"","family":"Gaspary","given":"Karina Vidarte","non-dropping-particle":"","parse-names":false,"suffix":""},{"dropping-particle":"","family":"Leite","given":"Carlos Eduardo","non-dropping-particle":"","parse-names":false,"suffix":""},{"dropping-particle":"","family":"Paula Cognato","given":"Giana","non-dropping-particle":"De","parse-names":false,"suffix":""},{"dropping-particle":"","family":"Bonan","given":"Carla Denise","non-dropping-particle":"","parse-names":false,"suffix":""}],"container-title":"Neurotoxicology and Teratology","id":"ITEM-4","issued":{"date-parts":[["2015"]]},"page":"36-41","publisher":"Elsevier Inc.","title":"Embryological exposure to valproic acid induces social interaction deficits in zebrafish (Danio rerio): A developmental behavior analysis","type":"article-journal","volume":"52"},"uris":["http://www.mendeley.com/documents/?uuid=99efcc2e-2b12-4b6f-8f17-b3e14ba7402a"]},{"id":"ITEM-5","itemData":{"DOI":"10.1016/j.reprotox.2014.07.082","ISBN":"0890-6238","ISSN":"18731708","PMID":"25111975","abstract":"To improve the predictability of the zebrafish embryotoxicity test (ZET) for developmental (neuro)toxicity screening, we used a multiple-endpoints strategy, including morphology, motor activity (MA), histopathology and kinetics. The model compounds used were antiepileptic drugs (AEDs): valproic acid (VPA), carbamazepine (CBZ), ethosuximide (ETH) and levetiracetam (LEV). For VPA, histopathology was the most sensitive parameter, showing effects already at 60. μM. For CBZ, morphology and MA were the most sensitive parameters, showing effects at 180. μM. For ETH, all endpoints showed similar sensitivity (6.6. mM), whereas MA was the most sensitive parameter for LEV (40. mM). Inclusion of kinetics did not alter the absolute ranking of the compounds, but the relative potency was changed considerably. Taking all together, this demo-case study showed that inclusion of multiple-endpoints in ZET may increase the sensitivity of the assay, contribute to the elucidation of the mode of toxic action and to a better definition of the applicability domain of ZET. © 2014 Elsevier Inc.","author":[{"dropping-particle":"","family":"Beker van Woudenberg","given":"Anna","non-dropping-particle":"","parse-names":false,"suffix":""},{"dropping-particle":"","family":"Snel","given":"Cor","non-dropping-particle":"","parse-names":false,"suffix":""},{"dropping-particle":"","family":"Rijkmans","given":"Eke","non-dropping-particle":"","parse-names":false,"suffix":""},{"dropping-particle":"","family":"Groot","given":"Didima","non-dropping-particle":"De","parse-names":false,"suffix":""},{"dropping-particle":"","family":"Bouma","given":"Marga","non-dropping-particle":"","parse-names":false,"suffix":""},{"dropping-particle":"","family":"Hermsen","given":"Sanne","non-dropping-particle":"","parse-names":false,"suffix":""},{"dropping-particle":"","family":"Piersma","given":"Aldert","non-dropping-particle":"","parse-names":false,"suffix":""},{"dropping-particle":"","family":"Menke","given":"Aswin","non-dropping-particle":"","parse-names":false,"suffix":""},{"dropping-particle":"","family":"Wolterbeek","given":"André","non-dropping-particle":"","parse-names":false,"suffix":""}],"container-title":"Reproductive Toxicology","id":"ITEM-5","issued":{"date-parts":[["2014"]]},"page":"101-116","title":"Zebrafish embryotoxicity test for developmental (neuro)toxicity: Demo case of an integrated screening approach system using anti-epileptic drugs","type":"article-journal","volume":"49"},"uris":["http://www.mendeley.com/documents/?uuid=f5e509ed-2423-498d-ab81-daf2bc3a52a1"]},{"id":"ITEM-6","itemData":{"DOI":"10.1016/j.neuro.2015.10.001","abstract":"BACKGROUND-Moderate to severe dysregulation in retinoid signaling during early development is associated with a constellation of physical malformations and/or neural tube defects, including spina bifida. It is thought that more subtle dysregulation of this system, which might be achievable via dietary (i.e. hypervitaminosis A) or pharmacological (i.e. valproic acid) exposure in humans, will manifest on behavioral domains including sociability, without overt physical abnormalities. METHODS-During early life, zebrafish were exposed to low doses of two chemicals that disrupt retinoid signaling. From 0-5 dpf, larvae were reared in aqueous solutions containing retinoic acid (0, 0.02, 0.2 or 2 nM) or valproic acid (0, 0.5, 5.0 or 50 uM). One cohort of zebrafish was assessed using a locomotor activity screen at 6-dpf; another was reared to adulthood and assessed using a neurobehavioral test battery (startle habituation, novel tank exploration, shoaling, and predator escape/avoidance). RESULTS-There was no significant increase in the incidence of physical malformation among exposed fish compared to controls. Both retinoic acid and valproic acid exposures during development disrupted larval activity with persisting behavioral alterations later in life, primarily manifesting as decreased social affiliation. CONCLUSIONS-Social behavior and some aspects of motor function were altered in exposed fish; the importance of examining emotional or psychological consequences of early life exposure to retinoid acting chemicals is discussed.","author":[{"dropping-particle":"","family":"Bailey","given":"Jordan M","non-dropping-particle":"","parse-names":false,"suffix":""},{"dropping-particle":"","family":"Oliveri","given":"Anthony N","non-dropping-particle":"","parse-names":false,"suffix":""},{"dropping-particle":"","family":"Karbhari","given":"Nishika","non-dropping-particle":"","parse-names":false,"suffix":""},{"dropping-particle":"","family":"Brooks","given":"Roy A J","non-dropping-particle":"","parse-names":false,"suffix":""},{"dropping-particle":"","family":"De","given":"Amberlene J","non-dropping-particle":"","parse-names":false,"suffix":""},{"dropping-particle":"","family":"Rocha","given":"La","non-dropping-particle":"","parse-names":false,"suffix":""},{"dropping-particle":"","family":"Janardhan","given":"Sheila","non-dropping-particle":"","parse-names":false,"suffix":""},{"dropping-particle":"","family":"Levin","given":"Edward D","non-dropping-particle":"","parse-names":false,"suffix":""}],"id":"ITEM-6","issued":{"date-parts":[["2016"]]},"title":"Persistent behavioral effects following early life exposure to retinoic acid or valproic acid in zebrafish HHS Public Access","type":"article-journal"},"uris":["http://www.mendeley.com/documents/?uuid=1acb5d90-f87b-3fb3-b94b-7fab039240b5"]}],"mendeley":{"formattedCitation":"(Zellner et al. 2011; Cowden et al. 2012; Beker van Woudenberg et al. 2014; Zimmermann et al. 2015; Bailey et al. 2016; Bugel and Tanguay 2018)","manualFormatting":"r et al. 2011; Cowden et al. 2012; Beker van Woudenberg et al. 2014; Zimmermann et al. 2015; Bailey et al. 2016; Bugel and Tanguay 2018)","plainTextFormattedCitation":"(Zellner et al. 2011; Cowden et al. 2012; Beker van Woudenberg et al. 2014; Zimmermann et al. 2015; Bailey et al. 2016; Bugel and Tanguay 2018)","previouslyFormattedCitation":"(Zellner et al. 2011; Cowden et al. 2012; Beker van Woudenberg et al. 2014; Zimmermann et al. 2015; Bailey et al. 2016; Bugel and Tanguay 2018)"},"properties":{"noteIndex":0},"schema":"https://github.com/citation-style-language/schema/raw/master/csl-citation.json"}</w:instrText>
      </w:r>
      <w:r w:rsidRPr="00240F51">
        <w:fldChar w:fldCharType="separate"/>
      </w:r>
      <w:bookmarkStart w:id="113" w:name="__Fieldmark__3059_422048926"/>
      <w:r w:rsidRPr="00240F51">
        <w:rPr>
          <w:noProof/>
          <w:lang w:eastAsia="de-DE"/>
        </w:rPr>
        <w:t>r</w:t>
      </w:r>
      <w:bookmarkStart w:id="114" w:name="__Fieldmark__6129_523164669"/>
      <w:proofErr w:type="spellEnd"/>
      <w:r w:rsidRPr="00240F51">
        <w:rPr>
          <w:noProof/>
          <w:lang w:eastAsia="de-DE"/>
        </w:rPr>
        <w:t xml:space="preserve"> et al. 2011; Cowden et al. 2012; Beker van Woudenberg et al. 2014; Zimmermann et al. 2015; Bailey et al. 2016; Bugel and Tanguay 2018)</w:t>
      </w:r>
      <w:r w:rsidRPr="00240F51">
        <w:fldChar w:fldCharType="end"/>
      </w:r>
      <w:bookmarkEnd w:id="107"/>
      <w:bookmarkEnd w:id="108"/>
      <w:bookmarkEnd w:id="109"/>
      <w:bookmarkEnd w:id="110"/>
      <w:bookmarkEnd w:id="111"/>
      <w:bookmarkEnd w:id="112"/>
      <w:bookmarkEnd w:id="113"/>
      <w:bookmarkEnd w:id="114"/>
      <w:r w:rsidRPr="00240F51">
        <w:t xml:space="preserve">. It is important to note that the LMR studies by </w:t>
      </w:r>
      <w:proofErr w:type="spellStart"/>
      <w:r w:rsidRPr="00240F51">
        <w:t>Zellner</w:t>
      </w:r>
      <w:proofErr w:type="spellEnd"/>
      <w:r w:rsidRPr="00240F51">
        <w:t xml:space="preserve"> et al. (2011) and Zimmermann et al. (2015) only exposed from 0 – 48 </w:t>
      </w:r>
      <w:proofErr w:type="spellStart"/>
      <w:r w:rsidRPr="00240F51">
        <w:t>hpf</w:t>
      </w:r>
      <w:proofErr w:type="spellEnd"/>
      <w:r w:rsidRPr="00240F51">
        <w:t xml:space="preserve"> and measured behavior at 144 </w:t>
      </w:r>
      <w:proofErr w:type="spellStart"/>
      <w:r w:rsidRPr="00240F51">
        <w:t>hpf</w:t>
      </w:r>
      <w:proofErr w:type="spellEnd"/>
      <w:r w:rsidRPr="00240F51">
        <w:t xml:space="preserve">. This kind of exposure regime might influence the internal concentration of valproate. </w:t>
      </w:r>
      <w:proofErr w:type="spellStart"/>
      <w:r w:rsidRPr="00240F51">
        <w:rPr>
          <w:lang w:eastAsia="de-DE"/>
        </w:rPr>
        <w:t>B</w:t>
      </w:r>
      <w:bookmarkStart w:id="115" w:name="__Fieldmark__2991_1441573696"/>
      <w:r w:rsidRPr="00240F51">
        <w:rPr>
          <w:lang w:eastAsia="de-DE"/>
        </w:rPr>
        <w:t>r</w:t>
      </w:r>
      <w:bookmarkStart w:id="116" w:name="__Fieldmark__2558_1142328233"/>
      <w:r w:rsidRPr="00240F51">
        <w:rPr>
          <w:lang w:eastAsia="de-DE"/>
        </w:rPr>
        <w:t>o</w:t>
      </w:r>
      <w:bookmarkStart w:id="117" w:name="__Fieldmark__8938_1894120582"/>
      <w:r w:rsidRPr="00240F51">
        <w:rPr>
          <w:lang w:eastAsia="de-DE"/>
        </w:rPr>
        <w:t>x</w:t>
      </w:r>
      <w:bookmarkStart w:id="118" w:name="__Fieldmark__1861_1894120582"/>
      <w:proofErr w:type="spellEnd"/>
      <w:r w:rsidRPr="00240F51">
        <w:rPr>
          <w:lang w:eastAsia="de-DE"/>
        </w:rPr>
        <w:t xml:space="preserve"> </w:t>
      </w:r>
      <w:bookmarkStart w:id="119" w:name="__Fieldmark__1499_945872730"/>
      <w:r w:rsidRPr="00240F51">
        <w:rPr>
          <w:lang w:eastAsia="de-DE"/>
        </w:rPr>
        <w:t>e</w:t>
      </w:r>
      <w:bookmarkStart w:id="120" w:name="__Fieldmark__1183_376982467"/>
      <w:r w:rsidRPr="00240F51">
        <w:rPr>
          <w:lang w:eastAsia="de-DE"/>
        </w:rPr>
        <w:t>t</w:t>
      </w:r>
      <w:r w:rsidRPr="00240F51">
        <w:fldChar w:fldCharType="begin" w:fldLock="1"/>
      </w:r>
      <w:r w:rsidRPr="00240F51">
        <w:instrText>ADDIN CSL_CITATION {"citationItems":[{"id":"ITEM-1","itemData":{"DOI":"10.1021/acs.est.6b04325","ISSN":"0013-936X","author":[{"dropping-particle":"","family":"Brox","given":"Stephan","non-dropping-particle":"","parse-names":false,"suffix":""},{"dropping-particle":"","family":"Seiwert","given":"Bettina","non-dropping-particle":"","parse-names":false,"suffix":""},{"dropping-particle":"","family":"Küster","given":"Eberhard","non-dropping-particle":"","parse-names":false,"suffix":""},{"dropping-particle":"","family":"Reemtsma","given":"Thorsten","non-dropping-particle":"","parse-names":false,"suffix":""}],"container-title":"Environmental Science &amp; Technology","id":"ITEM-1","issue":"18","issued":{"date-parts":[["2016"]]},"page":"10264-10272","title":"Toxicokinetics of Polar Chemicals in Zebrafish Embryo ( &lt;i&gt;Danio rerio&lt;/i&gt; ): Influence of Physicochemical Properties and of Biological Processes","type":"article-journal","volume":"50"},"uris":["http://www.mendeley.com/documents/?uuid=e84cec81-8eff-4a78-a564-a25e04d16468"]}],"mendeley":{"formattedCitation":"(Brox et al. 2016)","manualFormatting":" al. (2016)","plainTextFormattedCitation":"(Brox et al. 2016)","previouslyFormattedCitation":"(Brox et al. 2016)"},"properties":{"noteIndex":0},"schema":"https://github.com/citation-style-language/schema/raw/master/csl-citation.json"}</w:instrText>
      </w:r>
      <w:r w:rsidRPr="00240F51">
        <w:fldChar w:fldCharType="separate"/>
      </w:r>
      <w:bookmarkStart w:id="121" w:name="__Fieldmark__3085_422048926"/>
      <w:r w:rsidRPr="00240F51">
        <w:rPr>
          <w:noProof/>
          <w:lang w:eastAsia="de-DE"/>
        </w:rPr>
        <w:t xml:space="preserve"> </w:t>
      </w:r>
      <w:bookmarkStart w:id="122" w:name="__Fieldmark__6167_523164669"/>
      <w:r w:rsidRPr="00240F51">
        <w:rPr>
          <w:noProof/>
          <w:lang w:eastAsia="de-DE"/>
        </w:rPr>
        <w:t>al. (2016)</w:t>
      </w:r>
      <w:r w:rsidRPr="00240F51">
        <w:fldChar w:fldCharType="end"/>
      </w:r>
      <w:bookmarkEnd w:id="115"/>
      <w:bookmarkEnd w:id="116"/>
      <w:bookmarkEnd w:id="117"/>
      <w:bookmarkEnd w:id="118"/>
      <w:bookmarkEnd w:id="119"/>
      <w:bookmarkEnd w:id="120"/>
      <w:bookmarkEnd w:id="121"/>
      <w:bookmarkEnd w:id="122"/>
      <w:r w:rsidRPr="00240F51">
        <w:t xml:space="preserve"> showed that equilibrium concentration is reached after 72hrs of exposing valproate to zebrafish embryos (0-120 </w:t>
      </w:r>
      <w:proofErr w:type="spellStart"/>
      <w:r w:rsidRPr="00240F51">
        <w:t>hpf</w:t>
      </w:r>
      <w:proofErr w:type="spellEnd"/>
      <w:r w:rsidRPr="00240F51">
        <w:t xml:space="preserve"> exposure) and that it is possible that the elimination is complete at 6 days when behavior was measured in </w:t>
      </w:r>
      <w:proofErr w:type="spellStart"/>
      <w:r w:rsidRPr="00240F51">
        <w:t>Zellner</w:t>
      </w:r>
      <w:proofErr w:type="spellEnd"/>
      <w:r w:rsidRPr="00240F51">
        <w:t xml:space="preserve"> et al. (2011) - this might partly explain the results. Therefore, </w:t>
      </w:r>
      <w:r w:rsidRPr="00240F51">
        <w:rPr>
          <w:u w:val="single"/>
        </w:rPr>
        <w:t>exposure duration</w:t>
      </w:r>
      <w:r w:rsidRPr="00240F51">
        <w:t xml:space="preserve">, which might influence the </w:t>
      </w:r>
      <w:proofErr w:type="spellStart"/>
      <w:r w:rsidRPr="00240F51">
        <w:t>toxicokinetics</w:t>
      </w:r>
      <w:proofErr w:type="spellEnd"/>
      <w:r w:rsidRPr="00240F51">
        <w:t xml:space="preserve">, is a possible limiting factor for an adequate comparison. On the other hand, </w:t>
      </w:r>
      <w:proofErr w:type="spellStart"/>
      <w:r w:rsidRPr="00240F51">
        <w:t>hypoactivity</w:t>
      </w:r>
      <w:proofErr w:type="spellEnd"/>
      <w:r w:rsidRPr="00240F51">
        <w:t xml:space="preserve"> was mostly observed at high concentrations in seven studies. This suggests that valproate might act biphasic on behavior. Nonetheless, single </w:t>
      </w:r>
      <w:r w:rsidRPr="00240F51">
        <w:rPr>
          <w:u w:val="single"/>
        </w:rPr>
        <w:t xml:space="preserve">exposure </w:t>
      </w:r>
      <w:r w:rsidRPr="00240F51">
        <w:rPr>
          <w:u w:val="single"/>
        </w:rPr>
        <w:lastRenderedPageBreak/>
        <w:t>concentrations</w:t>
      </w:r>
      <w:r w:rsidRPr="00240F51">
        <w:t xml:space="preserve"> used in some studies (</w:t>
      </w:r>
      <w:proofErr w:type="spellStart"/>
      <w:r w:rsidRPr="00240F51">
        <w:t>eg</w:t>
      </w:r>
      <w:proofErr w:type="spellEnd"/>
      <w:r w:rsidRPr="00240F51">
        <w:t xml:space="preserve">. </w:t>
      </w:r>
      <w:proofErr w:type="spellStart"/>
      <w:r w:rsidRPr="00240F51">
        <w:t>Zellner</w:t>
      </w:r>
      <w:proofErr w:type="spellEnd"/>
      <w:r w:rsidRPr="00240F51">
        <w:t xml:space="preserve"> et al. 2011; Zimmermann et al. 2015) could cause a comparison bias.</w:t>
      </w:r>
    </w:p>
    <w:p w:rsidR="00B10798" w:rsidRPr="00240F51" w:rsidRDefault="00B10798" w:rsidP="00240F51">
      <w:pPr>
        <w:spacing w:after="0"/>
        <w:jc w:val="both"/>
      </w:pPr>
      <w:r>
        <w:rPr>
          <w:noProof/>
          <w:lang w:eastAsia="en-US"/>
        </w:rPr>
        <w:drawing>
          <wp:inline distT="0" distB="0" distL="0" distR="0">
            <wp:extent cx="5715000" cy="4762500"/>
            <wp:effectExtent l="0" t="0" r="0" b="0"/>
            <wp:docPr id="14" name="Picture 14" descr="C:\Users\ogungbem\Documents\Review data\Valproate b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gungbem\Documents\Review data\Valproate bar.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rsidR="00240F51" w:rsidRPr="00240F51" w:rsidRDefault="00240F51" w:rsidP="00240F51">
      <w:pPr>
        <w:spacing w:after="0"/>
        <w:jc w:val="both"/>
      </w:pPr>
    </w:p>
    <w:p w:rsidR="00240F51" w:rsidRPr="00240F51" w:rsidRDefault="00240F51" w:rsidP="00240F51">
      <w:pPr>
        <w:spacing w:after="0"/>
        <w:jc w:val="both"/>
        <w:rPr>
          <w:rFonts w:cs="Times New Roman"/>
          <w:b/>
          <w:color w:val="000000"/>
          <w:lang w:eastAsia="en-US"/>
        </w:rPr>
      </w:pPr>
    </w:p>
    <w:p w:rsidR="00240F51" w:rsidRPr="00240F51" w:rsidRDefault="00240F51" w:rsidP="00240F51">
      <w:pPr>
        <w:spacing w:after="0"/>
        <w:jc w:val="both"/>
        <w:rPr>
          <w:rFonts w:cs="Times New Roman"/>
          <w:b/>
          <w:color w:val="000000"/>
          <w:lang w:eastAsia="en-US"/>
        </w:rPr>
      </w:pPr>
    </w:p>
    <w:p w:rsidR="00240F51" w:rsidRPr="00240F51" w:rsidRDefault="00240F51" w:rsidP="00240F51">
      <w:pPr>
        <w:spacing w:after="0"/>
        <w:jc w:val="both"/>
        <w:rPr>
          <w:rFonts w:cs="Times New Roman"/>
          <w:b/>
          <w:color w:val="000000"/>
          <w:lang w:eastAsia="en-US"/>
        </w:rPr>
      </w:pPr>
    </w:p>
    <w:p w:rsidR="00240F51" w:rsidRPr="00240F51" w:rsidRDefault="00240F51" w:rsidP="00240F51">
      <w:pPr>
        <w:keepNext/>
        <w:numPr>
          <w:ilvl w:val="2"/>
          <w:numId w:val="2"/>
        </w:numPr>
        <w:spacing w:before="240" w:after="120"/>
        <w:outlineLvl w:val="2"/>
        <w:rPr>
          <w:rFonts w:eastAsia="Noto Sans CJK SC Regular" w:cs="Calibri"/>
          <w:b/>
        </w:rPr>
      </w:pPr>
      <w:r w:rsidRPr="00240F51">
        <w:rPr>
          <w:rFonts w:eastAsia="Noto Sans CJK SC Regular" w:cs="Calibri"/>
          <w:b/>
        </w:rPr>
        <w:t xml:space="preserve">Substances with a mode of action that does not allow anticipating hyper- or </w:t>
      </w:r>
      <w:proofErr w:type="spellStart"/>
      <w:r w:rsidRPr="00240F51">
        <w:rPr>
          <w:rFonts w:eastAsia="Noto Sans CJK SC Regular" w:cs="Calibri"/>
          <w:b/>
        </w:rPr>
        <w:t>hypoactivity</w:t>
      </w:r>
      <w:proofErr w:type="spellEnd"/>
      <w:r w:rsidRPr="00240F51">
        <w:rPr>
          <w:rFonts w:eastAsia="Noto Sans CJK SC Regular" w:cs="Calibri"/>
          <w:b/>
        </w:rPr>
        <w:t>.</w:t>
      </w:r>
    </w:p>
    <w:p w:rsidR="00240F51" w:rsidRPr="00240F51" w:rsidRDefault="00240F51" w:rsidP="00240F51">
      <w:pPr>
        <w:spacing w:after="0"/>
        <w:jc w:val="both"/>
        <w:rPr>
          <w:rFonts w:cs="Calibri"/>
          <w:b/>
        </w:rPr>
      </w:pPr>
    </w:p>
    <w:p w:rsidR="00240F51" w:rsidRPr="001125E2" w:rsidRDefault="00B10798" w:rsidP="00B10798">
      <w:pPr>
        <w:jc w:val="both"/>
        <w:rPr>
          <w:b/>
        </w:rPr>
      </w:pPr>
      <w:r w:rsidRPr="001125E2">
        <w:rPr>
          <w:b/>
        </w:rPr>
        <w:t xml:space="preserve">Acetaminophen </w:t>
      </w:r>
      <w:bookmarkStart w:id="123" w:name="_GoBack"/>
      <w:bookmarkEnd w:id="123"/>
    </w:p>
    <w:p w:rsidR="00240F51" w:rsidRDefault="00240F51" w:rsidP="00240F51">
      <w:pPr>
        <w:jc w:val="both"/>
      </w:pPr>
      <w:r w:rsidRPr="00240F51">
        <w:t xml:space="preserve">Acetaminophen is a cyclooxygenase inhibitor and an analgesic drug (www.drugbank.ca). Its expected activity in zebrafish embryo based on this mode of action is not clear. Nine studies were compared. All studies considered did not report an effect except the </w:t>
      </w:r>
      <w:proofErr w:type="spellStart"/>
      <w:r w:rsidRPr="00240F51">
        <w:t>hypoactivity</w:t>
      </w:r>
      <w:proofErr w:type="spellEnd"/>
      <w:r w:rsidRPr="00240F51">
        <w:t xml:space="preserve"> effect [66.2 - 6620µM] reported in the LMR study by </w:t>
      </w:r>
      <w:r w:rsidRPr="00240F51">
        <w:rPr>
          <w:lang w:eastAsia="de-DE"/>
        </w:rPr>
        <w:t>R</w:t>
      </w:r>
      <w:bookmarkStart w:id="124" w:name="__Fieldmark__3039_1441573696"/>
      <w:r w:rsidRPr="00240F51">
        <w:rPr>
          <w:lang w:eastAsia="de-DE"/>
        </w:rPr>
        <w:t>e</w:t>
      </w:r>
      <w:bookmarkStart w:id="125" w:name="__Fieldmark__2602_1142328233"/>
      <w:r w:rsidRPr="00240F51">
        <w:rPr>
          <w:lang w:eastAsia="de-DE"/>
        </w:rPr>
        <w:t>u</w:t>
      </w:r>
      <w:bookmarkStart w:id="126" w:name="__Fieldmark__8974_1894120582"/>
      <w:r w:rsidRPr="00240F51">
        <w:rPr>
          <w:lang w:eastAsia="de-DE"/>
        </w:rPr>
        <w:t>t</w:t>
      </w:r>
      <w:bookmarkStart w:id="127" w:name="__Fieldmark__1886_1894120582"/>
      <w:r w:rsidRPr="00240F51">
        <w:rPr>
          <w:lang w:eastAsia="de-DE"/>
        </w:rPr>
        <w:t>e</w:t>
      </w:r>
      <w:bookmarkStart w:id="128" w:name="__Fieldmark__1520_945872730"/>
      <w:r w:rsidRPr="00240F51">
        <w:rPr>
          <w:lang w:eastAsia="de-DE"/>
        </w:rPr>
        <w:t>r</w:t>
      </w:r>
      <w:bookmarkStart w:id="129" w:name="__Fieldmark__1200_376982467"/>
      <w:r w:rsidRPr="00240F51">
        <w:rPr>
          <w:lang w:eastAsia="de-DE"/>
        </w:rPr>
        <w:t xml:space="preserve"> </w:t>
      </w:r>
      <w:r w:rsidRPr="00240F51">
        <w:fldChar w:fldCharType="begin" w:fldLock="1"/>
      </w:r>
      <w:r w:rsidRPr="00240F51">
        <w:instrText>ADDIN CSL_CITATION {"citationItems":[{"id":"ITEM-1","itemData":{"DOI":"10.1007/s00702-016-1556-z","abstract":"First line pain relief medication during pregnancy relies nearly entirely on the over-the-counter analgesic acetaminophen, which is generally considered safe to use during gestation. However, recent epidemiological studies suggest a risk of developing attention-deficit/hy-peractivity disorder (ADHD)-like symptoms in children if mothers use acetaminophen during pregnancy. Currently, there are no experimental proofs that prenatal acet-aminophen exposure causes developmental brain alterations of progeny. Exposure to high acetaminophen concentrations causes liver toxicity, which is well investigated in different model organisms. However, sub-liver-toxic concentrations have not been experimentally investigated with respect to ADHD endophenotypes such as hyperactivity. We used zebrafish to investigate the potential impact of acet-aminophen exposure on locomotor activity levels, and compared it to the established zebrafish Latrophilin 3 (Lphn3) ADHD-model. We determined the sub-liver-toxic concentration of acetaminophen in zebrafish larvae and treated wild-type and lphn3.1 knockdown larvae with increasing concentrations of acetaminophen. We were able to confirm that lphn3.1 knockdown alone causes hyperac-tivity, strengthening the implication of Lphn3 dysfunction as an ADHD risk factor. Neither acute nor chronic exposure to acetaminophen at sub-liver-toxic concentrations in wild-type or lphn3.1 knock-downs increases locomotor activity levels. Together our findings show that embryonic to larval exposure to acetaminophen does not cause hyperactivity in zebrafish larvae. Furthermore, there are no additive and/or synergistic effects of acetaminophen exposure in a susceptible background induced by knock-down of lphn3.1. Our experimental study suggests that there is, at least in zebrafish larvae, no direct link between embryonic acet-aminophen exposure and hyperactivity. Further work is necessary to clarify this issue in humans.","author":[{"dropping-particle":"","family":"Reuter","given":"Isabel","non-dropping-particle":"","parse-names":false,"suffix":""},{"dropping-particle":"","family":"Knaup","given":"Sabine","non-dropping-particle":"","parse-names":false,"suffix":""},{"dropping-particle":"","family":"Romanos","given":"• Marcel","non-dropping-particle":"","parse-names":false,"suffix":""},{"dropping-particle":"","family":"Lesch","given":"Klaus-Peter","non-dropping-particle":"","parse-names":false,"suffix":""},{"dropping-particle":"","family":"Drepper","given":"• Carsten","non-dropping-particle":"","parse-names":false,"suffix":""},{"dropping-particle":"","family":"Lillesaar","given":"Christina","non-dropping-particle":"","parse-names":false,"suffix":""}],"id":"ITEM-1","issued":{"date-parts":[["2016"]]},"title":"Developmental exposure to acetaminophen does not induce hyperactivity in zebrafish larvae","type":"report"},"uris":["http://www.mendeley.com/documents/?uuid=4207213b-7bf6-39fe-8a80-520027c4c7a8"]}],"mendeley":{"formattedCitation":"(Reuter et al. 2016)","manualFormatting":"et al. (2016)","plainTextFormattedCitation":"(Reuter et al. 2016)","previouslyFormattedCitation":"(Reuter et al. 2016)"},"properties":{"noteIndex":0},"schema":"https://github.com/citation-style-language/schema/raw/master/csl-citation.json"}</w:instrText>
      </w:r>
      <w:r w:rsidRPr="00240F51">
        <w:fldChar w:fldCharType="separate"/>
      </w:r>
      <w:bookmarkStart w:id="130" w:name="__Fieldmark__3132_422048926"/>
      <w:r w:rsidRPr="00240F51">
        <w:rPr>
          <w:noProof/>
          <w:lang w:eastAsia="de-DE"/>
        </w:rPr>
        <w:t>e</w:t>
      </w:r>
      <w:bookmarkStart w:id="131" w:name="__Fieldmark__6246_523164669"/>
      <w:r w:rsidRPr="00240F51">
        <w:rPr>
          <w:noProof/>
          <w:lang w:eastAsia="de-DE"/>
        </w:rPr>
        <w:t>t al. (2016)</w:t>
      </w:r>
      <w:r w:rsidRPr="00240F51">
        <w:fldChar w:fldCharType="end"/>
      </w:r>
      <w:bookmarkEnd w:id="124"/>
      <w:bookmarkEnd w:id="125"/>
      <w:bookmarkEnd w:id="126"/>
      <w:bookmarkEnd w:id="127"/>
      <w:bookmarkEnd w:id="128"/>
      <w:bookmarkEnd w:id="129"/>
      <w:bookmarkEnd w:id="130"/>
      <w:bookmarkEnd w:id="131"/>
      <w:r w:rsidRPr="00240F51">
        <w:t xml:space="preserve">. This study is the only one that utilized a combination of higher </w:t>
      </w:r>
      <w:r w:rsidRPr="00240F51">
        <w:rPr>
          <w:u w:val="single"/>
        </w:rPr>
        <w:t>developmental stages</w:t>
      </w:r>
      <w:r w:rsidRPr="00240F51">
        <w:t xml:space="preserve"> (144hpf) and short </w:t>
      </w:r>
      <w:r w:rsidRPr="00240F51">
        <w:rPr>
          <w:u w:val="single"/>
        </w:rPr>
        <w:t>exposure duration</w:t>
      </w:r>
      <w:r w:rsidRPr="00240F51">
        <w:t xml:space="preserve"> (2 h). This could indicate the lack of target receptors at lower developmental stages. Additionally, LC</w:t>
      </w:r>
      <w:r w:rsidRPr="00240F51">
        <w:rPr>
          <w:vertAlign w:val="subscript"/>
        </w:rPr>
        <w:t>50</w:t>
      </w:r>
      <w:r w:rsidRPr="00240F51">
        <w:t xml:space="preserve">s of 10120, 9920, 7870 and 3710 µm at 24, </w:t>
      </w:r>
      <w:r w:rsidRPr="00240F51">
        <w:lastRenderedPageBreak/>
        <w:t xml:space="preserve">48, 72 and 144 </w:t>
      </w:r>
      <w:proofErr w:type="spellStart"/>
      <w:proofErr w:type="gramStart"/>
      <w:r w:rsidRPr="00240F51">
        <w:t>hpf</w:t>
      </w:r>
      <w:proofErr w:type="spellEnd"/>
      <w:proofErr w:type="gramEnd"/>
      <w:r w:rsidRPr="00240F51">
        <w:t xml:space="preserve"> respectively were reported for acetaminophen (</w:t>
      </w:r>
      <w:proofErr w:type="spellStart"/>
      <w:r w:rsidRPr="00240F51">
        <w:t>Selderslaghs</w:t>
      </w:r>
      <w:proofErr w:type="spellEnd"/>
      <w:r w:rsidRPr="00240F51">
        <w:t xml:space="preserve"> et al 2012). Hence, it is possible that the </w:t>
      </w:r>
      <w:r w:rsidRPr="00240F51">
        <w:rPr>
          <w:u w:val="single"/>
        </w:rPr>
        <w:t>exposure concentration</w:t>
      </w:r>
      <w:r w:rsidRPr="00240F51">
        <w:t xml:space="preserve"> and hence, the internal concentration in the other studies may be excessively below the effective range of acetaminophen. </w:t>
      </w:r>
    </w:p>
    <w:p w:rsidR="00B10798" w:rsidRPr="00240F51" w:rsidRDefault="00B10798" w:rsidP="00240F51">
      <w:pPr>
        <w:jc w:val="both"/>
      </w:pPr>
      <w:r>
        <w:rPr>
          <w:noProof/>
          <w:lang w:eastAsia="en-US"/>
        </w:rPr>
        <w:drawing>
          <wp:inline distT="0" distB="0" distL="0" distR="0">
            <wp:extent cx="5943600" cy="4245429"/>
            <wp:effectExtent l="0" t="0" r="0" b="3175"/>
            <wp:docPr id="15" name="Picture 15" descr="C:\Users\ogungbem\Documents\Review data\Acetaminophen b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gungbem\Documents\Review data\Acetaminophen bar.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245429"/>
                    </a:xfrm>
                    <a:prstGeom prst="rect">
                      <a:avLst/>
                    </a:prstGeom>
                    <a:noFill/>
                    <a:ln>
                      <a:noFill/>
                    </a:ln>
                  </pic:spPr>
                </pic:pic>
              </a:graphicData>
            </a:graphic>
          </wp:inline>
        </w:drawing>
      </w:r>
    </w:p>
    <w:p w:rsidR="00240F51" w:rsidRPr="00240F51" w:rsidRDefault="00240F51" w:rsidP="00240F51">
      <w:pPr>
        <w:spacing w:after="0"/>
        <w:jc w:val="both"/>
      </w:pPr>
    </w:p>
    <w:p w:rsidR="00240F51" w:rsidRPr="001125E2" w:rsidRDefault="00240F51" w:rsidP="00B10798">
      <w:pPr>
        <w:jc w:val="both"/>
        <w:rPr>
          <w:b/>
        </w:rPr>
      </w:pPr>
      <w:r w:rsidRPr="001125E2">
        <w:rPr>
          <w:b/>
        </w:rPr>
        <w:t>Haloperidol</w:t>
      </w:r>
    </w:p>
    <w:p w:rsidR="00240F51" w:rsidRDefault="00240F51" w:rsidP="00240F51">
      <w:pPr>
        <w:jc w:val="both"/>
      </w:pPr>
      <w:bookmarkStart w:id="132" w:name="__DdeLink__5827_1894120582"/>
      <w:r w:rsidRPr="00240F51">
        <w:t>Haloperidol</w:t>
      </w:r>
      <w:bookmarkEnd w:id="132"/>
      <w:r w:rsidRPr="00240F51">
        <w:t xml:space="preserve"> is -beside other uses- an antipsychotic drug acting as a dopamine receptor antagonist and its expected activity in zebrafish embryo based on this mode of action is not clear. Based on known side effects in humans (</w:t>
      </w:r>
      <w:hyperlink r:id="rId22">
        <w:r w:rsidRPr="00240F51">
          <w:rPr>
            <w:color w:val="000080"/>
            <w:u w:val="single"/>
          </w:rPr>
          <w:t>www.drugbank.ca</w:t>
        </w:r>
      </w:hyperlink>
      <w:r w:rsidRPr="00240F51">
        <w:t xml:space="preserve">) both hypo- and hyper-activity could be expected. Five studies were compared. The LMR study by </w:t>
      </w:r>
      <w:r w:rsidRPr="00240F51">
        <w:rPr>
          <w:lang w:eastAsia="de-DE"/>
        </w:rPr>
        <w:t>G</w:t>
      </w:r>
      <w:bookmarkStart w:id="133" w:name="__Fieldmark__3087_1441573696"/>
      <w:r w:rsidRPr="00240F51">
        <w:rPr>
          <w:lang w:eastAsia="de-DE"/>
        </w:rPr>
        <w:t>i</w:t>
      </w:r>
      <w:bookmarkStart w:id="134" w:name="__Fieldmark__2648_1142328233"/>
      <w:r w:rsidRPr="00240F51">
        <w:rPr>
          <w:lang w:eastAsia="de-DE"/>
        </w:rPr>
        <w:t>a</w:t>
      </w:r>
      <w:bookmarkStart w:id="135" w:name="__Fieldmark__9016_1894120582"/>
      <w:r w:rsidRPr="00240F51">
        <w:rPr>
          <w:lang w:eastAsia="de-DE"/>
        </w:rPr>
        <w:t>c</w:t>
      </w:r>
      <w:bookmarkStart w:id="136" w:name="__Fieldmark__1910_1894120582"/>
      <w:r w:rsidRPr="00240F51">
        <w:rPr>
          <w:lang w:eastAsia="de-DE"/>
        </w:rPr>
        <w:t>o</w:t>
      </w:r>
      <w:bookmarkStart w:id="137" w:name="__Fieldmark__1540_945872730"/>
      <w:r w:rsidRPr="00240F51">
        <w:rPr>
          <w:lang w:eastAsia="de-DE"/>
        </w:rPr>
        <w:t>m</w:t>
      </w:r>
      <w:bookmarkStart w:id="138" w:name="__Fieldmark__1216_376982467"/>
      <w:r w:rsidRPr="00240F51">
        <w:rPr>
          <w:lang w:eastAsia="de-DE"/>
        </w:rPr>
        <w:t>i</w:t>
      </w:r>
      <w:r w:rsidRPr="00240F51">
        <w:fldChar w:fldCharType="begin" w:fldLock="1"/>
      </w:r>
      <w:r w:rsidRPr="00240F51">
        <w:instrText>ADDIN CSL_CITATION {"citationItems":[{"id":"ITEM-1","itemData":{"DOI":"10.1016/j.ntt.2006.01.013","ISBN":"0892-0362 (Print)","ISSN":"08920362","PMID":"16527449","abstract":"Zebrafish has been a favored vertebrate genetic model organism for studying developmental processes. It also holds a great potential for understanding the genetic basis of behavior and associated behavioral disorders. Despite such potential, their use in the study of behavior is greatly under-explored. It is well known that multiple classes of drugs used to treat psychiatric diseases produce extrapyramidal side (EPS) effects and consequent movement disorders in humans. The underlying molecular causes of these drug-induced movement disorders are poorly understood. Here we report that zebrafish treated with the antipsychotics fluphenazine and haloperidol (both of which can induce severe EPS in humans) develop movement defects. In contrast, another antipsychotic olanzapine, which produces mild to little EPS in humans, leads to minimal movement defects in zebrafish. These results establish a rapid assay system in which the effects of EPS-inducing agents can be assessed. Thus, future genetic screening in zebrafish shall identify genes and pathways that elucidate drug-induced movement disorder in human as well as provide insights into the brain control of locomotor activity. Future chemical screening in zebrafish may act as a preclinical test for the EPS effect of certain drugs, as well as a test used to researching drugs made to counteract the effects of EPS. © 2006 Elsevier Inc. All rights reserved.","author":[{"dropping-particle":"","family":"Giacomini","given":"Nicholas J.","non-dropping-particle":"","parse-names":false,"suffix":""},{"dropping-particle":"","family":"Rose","given":"Brian","non-dropping-particle":"","parse-names":false,"suffix":""},{"dropping-particle":"","family":"Kobayashi","given":"Kayta","non-dropping-particle":"","parse-names":false,"suffix":""},{"dropping-particle":"","family":"Guo","given":"Su","non-dropping-particle":"","parse-names":false,"suffix":""}],"container-title":"Neurotoxicology and Teratology","id":"ITEM-1","issue":"2","issued":{"date-parts":[["2006"]]},"page":"245-250","title":"Antipsychotics produce locomotor impairment in larval zebrafish","type":"article-journal","volume":"28"},"uris":["http://www.mendeley.com/documents/?uuid=f8371cab-b2a4-4afb-8b70-048cc14f5778"]}],"mendeley":{"formattedCitation":"(Giacomini et al. 2006)","manualFormatting":"ni et al. (2006)","plainTextFormattedCitation":"(Giacomini et al. 2006)","previouslyFormattedCitation":"(Giacomini et al. 2006)"},"properties":{"noteIndex":0},"schema":"https://github.com/citation-style-language/schema/raw/master/csl-citation.json"}</w:instrText>
      </w:r>
      <w:r w:rsidRPr="00240F51">
        <w:fldChar w:fldCharType="separate"/>
      </w:r>
      <w:bookmarkStart w:id="139" w:name="__Fieldmark__3179_422048926"/>
      <w:r w:rsidRPr="00240F51">
        <w:rPr>
          <w:noProof/>
          <w:lang w:eastAsia="de-DE"/>
        </w:rPr>
        <w:t>n</w:t>
      </w:r>
      <w:bookmarkStart w:id="140" w:name="__Fieldmark__6319_523164669"/>
      <w:r w:rsidRPr="00240F51">
        <w:rPr>
          <w:noProof/>
          <w:lang w:eastAsia="de-DE"/>
        </w:rPr>
        <w:t>i et al. (2006)</w:t>
      </w:r>
      <w:r w:rsidRPr="00240F51">
        <w:fldChar w:fldCharType="end"/>
      </w:r>
      <w:bookmarkEnd w:id="133"/>
      <w:bookmarkEnd w:id="134"/>
      <w:bookmarkEnd w:id="135"/>
      <w:bookmarkEnd w:id="136"/>
      <w:bookmarkEnd w:id="137"/>
      <w:bookmarkEnd w:id="138"/>
      <w:bookmarkEnd w:id="139"/>
      <w:bookmarkEnd w:id="140"/>
      <w:r w:rsidRPr="00240F51">
        <w:t xml:space="preserve"> reported </w:t>
      </w:r>
      <w:proofErr w:type="spellStart"/>
      <w:r w:rsidRPr="00240F51">
        <w:t>hypoactivity</w:t>
      </w:r>
      <w:proofErr w:type="spellEnd"/>
      <w:r w:rsidRPr="00240F51">
        <w:t xml:space="preserve"> while the LMR-L/D study by </w:t>
      </w:r>
      <w:r w:rsidRPr="00240F51">
        <w:rPr>
          <w:lang w:eastAsia="de-DE"/>
        </w:rPr>
        <w:t>I</w:t>
      </w:r>
      <w:bookmarkStart w:id="141" w:name="__Fieldmark__3114_1441573696"/>
      <w:r w:rsidRPr="00240F51">
        <w:rPr>
          <w:lang w:eastAsia="de-DE"/>
        </w:rPr>
        <w:t>r</w:t>
      </w:r>
      <w:bookmarkStart w:id="142" w:name="__Fieldmark__2671_1142328233"/>
      <w:r w:rsidRPr="00240F51">
        <w:rPr>
          <w:lang w:eastAsia="de-DE"/>
        </w:rPr>
        <w:t>o</w:t>
      </w:r>
      <w:bookmarkStart w:id="143" w:name="__Fieldmark__9035_1894120582"/>
      <w:r w:rsidRPr="00240F51">
        <w:rPr>
          <w:lang w:eastAsia="de-DE"/>
        </w:rPr>
        <w:t>n</w:t>
      </w:r>
      <w:bookmarkStart w:id="144" w:name="__Fieldmark__1925_1894120582"/>
      <w:r w:rsidRPr="00240F51">
        <w:rPr>
          <w:lang w:eastAsia="de-DE"/>
        </w:rPr>
        <w:t>s</w:t>
      </w:r>
      <w:bookmarkStart w:id="145" w:name="__Fieldmark__1551_945872730"/>
      <w:r w:rsidRPr="00240F51">
        <w:rPr>
          <w:lang w:eastAsia="de-DE"/>
        </w:rPr>
        <w:t xml:space="preserve"> </w:t>
      </w:r>
      <w:bookmarkStart w:id="146" w:name="__Fieldmark__1223_376982467"/>
      <w:r w:rsidRPr="00240F51">
        <w:rPr>
          <w:lang w:eastAsia="de-DE"/>
        </w:rPr>
        <w:t>e</w:t>
      </w:r>
      <w:r w:rsidRPr="00240F51">
        <w:fldChar w:fldCharType="begin" w:fldLock="1"/>
      </w:r>
      <w:r w:rsidRPr="00240F51">
        <w:instrText>ADDIN CSL_CITATION {"citationItems":[{"id":"ITEM-1","itemData":{"DOI":"10.1016/j.pbb.2012.12.010","abstract":"Altered dopaminergic signaling causes behavioral changes in mammals. In general, dopaminergic receptor agonists increase locomotor activity, while antagonists decrease locomotor activity. In order to determine if zebrafish (a model organism becoming popular in pharmacology and toxicology) respond similarly, the acute effects of drugs known to target dopaminergic receptors in mammals were assessed in zebrafish larvae. Larvae were maintained in 96-well microtiter plates (1 larva/well). Non-lethal concentrations (0.2-50 µM) of dopaminergic agonists (apomorphine, SKF-38393, and quinpirole) and antagonists (butaclamol, SCH-23390, and haloperidol) were administered at 6 days post-fertilization (dpf). An initial experiment identified the time of peak effect of each drug (20-260 minutes post-dosing, depending on the drug). Locomotor activity was then assessed for 70 minutes in alternating light and dark at the time of peak effect for each drug to delineate dose-dependent effects. All drugs altered larval locomotion in a dose-dependent manner. Both the D1-and D2-like selective agonists (SKF-38393 and quinpirole, respectively) increased activity, while the selective antagonists (SCH-23390 and haloperidol, respectively) decreased activity. Both selective antagonists also blunted the response of the larvae to changes in lighting conditions at higher doses. The nonselective drugs had biphasic effects on locomotor activity: apomorphine increased activity at the low dose and at high doses, while butaclamol increased activity at low to intermediate doses, and decreased activity at high doses. This study demonstrates that (1) larval zebrafish locomotion can be altered by dopamine receptor agonists and antagonists, (2) receptor agonists and antagonists generally have opposite effects, and (3) drugs that target dopaminergic receptors in mammals appear, in general, to elicit similar locomotor responses in zebrafish larvae.","author":[{"dropping-particle":"","family":"Irons","given":"T D","non-dropping-particle":"","parse-names":false,"suffix":""},{"dropping-particle":"","family":"Kelly","given":"P","non-dropping-particle":"","parse-names":false,"suffix":""},{"dropping-particle":"","family":"Hunter","given":"D L","non-dropping-particle":"","parse-names":false,"suffix":""},{"dropping-particle":"","family":"Macphail","given":"R C","non-dropping-particle":"","parse-names":false,"suffix":""},{"dropping-particle":"","family":"Padilla","given":"S","non-dropping-particle":"","parse-names":false,"suffix":""},{"dropping-particle":"","family":"Biochem","given":"Pharmacol","non-dropping-particle":"","parse-names":false,"suffix":""},{"dropping-particle":"","family":"Author","given":"Behav","non-dropping-particle":"","parse-names":false,"suffix":""}],"container-title":"Terra.Irons@va.gov. Pharmacol Biochem Behav","id":"ITEM-1","issue":"4","issued":{"date-parts":[["2013"]]},"page":"792-813","title":"Acute Administration of Dopaminergic Drugs has Differential Effects on Locomotion in Larval Zebrafish","type":"article-journal","volume":"103"},"uris":["http://www.mendeley.com/documents/?uuid=716ee319-8f7f-3bd0-98a9-a62326a6cf0c"]}],"mendeley":{"formattedCitation":"(Irons et al. 2013)","manualFormatting":"t al. (2013)","plainTextFormattedCitation":"(Irons et al. 2013)","previouslyFormattedCitation":"(Irons et al. 2013)"},"properties":{"noteIndex":0},"schema":"https://github.com/citation-style-language/schema/raw/master/csl-citation.json"}</w:instrText>
      </w:r>
      <w:r w:rsidRPr="00240F51">
        <w:fldChar w:fldCharType="separate"/>
      </w:r>
      <w:bookmarkStart w:id="147" w:name="__Fieldmark__3205_422048926"/>
      <w:r w:rsidRPr="00240F51">
        <w:rPr>
          <w:noProof/>
          <w:lang w:eastAsia="de-DE"/>
        </w:rPr>
        <w:t>t</w:t>
      </w:r>
      <w:bookmarkStart w:id="148" w:name="__Fieldmark__6357_523164669"/>
      <w:r w:rsidRPr="00240F51">
        <w:rPr>
          <w:noProof/>
          <w:lang w:eastAsia="de-DE"/>
        </w:rPr>
        <w:t xml:space="preserve"> al. (2013)</w:t>
      </w:r>
      <w:r w:rsidRPr="00240F51">
        <w:fldChar w:fldCharType="end"/>
      </w:r>
      <w:bookmarkEnd w:id="141"/>
      <w:bookmarkEnd w:id="142"/>
      <w:bookmarkEnd w:id="143"/>
      <w:bookmarkEnd w:id="144"/>
      <w:bookmarkEnd w:id="145"/>
      <w:bookmarkEnd w:id="146"/>
      <w:bookmarkEnd w:id="147"/>
      <w:bookmarkEnd w:id="148"/>
      <w:r w:rsidRPr="00240F51">
        <w:t xml:space="preserve"> reported a biphasic activity. The former study used only one </w:t>
      </w:r>
      <w:r w:rsidRPr="00240F51">
        <w:rPr>
          <w:u w:val="single"/>
        </w:rPr>
        <w:t>exposure concentration</w:t>
      </w:r>
      <w:r w:rsidRPr="00240F51">
        <w:t xml:space="preserve"> and swimming speed was the </w:t>
      </w:r>
      <w:r w:rsidRPr="00240F51">
        <w:rPr>
          <w:u w:val="single"/>
        </w:rPr>
        <w:t>endpoint parameter</w:t>
      </w:r>
      <w:r w:rsidRPr="00240F51">
        <w:t xml:space="preserve">. This does not allow appropriate comparison with the latter study which assessed distance moved. </w:t>
      </w:r>
      <w:proofErr w:type="spellStart"/>
      <w:r w:rsidRPr="00240F51">
        <w:t>Oliveri</w:t>
      </w:r>
      <w:proofErr w:type="spellEnd"/>
      <w:r w:rsidRPr="00240F51">
        <w:t xml:space="preserve"> and Levin (2019) compared 2 different </w:t>
      </w:r>
      <w:r w:rsidRPr="00240F51">
        <w:rPr>
          <w:u w:val="single"/>
        </w:rPr>
        <w:t>zebrafish strains</w:t>
      </w:r>
      <w:r w:rsidRPr="00240F51">
        <w:t xml:space="preserve"> (AB and 5D) and found hyperactivity effect for the 5D strain only. Furthermore, the PMR study by </w:t>
      </w:r>
      <w:proofErr w:type="spellStart"/>
      <w:r w:rsidRPr="00240F51">
        <w:t>Reif</w:t>
      </w:r>
      <w:proofErr w:type="spellEnd"/>
      <w:r w:rsidRPr="00240F51">
        <w:t xml:space="preserve"> et al. (2016) did not report any effect and this is probably due to basic differences in exposure design, especially </w:t>
      </w:r>
      <w:r w:rsidRPr="00240F51">
        <w:rPr>
          <w:u w:val="single"/>
        </w:rPr>
        <w:t>developmental stage</w:t>
      </w:r>
      <w:r w:rsidRPr="00240F51">
        <w:t xml:space="preserve"> at exposure initiation. </w:t>
      </w:r>
    </w:p>
    <w:p w:rsidR="00B10798" w:rsidRPr="00240F51" w:rsidRDefault="00B10798" w:rsidP="00240F51">
      <w:pPr>
        <w:jc w:val="both"/>
      </w:pPr>
      <w:r>
        <w:rPr>
          <w:noProof/>
          <w:lang w:eastAsia="en-US"/>
        </w:rPr>
        <w:lastRenderedPageBreak/>
        <w:drawing>
          <wp:inline distT="0" distB="0" distL="0" distR="0">
            <wp:extent cx="5715000" cy="4762500"/>
            <wp:effectExtent l="0" t="0" r="0" b="0"/>
            <wp:docPr id="16" name="Picture 16" descr="C:\Users\ogungbem\Documents\Review data\Haloperidol b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gungbem\Documents\Review data\Haloperidol bar.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rsidR="00240F51" w:rsidRPr="00240F51" w:rsidRDefault="00240F51" w:rsidP="00240F51">
      <w:pPr>
        <w:jc w:val="both"/>
      </w:pPr>
    </w:p>
    <w:p w:rsidR="00240F51" w:rsidRPr="001125E2" w:rsidRDefault="00240F51" w:rsidP="00B10798">
      <w:pPr>
        <w:jc w:val="both"/>
        <w:rPr>
          <w:b/>
        </w:rPr>
      </w:pPr>
      <w:proofErr w:type="spellStart"/>
      <w:r w:rsidRPr="001125E2">
        <w:rPr>
          <w:b/>
        </w:rPr>
        <w:t>Methimazole</w:t>
      </w:r>
      <w:proofErr w:type="spellEnd"/>
    </w:p>
    <w:p w:rsidR="00240F51" w:rsidRDefault="00240F51" w:rsidP="00240F51">
      <w:pPr>
        <w:jc w:val="both"/>
      </w:pPr>
      <w:proofErr w:type="spellStart"/>
      <w:r w:rsidRPr="00240F51">
        <w:t>Methimazole</w:t>
      </w:r>
      <w:proofErr w:type="spellEnd"/>
      <w:r w:rsidRPr="00240F51">
        <w:t xml:space="preserve"> is an </w:t>
      </w:r>
      <w:proofErr w:type="spellStart"/>
      <w:r w:rsidRPr="00240F51">
        <w:t>antithyroid</w:t>
      </w:r>
      <w:proofErr w:type="spellEnd"/>
      <w:r w:rsidRPr="00240F51">
        <w:t xml:space="preserve"> drug that </w:t>
      </w:r>
      <w:r w:rsidRPr="00240F51">
        <w:rPr>
          <w:rFonts w:cs="Helvetica;Arial"/>
          <w:color w:val="192027"/>
          <w:highlight w:val="white"/>
        </w:rPr>
        <w:t>inhibits the conversion of iodide to iodine</w:t>
      </w:r>
      <w:r w:rsidRPr="00240F51">
        <w:rPr>
          <w:rFonts w:cs="Helvetica;Arial"/>
          <w:color w:val="192027"/>
        </w:rPr>
        <w:t xml:space="preserve"> </w:t>
      </w:r>
      <w:r w:rsidRPr="00240F51">
        <w:t xml:space="preserve">(www.drugbank.ca). Its expected activity in zebrafish embryo based on this mode of action is not clear. Four studies were compared. </w:t>
      </w:r>
      <w:proofErr w:type="spellStart"/>
      <w:r w:rsidRPr="00240F51">
        <w:t>Methimazole</w:t>
      </w:r>
      <w:proofErr w:type="spellEnd"/>
      <w:r w:rsidRPr="00240F51">
        <w:t xml:space="preserve"> shows </w:t>
      </w:r>
      <w:proofErr w:type="spellStart"/>
      <w:r w:rsidRPr="00240F51">
        <w:t>hypoactivity</w:t>
      </w:r>
      <w:proofErr w:type="spellEnd"/>
      <w:r w:rsidRPr="00240F51">
        <w:t xml:space="preserve"> effect in only the long duration studies; LMR study by </w:t>
      </w:r>
      <w:proofErr w:type="spellStart"/>
      <w:r w:rsidRPr="00240F51">
        <w:rPr>
          <w:lang w:eastAsia="de-DE"/>
        </w:rPr>
        <w:t>S</w:t>
      </w:r>
      <w:bookmarkStart w:id="149" w:name="__Fieldmark__3152_1441573696"/>
      <w:r w:rsidRPr="00240F51">
        <w:rPr>
          <w:lang w:eastAsia="de-DE"/>
        </w:rPr>
        <w:t>e</w:t>
      </w:r>
      <w:bookmarkStart w:id="150" w:name="__Fieldmark__2705_1142328233"/>
      <w:r w:rsidRPr="00240F51">
        <w:rPr>
          <w:lang w:eastAsia="de-DE"/>
        </w:rPr>
        <w:t>l</w:t>
      </w:r>
      <w:bookmarkStart w:id="151" w:name="__Fieldmark__9065_1894120582"/>
      <w:r w:rsidRPr="00240F51">
        <w:rPr>
          <w:lang w:eastAsia="de-DE"/>
        </w:rPr>
        <w:t>d</w:t>
      </w:r>
      <w:bookmarkStart w:id="152" w:name="__Fieldmark__1951_1894120582"/>
      <w:r w:rsidRPr="00240F51">
        <w:rPr>
          <w:lang w:eastAsia="de-DE"/>
        </w:rPr>
        <w:t>e</w:t>
      </w:r>
      <w:bookmarkStart w:id="153" w:name="__Fieldmark__1573_945872730"/>
      <w:r w:rsidRPr="00240F51">
        <w:rPr>
          <w:lang w:eastAsia="de-DE"/>
        </w:rPr>
        <w:t>r</w:t>
      </w:r>
      <w:bookmarkStart w:id="154" w:name="__Fieldmark__1241_376982467"/>
      <w:r w:rsidRPr="00240F51">
        <w:rPr>
          <w:lang w:eastAsia="de-DE"/>
        </w:rPr>
        <w:t>s</w:t>
      </w:r>
      <w:r w:rsidRPr="00240F51">
        <w:fldChar w:fldCharType="begin" w:fldLock="1"/>
      </w:r>
      <w:r w:rsidRPr="00240F51">
        <w:instrText>ADDIN CSL_CITATION {"citationItems":[{"id":"ITEM-1","itemData":{"DOI":"10.1016/j.ntt.2013.01.003","ISBN":"0892-0362","ISSN":"08920362","PMID":"23357511","abstract":"The developmental neurotoxic potential of the majority of environmental chemicals and drugs is currently undetermined. Specific in vivo studies provide useful data for hazard assessment but are not amenable to screen thousands of untested compounds. In this study, methods which use zebrafish embryos, eleutheroembryos and larvae as model organisms, were proposed as alternatives for developmental neurotoxicity (DNT) testing. The evaluation of spontaneous tail coilings in zebrafish embryos aged 24-26. hours post fertilization (hpf) and the swimming activity of eleutheroembryos at 120 and larvae at 144. hpf, i.e. parameters for locomotor activity, were investigated as potential endpoints for DNT testing, according to available standard protocols. The overall performance and predictive value of these methods was then examined by testing a training set of 10 compounds, including known developmental neurotoxicants and compounds not considered to be neurotoxic. The classification of the selected compounds as either neurotoxic or non-neurotoxic, based on the effects observed in zebrafish embryos and larvae, was compared to available mammalian data and an overall concordance of 90% was achieved. Furthermore, the specificity of the selected endpoints for DNT was evaluated as well as the potential similarities between zebrafish and mammals with regard to mechanisms of action for the selected compounds. Although further studies, including the screening of a large testing set of compounds are required, we suggest that the proposed methods with zebrafish embryos and larvae might be valuable alternatives for animal testing for the screening and prioritization of compounds for DNT. © 2013 Elsevier Inc.","author":[{"dropping-particle":"","family":"Selderslaghs","given":"Ingrid W.T.","non-dropping-particle":"","parse-names":false,"suffix":""},{"dropping-particle":"","family":"Hooyberghs","given":"Jef","non-dropping-particle":"","parse-names":false,"suffix":""},{"dropping-particle":"","family":"Blust","given":"Ronny","non-dropping-particle":"","parse-names":false,"suffix":""},{"dropping-particle":"","family":"Witters","given":"Hilda E.","non-dropping-particle":"","parse-names":false,"suffix":""}],"container-title":"Neurotoxicology and Teratology","id":"ITEM-1","issued":{"date-parts":[["2013"]]},"page":"44-56","publisher":"Elsevier Inc.","title":"Assessment of the developmental neurotoxicity of compounds by measuring locomotor activity in zebrafish embryos and larvae","type":"article-journal","volume":"37"},"uris":["http://www.mendeley.com/documents/?uuid=397146b1-f881-4c07-8c3c-6d3c1133fdf5"]}],"mendeley":{"formattedCitation":"(Selderslaghs et al. 2013)","manualFormatting":"laghs et al. (2013)","plainTextFormattedCitation":"(Selderslaghs et al. 2013)","previouslyFormattedCitation":"(Selderslaghs et al. 2013)"},"properties":{"noteIndex":0},"schema":"https://github.com/citation-style-language/schema/raw/master/csl-citation.json"}</w:instrText>
      </w:r>
      <w:r w:rsidRPr="00240F51">
        <w:fldChar w:fldCharType="separate"/>
      </w:r>
      <w:bookmarkStart w:id="155" w:name="__Fieldmark__3242_422048926"/>
      <w:r w:rsidRPr="00240F51">
        <w:rPr>
          <w:noProof/>
          <w:lang w:eastAsia="de-DE"/>
        </w:rPr>
        <w:t>l</w:t>
      </w:r>
      <w:bookmarkStart w:id="156" w:name="__Fieldmark__6410_523164669"/>
      <w:r w:rsidRPr="00240F51">
        <w:rPr>
          <w:noProof/>
          <w:lang w:eastAsia="de-DE"/>
        </w:rPr>
        <w:t>aghs</w:t>
      </w:r>
      <w:proofErr w:type="spellEnd"/>
      <w:r w:rsidRPr="00240F51">
        <w:rPr>
          <w:noProof/>
          <w:lang w:eastAsia="de-DE"/>
        </w:rPr>
        <w:t xml:space="preserve"> et al. (2013)</w:t>
      </w:r>
      <w:r w:rsidRPr="00240F51">
        <w:fldChar w:fldCharType="end"/>
      </w:r>
      <w:bookmarkEnd w:id="149"/>
      <w:bookmarkEnd w:id="150"/>
      <w:bookmarkEnd w:id="151"/>
      <w:bookmarkEnd w:id="152"/>
      <w:bookmarkEnd w:id="153"/>
      <w:bookmarkEnd w:id="154"/>
      <w:bookmarkEnd w:id="155"/>
      <w:bookmarkEnd w:id="156"/>
      <w:r w:rsidRPr="00240F51">
        <w:t xml:space="preserve"> (4-144hpf) and LMR-L/D study by </w:t>
      </w:r>
      <w:r w:rsidRPr="00240F51">
        <w:rPr>
          <w:lang w:eastAsia="de-DE"/>
        </w:rPr>
        <w:t>F</w:t>
      </w:r>
      <w:bookmarkStart w:id="157" w:name="__Fieldmark__3179_1441573696"/>
      <w:r w:rsidRPr="00240F51">
        <w:rPr>
          <w:lang w:eastAsia="de-DE"/>
        </w:rPr>
        <w:t>e</w:t>
      </w:r>
      <w:bookmarkStart w:id="158" w:name="__Fieldmark__2728_1142328233"/>
      <w:r w:rsidRPr="00240F51">
        <w:rPr>
          <w:lang w:eastAsia="de-DE"/>
        </w:rPr>
        <w:t>t</w:t>
      </w:r>
      <w:bookmarkStart w:id="159" w:name="__Fieldmark__9084_1894120582"/>
      <w:r w:rsidRPr="00240F51">
        <w:rPr>
          <w:lang w:eastAsia="de-DE"/>
        </w:rPr>
        <w:t>t</w:t>
      </w:r>
      <w:bookmarkStart w:id="160" w:name="__Fieldmark__1966_1894120582"/>
      <w:r w:rsidRPr="00240F51">
        <w:rPr>
          <w:lang w:eastAsia="de-DE"/>
        </w:rPr>
        <w:t>e</w:t>
      </w:r>
      <w:bookmarkStart w:id="161" w:name="__Fieldmark__1584_945872730"/>
      <w:r w:rsidRPr="00240F51">
        <w:rPr>
          <w:lang w:eastAsia="de-DE"/>
        </w:rPr>
        <w:t>r</w:t>
      </w:r>
      <w:bookmarkStart w:id="162" w:name="__Fieldmark__1248_376982467"/>
      <w:r w:rsidRPr="00240F51">
        <w:rPr>
          <w:lang w:eastAsia="de-DE"/>
        </w:rPr>
        <w:t xml:space="preserve"> </w:t>
      </w:r>
      <w:r w:rsidRPr="00240F51">
        <w:fldChar w:fldCharType="begin" w:fldLock="1"/>
      </w:r>
      <w:r w:rsidRPr="00240F51">
        <w:instrText>ADDIN CSL_CITATION {"citationItems":[{"id":"ITEM-1","itemData":{"DOI":"10.1016/j.reprotox.2015.04.012","ISBN":"1873-1708 (Electronic)\\r0890-6238 (Linking)","ISSN":"18731708","PMID":"25962731","abstract":"Craniofacial malformations, reduced locomotion and induction of genes encoding for enzymes involved in thyroid hormone synthesis were assessed using methimazole and N-phenylthiourea in zebrafish embryos. Gene expression, the most sensitive endpoint (EC50_MMI=372-765μM, EC50_PTU=7.6-8.6μM), was analysed in wild-type and in a transgenic strain, tg(tg:mCherry), expressing mCherry fluorescence protein under the control of the thyroglobulin gene. Reduction of locomotion and craniofacial malformations were observed at one or two orders of magnitude above concentrations affecting gene expression, respectively. Both effects could be linked to the malformations caused by reduced thyroxin levels. Our results show that due to the presence of the autoregulatory loop of the hypothalamus-pituitary-thyroid axis, various molecular initiating events of thyroid disruption are amenable for the zebrafish embryo. We propose the tg(tg:mCherry) bioassay as a sensitive tool in medium scale screening of goitrogens, given the minimal effort for sample preparation and analysis of gene expression.","author":[{"dropping-particle":"","family":"Fetter","given":"Eva","non-dropping-particle":"","parse-names":false,"suffix":""},{"dropping-particle":"","family":"Baldauf","given":"Lisa","non-dropping-particle":"","parse-names":false,"suffix":""},{"dropping-particle":"","family":"Fonte","given":"Dillon F.","non-dropping-particle":"Da","parse-names":false,"suffix":""},{"dropping-particle":"","family":"Ortmann","given":"Julia","non-dropping-particle":"","parse-names":false,"suffix":""},{"dropping-particle":"","family":"Scholz","given":"Stefan","non-dropping-particle":"","parse-names":false,"suffix":""}],"container-title":"Reproductive Toxicology","id":"ITEM-1","issued":{"date-parts":[["2015"]]},"page":"10-20","publisher":"Elsevier Inc.","title":"Comparative analysis of goitrogenic effects of phenylthiourea and methimazole in zebrafish embryos","type":"article-journal","volume":"57"},"uris":["http://www.mendeley.com/documents/?uuid=9e9efa26-14d0-42db-8252-d3876f592ebb"]}],"mendeley":{"formattedCitation":"(Fetter et al. 2015)","manualFormatting":"et al. (2015)","plainTextFormattedCitation":"(Fetter et al. 2015)","previouslyFormattedCitation":"(Fetter et al. 2015)"},"properties":{"noteIndex":0},"schema":"https://github.com/citation-style-language/schema/raw/master/csl-citation.json"}</w:instrText>
      </w:r>
      <w:r w:rsidRPr="00240F51">
        <w:fldChar w:fldCharType="separate"/>
      </w:r>
      <w:bookmarkStart w:id="163" w:name="__Fieldmark__3268_422048926"/>
      <w:r w:rsidRPr="00240F51">
        <w:rPr>
          <w:noProof/>
          <w:lang w:eastAsia="de-DE"/>
        </w:rPr>
        <w:t>e</w:t>
      </w:r>
      <w:bookmarkStart w:id="164" w:name="__Fieldmark__6448_523164669"/>
      <w:r w:rsidRPr="00240F51">
        <w:rPr>
          <w:noProof/>
          <w:lang w:eastAsia="de-DE"/>
        </w:rPr>
        <w:t>t al. (2015)</w:t>
      </w:r>
      <w:r w:rsidRPr="00240F51">
        <w:fldChar w:fldCharType="end"/>
      </w:r>
      <w:bookmarkEnd w:id="157"/>
      <w:bookmarkEnd w:id="158"/>
      <w:bookmarkEnd w:id="159"/>
      <w:bookmarkEnd w:id="160"/>
      <w:bookmarkEnd w:id="161"/>
      <w:bookmarkEnd w:id="162"/>
      <w:bookmarkEnd w:id="163"/>
      <w:bookmarkEnd w:id="164"/>
      <w:r w:rsidRPr="00240F51">
        <w:t xml:space="preserve"> (48-120hpf). The short duration studies (0-24hpf), comprising of STC and PMR, show no effect. This suggests that </w:t>
      </w:r>
      <w:r w:rsidRPr="00240F51">
        <w:rPr>
          <w:u w:val="single"/>
        </w:rPr>
        <w:t>exposure duration</w:t>
      </w:r>
      <w:r w:rsidRPr="00240F51">
        <w:t xml:space="preserve">, and hence kinetics could be a limiting factor in the propagation of the effect of </w:t>
      </w:r>
      <w:proofErr w:type="spellStart"/>
      <w:r w:rsidRPr="00240F51">
        <w:t>methimazole</w:t>
      </w:r>
      <w:proofErr w:type="spellEnd"/>
      <w:r w:rsidRPr="00240F51">
        <w:t xml:space="preserve">. </w:t>
      </w:r>
    </w:p>
    <w:p w:rsidR="00B10798" w:rsidRPr="00240F51" w:rsidRDefault="00B10798" w:rsidP="00240F51">
      <w:pPr>
        <w:jc w:val="both"/>
      </w:pPr>
      <w:r>
        <w:rPr>
          <w:noProof/>
          <w:lang w:eastAsia="en-US"/>
        </w:rPr>
        <w:lastRenderedPageBreak/>
        <w:drawing>
          <wp:inline distT="0" distB="0" distL="0" distR="0">
            <wp:extent cx="4762500" cy="4762500"/>
            <wp:effectExtent l="0" t="0" r="0" b="0"/>
            <wp:docPr id="17" name="Picture 17" descr="C:\Users\ogungbem\Documents\Review data\Methimazole b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gungbem\Documents\Review data\Methimazole bar.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240F51" w:rsidRPr="00240F51" w:rsidRDefault="00240F51" w:rsidP="00240F51">
      <w:pPr>
        <w:jc w:val="both"/>
      </w:pPr>
    </w:p>
    <w:p w:rsidR="00240F51" w:rsidRPr="001125E2" w:rsidRDefault="00240F51" w:rsidP="00B10798">
      <w:pPr>
        <w:jc w:val="both"/>
        <w:rPr>
          <w:b/>
        </w:rPr>
      </w:pPr>
      <w:r w:rsidRPr="001125E2">
        <w:rPr>
          <w:b/>
        </w:rPr>
        <w:t>Retinoic acid</w:t>
      </w:r>
    </w:p>
    <w:p w:rsidR="00240F51" w:rsidRDefault="00240F51" w:rsidP="00240F51">
      <w:pPr>
        <w:jc w:val="both"/>
      </w:pPr>
      <w:r w:rsidRPr="00240F51">
        <w:t>Retinoic acid is a retinoic acid receptor agonist (</w:t>
      </w:r>
      <w:hyperlink r:id="rId25" w:history="1">
        <w:r w:rsidRPr="00240F51">
          <w:rPr>
            <w:color w:val="0000FF" w:themeColor="hyperlink"/>
            <w:u w:val="single"/>
          </w:rPr>
          <w:t>www.drugbank.ca</w:t>
        </w:r>
      </w:hyperlink>
      <w:r w:rsidRPr="00240F51">
        <w:t xml:space="preserve">) and its expected activity in zebrafish embryo is not clear. Four studies were compared. All studies except the PMR study by </w:t>
      </w:r>
      <w:proofErr w:type="spellStart"/>
      <w:r w:rsidRPr="00240F51">
        <w:t>Reif</w:t>
      </w:r>
      <w:proofErr w:type="spellEnd"/>
      <w:r w:rsidRPr="00240F51">
        <w:t xml:space="preserve"> et al. (2016) showed hyperactivity and the effect concentrations were within a variation factor of 10. The reason for the inactivity reported in </w:t>
      </w:r>
      <w:proofErr w:type="spellStart"/>
      <w:r w:rsidRPr="00240F51">
        <w:t>Reif</w:t>
      </w:r>
      <w:proofErr w:type="spellEnd"/>
      <w:r w:rsidRPr="00240F51">
        <w:t xml:space="preserve"> et al. (2016) is probably related to the different </w:t>
      </w:r>
      <w:r w:rsidRPr="00240F51">
        <w:rPr>
          <w:u w:val="single"/>
        </w:rPr>
        <w:t>endpoint parameter</w:t>
      </w:r>
      <w:r w:rsidRPr="00240F51">
        <w:t xml:space="preserve"> used in the PMR method.</w:t>
      </w:r>
    </w:p>
    <w:p w:rsidR="00B10798" w:rsidRDefault="00B10798" w:rsidP="00240F51">
      <w:pPr>
        <w:jc w:val="both"/>
      </w:pPr>
      <w:r>
        <w:rPr>
          <w:noProof/>
          <w:lang w:eastAsia="en-US"/>
        </w:rPr>
        <w:lastRenderedPageBreak/>
        <w:drawing>
          <wp:inline distT="0" distB="0" distL="0" distR="0">
            <wp:extent cx="4762500" cy="4762500"/>
            <wp:effectExtent l="0" t="0" r="0" b="0"/>
            <wp:docPr id="18" name="Picture 18" descr="C:\Users\ogungbem\Documents\Review data\Retinoic acid b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gungbem\Documents\Review data\Retinoic acid bar.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296470" w:rsidRDefault="00296470" w:rsidP="00B10798">
      <w:pPr>
        <w:pStyle w:val="ListParagraph1"/>
        <w:spacing w:after="0"/>
        <w:ind w:left="0"/>
        <w:jc w:val="both"/>
      </w:pPr>
      <w:proofErr w:type="spellStart"/>
      <w:r>
        <w:rPr>
          <w:b/>
        </w:rPr>
        <w:t>Apomorphine</w:t>
      </w:r>
      <w:proofErr w:type="spellEnd"/>
      <w:r w:rsidR="00B10798">
        <w:t xml:space="preserve"> </w:t>
      </w:r>
    </w:p>
    <w:p w:rsidR="00B10798" w:rsidRDefault="00296470" w:rsidP="00296470">
      <w:pPr>
        <w:spacing w:after="0"/>
        <w:jc w:val="both"/>
        <w:rPr>
          <w:u w:val="single"/>
        </w:rPr>
      </w:pPr>
      <w:proofErr w:type="spellStart"/>
      <w:r>
        <w:t>Apomorphine</w:t>
      </w:r>
      <w:proofErr w:type="spellEnd"/>
      <w:r>
        <w:t xml:space="preserve"> acts by stimulating post-synaptic dopamine D2-type receptors within the brain (www.drugbank.ca). Its expected activity is not clear. All four studies showed hyperactivity. However, the effect concentration for the LMR-L/D study by Irons et al. 2013 was below a factor of 10 </w:t>
      </w:r>
      <w:proofErr w:type="gramStart"/>
      <w:r>
        <w:t>variation</w:t>
      </w:r>
      <w:proofErr w:type="gramEnd"/>
      <w:r>
        <w:t xml:space="preserve"> of the other studies. This could be due to the higher sensitivity of zebrafish at the </w:t>
      </w:r>
      <w:r w:rsidRPr="0084466C">
        <w:rPr>
          <w:u w:val="single"/>
        </w:rPr>
        <w:t>developmental stage</w:t>
      </w:r>
      <w:r>
        <w:t xml:space="preserve"> of 6dpf. The LMR-L/D method could also be more sensitive than the LMR due to the induced alternating </w:t>
      </w:r>
      <w:r w:rsidRPr="0084466C">
        <w:rPr>
          <w:u w:val="single"/>
        </w:rPr>
        <w:t>light conditions</w:t>
      </w:r>
      <w:r w:rsidR="00B10798">
        <w:rPr>
          <w:u w:val="single"/>
        </w:rPr>
        <w:t>.</w:t>
      </w:r>
    </w:p>
    <w:p w:rsidR="00B10798" w:rsidRPr="0084466C" w:rsidRDefault="00B10798" w:rsidP="00296470">
      <w:pPr>
        <w:spacing w:after="0"/>
        <w:jc w:val="both"/>
        <w:rPr>
          <w:u w:val="single"/>
        </w:rPr>
      </w:pPr>
      <w:r>
        <w:rPr>
          <w:noProof/>
          <w:u w:val="single"/>
          <w:lang w:eastAsia="en-US"/>
        </w:rPr>
        <w:lastRenderedPageBreak/>
        <w:drawing>
          <wp:inline distT="0" distB="0" distL="0" distR="0">
            <wp:extent cx="4762500" cy="4762500"/>
            <wp:effectExtent l="0" t="0" r="0" b="0"/>
            <wp:docPr id="19" name="Picture 19" descr="C:\Users\ogungbem\Documents\Review data\Apomorphine b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gungbem\Documents\Review data\Apomorphine bar.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296470" w:rsidRPr="00240F51" w:rsidRDefault="00296470" w:rsidP="00240F51">
      <w:pPr>
        <w:jc w:val="both"/>
      </w:pPr>
    </w:p>
    <w:p w:rsidR="00240F51" w:rsidRDefault="00240F51" w:rsidP="00240F51">
      <w:pPr>
        <w:spacing w:after="0"/>
        <w:jc w:val="both"/>
      </w:pPr>
    </w:p>
    <w:p w:rsidR="00240F51" w:rsidRDefault="00240F51" w:rsidP="00240F51">
      <w:pPr>
        <w:spacing w:after="0"/>
        <w:jc w:val="both"/>
      </w:pPr>
    </w:p>
    <w:p w:rsidR="00240F51" w:rsidRDefault="00240F51" w:rsidP="00240F51">
      <w:pPr>
        <w:spacing w:after="0"/>
        <w:jc w:val="both"/>
      </w:pPr>
    </w:p>
    <w:p w:rsidR="00240F51" w:rsidRDefault="00240F51" w:rsidP="00240F51">
      <w:pPr>
        <w:spacing w:after="0"/>
        <w:jc w:val="both"/>
      </w:pPr>
    </w:p>
    <w:p w:rsidR="008F72B4" w:rsidRDefault="001125E2"/>
    <w:sectPr w:rsidR="008F72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Arial">
    <w:altName w:val="Times New Roman"/>
    <w:panose1 w:val="00000000000000000000"/>
    <w:charset w:val="00"/>
    <w:family w:val="roman"/>
    <w:notTrueType/>
    <w:pitch w:val="default"/>
  </w:font>
  <w:font w:name="Noto Sans CJK SC Regular">
    <w:panose1 w:val="00000000000000000000"/>
    <w:charset w:val="00"/>
    <w:family w:val="roman"/>
    <w:notTrueType/>
    <w:pitch w:val="default"/>
  </w:font>
  <w:font w:name="FreeSans;Times New Roman">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elvetica;Arial">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A26706"/>
    <w:multiLevelType w:val="multilevel"/>
    <w:tmpl w:val="2050F8E2"/>
    <w:lvl w:ilvl="0">
      <w:start w:val="1"/>
      <w:numFmt w:val="bullet"/>
      <w:lvlText w:val=""/>
      <w:lvlJc w:val="left"/>
      <w:pPr>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31844395"/>
    <w:multiLevelType w:val="multilevel"/>
    <w:tmpl w:val="FA90F81A"/>
    <w:lvl w:ilvl="0">
      <w:start w:val="1"/>
      <w:numFmt w:val="bullet"/>
      <w:lvlText w:val=""/>
      <w:lvlJc w:val="left"/>
      <w:pPr>
        <w:ind w:left="360" w:hanging="360"/>
      </w:pPr>
      <w:rPr>
        <w:rFonts w:ascii="Wingdings" w:hAnsi="Wingdings" w:cs="Wingdings" w:hint="default"/>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416F12F5"/>
    <w:multiLevelType w:val="hybridMultilevel"/>
    <w:tmpl w:val="B4C698E8"/>
    <w:lvl w:ilvl="0" w:tplc="4E627038">
      <w:start w:val="4"/>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1A174C6"/>
    <w:multiLevelType w:val="hybridMultilevel"/>
    <w:tmpl w:val="B5E0E3F0"/>
    <w:lvl w:ilvl="0" w:tplc="EC16CFB4">
      <w:start w:val="4"/>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26C2D82"/>
    <w:multiLevelType w:val="multilevel"/>
    <w:tmpl w:val="FDDA496A"/>
    <w:lvl w:ilvl="0">
      <w:start w:val="1"/>
      <w:numFmt w:val="bullet"/>
      <w:lvlText w:val=""/>
      <w:lvlJc w:val="left"/>
      <w:pPr>
        <w:ind w:left="360" w:hanging="360"/>
      </w:pPr>
      <w:rPr>
        <w:rFonts w:ascii="Wingdings" w:hAnsi="Wingdings" w:cs="Wingdings" w:hint="default"/>
        <w:b/>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nsid w:val="59CA58E5"/>
    <w:multiLevelType w:val="multilevel"/>
    <w:tmpl w:val="28EC70D4"/>
    <w:lvl w:ilvl="0">
      <w:start w:val="1"/>
      <w:numFmt w:val="none"/>
      <w:pStyle w:val="Heading1"/>
      <w:suff w:val="nothing"/>
      <w:lvlText w:val=""/>
      <w:lvlJc w:val="left"/>
      <w:pPr>
        <w:ind w:left="432" w:hanging="432"/>
      </w:pPr>
    </w:lvl>
    <w:lvl w:ilvl="1">
      <w:start w:val="1"/>
      <w:numFmt w:val="none"/>
      <w:pStyle w:val="Heading2"/>
      <w:suff w:val="nothing"/>
      <w:lvlText w:val=""/>
      <w:lvlJc w:val="left"/>
      <w:pPr>
        <w:ind w:left="576" w:hanging="576"/>
      </w:pPr>
    </w:lvl>
    <w:lvl w:ilvl="2">
      <w:start w:val="1"/>
      <w:numFmt w:val="none"/>
      <w:pStyle w:val="Heading3"/>
      <w:suff w:val="nothing"/>
      <w:lvlText w:val=""/>
      <w:lvlJc w:val="left"/>
      <w:pPr>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nsid w:val="5F6038F5"/>
    <w:multiLevelType w:val="multilevel"/>
    <w:tmpl w:val="8D66E9C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7">
    <w:nsid w:val="77AF3500"/>
    <w:multiLevelType w:val="multilevel"/>
    <w:tmpl w:val="18DADB8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5"/>
  </w:num>
  <w:num w:numId="2">
    <w:abstractNumId w:val="7"/>
  </w:num>
  <w:num w:numId="3">
    <w:abstractNumId w:val="4"/>
  </w:num>
  <w:num w:numId="4">
    <w:abstractNumId w:val="1"/>
  </w:num>
  <w:num w:numId="5">
    <w:abstractNumId w:val="6"/>
  </w:num>
  <w:num w:numId="6">
    <w:abstractNumId w:val="0"/>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F51"/>
    <w:rsid w:val="001125E2"/>
    <w:rsid w:val="00240F51"/>
    <w:rsid w:val="002426D1"/>
    <w:rsid w:val="00267EFA"/>
    <w:rsid w:val="00296470"/>
    <w:rsid w:val="004B3691"/>
    <w:rsid w:val="006F758E"/>
    <w:rsid w:val="008C5CDD"/>
    <w:rsid w:val="00A34D5D"/>
    <w:rsid w:val="00B10798"/>
    <w:rsid w:val="00DE4C19"/>
    <w:rsid w:val="00E46689"/>
    <w:rsid w:val="00FC47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F51"/>
    <w:pPr>
      <w:suppressAutoHyphens/>
      <w:overflowPunct w:val="0"/>
    </w:pPr>
    <w:rPr>
      <w:rFonts w:ascii="Calibri" w:eastAsia="Calibri" w:hAnsi="Calibri" w:cs="Tahoma"/>
      <w:color w:val="00000A"/>
      <w:lang w:eastAsia="zh-CN"/>
    </w:rPr>
  </w:style>
  <w:style w:type="paragraph" w:styleId="Heading1">
    <w:name w:val="heading 1"/>
    <w:basedOn w:val="Normal"/>
    <w:link w:val="Heading1Char"/>
    <w:qFormat/>
    <w:rsid w:val="00240F51"/>
    <w:pPr>
      <w:keepNext/>
      <w:numPr>
        <w:numId w:val="1"/>
      </w:numPr>
      <w:spacing w:before="240" w:after="120"/>
      <w:outlineLvl w:val="0"/>
    </w:pPr>
    <w:rPr>
      <w:rFonts w:ascii="Liberation Sans;Arial" w:eastAsia="Noto Sans CJK SC Regular" w:hAnsi="Liberation Sans;Arial" w:cs="FreeSans;Times New Roman"/>
      <w:sz w:val="28"/>
      <w:szCs w:val="28"/>
    </w:rPr>
  </w:style>
  <w:style w:type="paragraph" w:styleId="Heading2">
    <w:name w:val="heading 2"/>
    <w:basedOn w:val="Normal"/>
    <w:link w:val="Heading2Char"/>
    <w:qFormat/>
    <w:rsid w:val="00240F51"/>
    <w:pPr>
      <w:keepNext/>
      <w:numPr>
        <w:ilvl w:val="1"/>
        <w:numId w:val="1"/>
      </w:numPr>
      <w:spacing w:before="240" w:after="120"/>
      <w:outlineLvl w:val="1"/>
    </w:pPr>
    <w:rPr>
      <w:rFonts w:ascii="Liberation Sans;Arial" w:eastAsia="Noto Sans CJK SC Regular" w:hAnsi="Liberation Sans;Arial" w:cs="FreeSans;Times New Roman"/>
      <w:sz w:val="28"/>
      <w:szCs w:val="28"/>
    </w:rPr>
  </w:style>
  <w:style w:type="paragraph" w:styleId="Heading3">
    <w:name w:val="heading 3"/>
    <w:basedOn w:val="Normal"/>
    <w:link w:val="Heading3Char"/>
    <w:qFormat/>
    <w:rsid w:val="00240F51"/>
    <w:pPr>
      <w:keepNext/>
      <w:numPr>
        <w:ilvl w:val="2"/>
        <w:numId w:val="1"/>
      </w:numPr>
      <w:spacing w:before="240" w:after="120"/>
      <w:outlineLvl w:val="2"/>
    </w:pPr>
    <w:rPr>
      <w:rFonts w:ascii="Liberation Sans;Arial" w:eastAsia="Noto Sans CJK SC Regular" w:hAnsi="Liberation Sans;Arial" w:cs="FreeSan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0F51"/>
    <w:rPr>
      <w:rFonts w:ascii="Liberation Sans;Arial" w:eastAsia="Noto Sans CJK SC Regular" w:hAnsi="Liberation Sans;Arial" w:cs="FreeSans;Times New Roman"/>
      <w:color w:val="00000A"/>
      <w:sz w:val="28"/>
      <w:szCs w:val="28"/>
      <w:lang w:eastAsia="zh-CN"/>
    </w:rPr>
  </w:style>
  <w:style w:type="character" w:customStyle="1" w:styleId="Heading2Char">
    <w:name w:val="Heading 2 Char"/>
    <w:basedOn w:val="DefaultParagraphFont"/>
    <w:link w:val="Heading2"/>
    <w:rsid w:val="00240F51"/>
    <w:rPr>
      <w:rFonts w:ascii="Liberation Sans;Arial" w:eastAsia="Noto Sans CJK SC Regular" w:hAnsi="Liberation Sans;Arial" w:cs="FreeSans;Times New Roman"/>
      <w:color w:val="00000A"/>
      <w:sz w:val="28"/>
      <w:szCs w:val="28"/>
      <w:lang w:eastAsia="zh-CN"/>
    </w:rPr>
  </w:style>
  <w:style w:type="character" w:customStyle="1" w:styleId="Heading3Char">
    <w:name w:val="Heading 3 Char"/>
    <w:basedOn w:val="DefaultParagraphFont"/>
    <w:link w:val="Heading3"/>
    <w:rsid w:val="00240F51"/>
    <w:rPr>
      <w:rFonts w:ascii="Liberation Sans;Arial" w:eastAsia="Noto Sans CJK SC Regular" w:hAnsi="Liberation Sans;Arial" w:cs="FreeSans;Times New Roman"/>
      <w:color w:val="00000A"/>
      <w:sz w:val="28"/>
      <w:szCs w:val="28"/>
      <w:lang w:eastAsia="zh-CN"/>
    </w:rPr>
  </w:style>
  <w:style w:type="character" w:styleId="CommentReference">
    <w:name w:val="annotation reference"/>
    <w:uiPriority w:val="99"/>
    <w:qFormat/>
    <w:rsid w:val="00240F51"/>
    <w:rPr>
      <w:sz w:val="16"/>
      <w:szCs w:val="16"/>
    </w:rPr>
  </w:style>
  <w:style w:type="paragraph" w:styleId="BodyText">
    <w:name w:val="Body Text"/>
    <w:basedOn w:val="Normal"/>
    <w:link w:val="BodyTextChar"/>
    <w:rsid w:val="00240F51"/>
    <w:pPr>
      <w:spacing w:after="140" w:line="288" w:lineRule="auto"/>
    </w:pPr>
  </w:style>
  <w:style w:type="character" w:customStyle="1" w:styleId="BodyTextChar">
    <w:name w:val="Body Text Char"/>
    <w:basedOn w:val="DefaultParagraphFont"/>
    <w:link w:val="BodyText"/>
    <w:rsid w:val="00240F51"/>
    <w:rPr>
      <w:rFonts w:ascii="Calibri" w:eastAsia="Calibri" w:hAnsi="Calibri" w:cs="Tahoma"/>
      <w:color w:val="00000A"/>
      <w:lang w:eastAsia="zh-CN"/>
    </w:rPr>
  </w:style>
  <w:style w:type="paragraph" w:customStyle="1" w:styleId="ListParagraph1">
    <w:name w:val="List Paragraph1"/>
    <w:basedOn w:val="Normal"/>
    <w:qFormat/>
    <w:rsid w:val="00240F51"/>
    <w:pPr>
      <w:ind w:left="720"/>
    </w:pPr>
  </w:style>
  <w:style w:type="paragraph" w:styleId="CommentText">
    <w:name w:val="annotation text"/>
    <w:basedOn w:val="Normal"/>
    <w:link w:val="CommentTextChar"/>
    <w:qFormat/>
    <w:rsid w:val="00240F51"/>
    <w:rPr>
      <w:sz w:val="20"/>
      <w:szCs w:val="20"/>
    </w:rPr>
  </w:style>
  <w:style w:type="character" w:customStyle="1" w:styleId="CommentTextChar">
    <w:name w:val="Comment Text Char"/>
    <w:basedOn w:val="DefaultParagraphFont"/>
    <w:link w:val="CommentText"/>
    <w:rsid w:val="00240F51"/>
    <w:rPr>
      <w:rFonts w:ascii="Calibri" w:eastAsia="Calibri" w:hAnsi="Calibri" w:cs="Tahoma"/>
      <w:color w:val="00000A"/>
      <w:sz w:val="20"/>
      <w:szCs w:val="20"/>
      <w:lang w:eastAsia="zh-CN"/>
    </w:rPr>
  </w:style>
  <w:style w:type="paragraph" w:styleId="BalloonText">
    <w:name w:val="Balloon Text"/>
    <w:basedOn w:val="Normal"/>
    <w:link w:val="BalloonTextChar"/>
    <w:uiPriority w:val="99"/>
    <w:semiHidden/>
    <w:unhideWhenUsed/>
    <w:rsid w:val="00240F51"/>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240F51"/>
    <w:rPr>
      <w:rFonts w:ascii="Tahoma" w:eastAsia="Calibri" w:hAnsi="Tahoma" w:cs="Tahoma"/>
      <w:color w:val="00000A"/>
      <w:sz w:val="16"/>
      <w:szCs w:val="16"/>
      <w:lang w:eastAsia="zh-CN"/>
    </w:rPr>
  </w:style>
  <w:style w:type="paragraph" w:styleId="ListParagraph">
    <w:name w:val="List Paragraph"/>
    <w:basedOn w:val="Normal"/>
    <w:uiPriority w:val="34"/>
    <w:qFormat/>
    <w:rsid w:val="004B369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F51"/>
    <w:pPr>
      <w:suppressAutoHyphens/>
      <w:overflowPunct w:val="0"/>
    </w:pPr>
    <w:rPr>
      <w:rFonts w:ascii="Calibri" w:eastAsia="Calibri" w:hAnsi="Calibri" w:cs="Tahoma"/>
      <w:color w:val="00000A"/>
      <w:lang w:eastAsia="zh-CN"/>
    </w:rPr>
  </w:style>
  <w:style w:type="paragraph" w:styleId="Heading1">
    <w:name w:val="heading 1"/>
    <w:basedOn w:val="Normal"/>
    <w:link w:val="Heading1Char"/>
    <w:qFormat/>
    <w:rsid w:val="00240F51"/>
    <w:pPr>
      <w:keepNext/>
      <w:numPr>
        <w:numId w:val="1"/>
      </w:numPr>
      <w:spacing w:before="240" w:after="120"/>
      <w:outlineLvl w:val="0"/>
    </w:pPr>
    <w:rPr>
      <w:rFonts w:ascii="Liberation Sans;Arial" w:eastAsia="Noto Sans CJK SC Regular" w:hAnsi="Liberation Sans;Arial" w:cs="FreeSans;Times New Roman"/>
      <w:sz w:val="28"/>
      <w:szCs w:val="28"/>
    </w:rPr>
  </w:style>
  <w:style w:type="paragraph" w:styleId="Heading2">
    <w:name w:val="heading 2"/>
    <w:basedOn w:val="Normal"/>
    <w:link w:val="Heading2Char"/>
    <w:qFormat/>
    <w:rsid w:val="00240F51"/>
    <w:pPr>
      <w:keepNext/>
      <w:numPr>
        <w:ilvl w:val="1"/>
        <w:numId w:val="1"/>
      </w:numPr>
      <w:spacing w:before="240" w:after="120"/>
      <w:outlineLvl w:val="1"/>
    </w:pPr>
    <w:rPr>
      <w:rFonts w:ascii="Liberation Sans;Arial" w:eastAsia="Noto Sans CJK SC Regular" w:hAnsi="Liberation Sans;Arial" w:cs="FreeSans;Times New Roman"/>
      <w:sz w:val="28"/>
      <w:szCs w:val="28"/>
    </w:rPr>
  </w:style>
  <w:style w:type="paragraph" w:styleId="Heading3">
    <w:name w:val="heading 3"/>
    <w:basedOn w:val="Normal"/>
    <w:link w:val="Heading3Char"/>
    <w:qFormat/>
    <w:rsid w:val="00240F51"/>
    <w:pPr>
      <w:keepNext/>
      <w:numPr>
        <w:ilvl w:val="2"/>
        <w:numId w:val="1"/>
      </w:numPr>
      <w:spacing w:before="240" w:after="120"/>
      <w:outlineLvl w:val="2"/>
    </w:pPr>
    <w:rPr>
      <w:rFonts w:ascii="Liberation Sans;Arial" w:eastAsia="Noto Sans CJK SC Regular" w:hAnsi="Liberation Sans;Arial" w:cs="FreeSan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0F51"/>
    <w:rPr>
      <w:rFonts w:ascii="Liberation Sans;Arial" w:eastAsia="Noto Sans CJK SC Regular" w:hAnsi="Liberation Sans;Arial" w:cs="FreeSans;Times New Roman"/>
      <w:color w:val="00000A"/>
      <w:sz w:val="28"/>
      <w:szCs w:val="28"/>
      <w:lang w:eastAsia="zh-CN"/>
    </w:rPr>
  </w:style>
  <w:style w:type="character" w:customStyle="1" w:styleId="Heading2Char">
    <w:name w:val="Heading 2 Char"/>
    <w:basedOn w:val="DefaultParagraphFont"/>
    <w:link w:val="Heading2"/>
    <w:rsid w:val="00240F51"/>
    <w:rPr>
      <w:rFonts w:ascii="Liberation Sans;Arial" w:eastAsia="Noto Sans CJK SC Regular" w:hAnsi="Liberation Sans;Arial" w:cs="FreeSans;Times New Roman"/>
      <w:color w:val="00000A"/>
      <w:sz w:val="28"/>
      <w:szCs w:val="28"/>
      <w:lang w:eastAsia="zh-CN"/>
    </w:rPr>
  </w:style>
  <w:style w:type="character" w:customStyle="1" w:styleId="Heading3Char">
    <w:name w:val="Heading 3 Char"/>
    <w:basedOn w:val="DefaultParagraphFont"/>
    <w:link w:val="Heading3"/>
    <w:rsid w:val="00240F51"/>
    <w:rPr>
      <w:rFonts w:ascii="Liberation Sans;Arial" w:eastAsia="Noto Sans CJK SC Regular" w:hAnsi="Liberation Sans;Arial" w:cs="FreeSans;Times New Roman"/>
      <w:color w:val="00000A"/>
      <w:sz w:val="28"/>
      <w:szCs w:val="28"/>
      <w:lang w:eastAsia="zh-CN"/>
    </w:rPr>
  </w:style>
  <w:style w:type="character" w:styleId="CommentReference">
    <w:name w:val="annotation reference"/>
    <w:uiPriority w:val="99"/>
    <w:qFormat/>
    <w:rsid w:val="00240F51"/>
    <w:rPr>
      <w:sz w:val="16"/>
      <w:szCs w:val="16"/>
    </w:rPr>
  </w:style>
  <w:style w:type="paragraph" w:styleId="BodyText">
    <w:name w:val="Body Text"/>
    <w:basedOn w:val="Normal"/>
    <w:link w:val="BodyTextChar"/>
    <w:rsid w:val="00240F51"/>
    <w:pPr>
      <w:spacing w:after="140" w:line="288" w:lineRule="auto"/>
    </w:pPr>
  </w:style>
  <w:style w:type="character" w:customStyle="1" w:styleId="BodyTextChar">
    <w:name w:val="Body Text Char"/>
    <w:basedOn w:val="DefaultParagraphFont"/>
    <w:link w:val="BodyText"/>
    <w:rsid w:val="00240F51"/>
    <w:rPr>
      <w:rFonts w:ascii="Calibri" w:eastAsia="Calibri" w:hAnsi="Calibri" w:cs="Tahoma"/>
      <w:color w:val="00000A"/>
      <w:lang w:eastAsia="zh-CN"/>
    </w:rPr>
  </w:style>
  <w:style w:type="paragraph" w:customStyle="1" w:styleId="ListParagraph1">
    <w:name w:val="List Paragraph1"/>
    <w:basedOn w:val="Normal"/>
    <w:qFormat/>
    <w:rsid w:val="00240F51"/>
    <w:pPr>
      <w:ind w:left="720"/>
    </w:pPr>
  </w:style>
  <w:style w:type="paragraph" w:styleId="CommentText">
    <w:name w:val="annotation text"/>
    <w:basedOn w:val="Normal"/>
    <w:link w:val="CommentTextChar"/>
    <w:qFormat/>
    <w:rsid w:val="00240F51"/>
    <w:rPr>
      <w:sz w:val="20"/>
      <w:szCs w:val="20"/>
    </w:rPr>
  </w:style>
  <w:style w:type="character" w:customStyle="1" w:styleId="CommentTextChar">
    <w:name w:val="Comment Text Char"/>
    <w:basedOn w:val="DefaultParagraphFont"/>
    <w:link w:val="CommentText"/>
    <w:rsid w:val="00240F51"/>
    <w:rPr>
      <w:rFonts w:ascii="Calibri" w:eastAsia="Calibri" w:hAnsi="Calibri" w:cs="Tahoma"/>
      <w:color w:val="00000A"/>
      <w:sz w:val="20"/>
      <w:szCs w:val="20"/>
      <w:lang w:eastAsia="zh-CN"/>
    </w:rPr>
  </w:style>
  <w:style w:type="paragraph" w:styleId="BalloonText">
    <w:name w:val="Balloon Text"/>
    <w:basedOn w:val="Normal"/>
    <w:link w:val="BalloonTextChar"/>
    <w:uiPriority w:val="99"/>
    <w:semiHidden/>
    <w:unhideWhenUsed/>
    <w:rsid w:val="00240F51"/>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240F51"/>
    <w:rPr>
      <w:rFonts w:ascii="Tahoma" w:eastAsia="Calibri" w:hAnsi="Tahoma" w:cs="Tahoma"/>
      <w:color w:val="00000A"/>
      <w:sz w:val="16"/>
      <w:szCs w:val="16"/>
      <w:lang w:eastAsia="zh-CN"/>
    </w:rPr>
  </w:style>
  <w:style w:type="paragraph" w:styleId="ListParagraph">
    <w:name w:val="List Paragraph"/>
    <w:basedOn w:val="Normal"/>
    <w:uiPriority w:val="34"/>
    <w:qFormat/>
    <w:rsid w:val="004B36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4467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drugbank.ca"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drugbank.ca/" TargetMode="External"/><Relationship Id="rId27"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29E71-3781-4DED-B823-674D76569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20</Pages>
  <Words>15526</Words>
  <Characters>96106</Characters>
  <Application>Microsoft Office Word</Application>
  <DocSecurity>0</DocSecurity>
  <Lines>1525</Lines>
  <Paragraphs>313</Paragraphs>
  <ScaleCrop>false</ScaleCrop>
  <HeadingPairs>
    <vt:vector size="2" baseType="variant">
      <vt:variant>
        <vt:lpstr>Title</vt:lpstr>
      </vt:variant>
      <vt:variant>
        <vt:i4>1</vt:i4>
      </vt:variant>
    </vt:vector>
  </HeadingPairs>
  <TitlesOfParts>
    <vt:vector size="1" baseType="lpstr">
      <vt:lpstr/>
    </vt:vector>
  </TitlesOfParts>
  <Company>UFZ</Company>
  <LinksUpToDate>false</LinksUpToDate>
  <CharactersWithSpaces>111319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Afolarin Olaposi Ogungbemi ogungbem</dc:creator>
  <cp:lastModifiedBy>Afolarin Olaposi Ogungbemi ogungbem</cp:lastModifiedBy>
  <cp:revision>2</cp:revision>
  <dcterms:created xsi:type="dcterms:W3CDTF">2019-08-02T08:45:00Z</dcterms:created>
  <dcterms:modified xsi:type="dcterms:W3CDTF">2019-08-15T16:52:00Z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http://www.zotero.org/styles/archives-of-environmental-contamination-and-toxicology</vt:lpwstr>
  </property>
  <property fmtid="{D5CDD505-2E9C-101B-9397-08002B2CF9AE}" pid="9" name="Mendeley Recent Style Name 3_1">
    <vt:lpwstr>Archives of Environmental Contamination and Toxicology</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