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DB" w:rsidRDefault="00267BDB" w:rsidP="00267BDB">
      <w:pPr>
        <w:spacing w:line="360" w:lineRule="auto"/>
        <w:jc w:val="center"/>
        <w:rPr>
          <w:b/>
          <w:sz w:val="28"/>
          <w:szCs w:val="28"/>
        </w:rPr>
      </w:pPr>
      <w:bookmarkStart w:id="0" w:name="_Hlk11957517"/>
      <w:bookmarkStart w:id="1" w:name="_Hlk7942878"/>
    </w:p>
    <w:p w:rsidR="00267BDB" w:rsidRDefault="00267BDB" w:rsidP="00267BD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Functional exploration of co-expression networks identifies a nexus for modulating protein and citric acid titres in </w:t>
      </w:r>
      <w:r>
        <w:rPr>
          <w:b/>
          <w:i/>
          <w:iCs/>
          <w:sz w:val="28"/>
          <w:szCs w:val="28"/>
        </w:rPr>
        <w:t xml:space="preserve">Aspergillus </w:t>
      </w:r>
      <w:proofErr w:type="gramStart"/>
      <w:r>
        <w:rPr>
          <w:b/>
          <w:i/>
          <w:iCs/>
          <w:sz w:val="28"/>
          <w:szCs w:val="28"/>
        </w:rPr>
        <w:t>niger</w:t>
      </w:r>
      <w:proofErr w:type="gramEnd"/>
      <w:r>
        <w:rPr>
          <w:b/>
          <w:i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>submerged culture</w:t>
      </w:r>
    </w:p>
    <w:p w:rsidR="00267BDB" w:rsidRDefault="00267BDB" w:rsidP="00267BDB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Timothy C. Cairns</w:t>
      </w:r>
      <w:r>
        <w:rPr>
          <w:b/>
          <w:sz w:val="24"/>
          <w:szCs w:val="24"/>
          <w:vertAlign w:val="superscript"/>
        </w:rPr>
        <w:t>1,2</w:t>
      </w:r>
      <w:r>
        <w:rPr>
          <w:b/>
          <w:sz w:val="24"/>
          <w:szCs w:val="24"/>
        </w:rPr>
        <w:t>, Claudia Feurstein</w:t>
      </w:r>
      <w:r>
        <w:rPr>
          <w:b/>
          <w:sz w:val="24"/>
          <w:szCs w:val="24"/>
          <w:vertAlign w:val="superscript"/>
        </w:rPr>
        <w:t>1,2,3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Xiaomei</w:t>
      </w:r>
      <w:proofErr w:type="spellEnd"/>
      <w:r>
        <w:rPr>
          <w:b/>
          <w:sz w:val="24"/>
          <w:szCs w:val="24"/>
        </w:rPr>
        <w:t xml:space="preserve"> Zheng</w:t>
      </w:r>
      <w:r>
        <w:rPr>
          <w:b/>
          <w:sz w:val="24"/>
          <w:szCs w:val="24"/>
          <w:vertAlign w:val="superscript"/>
        </w:rPr>
        <w:t>1,2,4</w:t>
      </w:r>
      <w:r>
        <w:rPr>
          <w:b/>
          <w:sz w:val="24"/>
          <w:szCs w:val="24"/>
        </w:rPr>
        <w:t>, Li Hui Zhang</w:t>
      </w:r>
      <w:r>
        <w:rPr>
          <w:b/>
          <w:sz w:val="24"/>
          <w:szCs w:val="24"/>
          <w:vertAlign w:val="superscript"/>
        </w:rPr>
        <w:t>1,2,5</w:t>
      </w:r>
      <w:r>
        <w:rPr>
          <w:b/>
          <w:sz w:val="24"/>
          <w:szCs w:val="24"/>
        </w:rPr>
        <w:t>, Ping Zheng</w:t>
      </w:r>
      <w:r>
        <w:rPr>
          <w:b/>
          <w:sz w:val="24"/>
          <w:szCs w:val="24"/>
          <w:vertAlign w:val="superscript"/>
        </w:rPr>
        <w:t>1,2,4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Jibin</w:t>
      </w:r>
      <w:proofErr w:type="spellEnd"/>
      <w:r>
        <w:rPr>
          <w:b/>
          <w:sz w:val="24"/>
          <w:szCs w:val="24"/>
        </w:rPr>
        <w:t xml:space="preserve"> Sun</w:t>
      </w:r>
      <w:r>
        <w:rPr>
          <w:b/>
          <w:sz w:val="24"/>
          <w:szCs w:val="24"/>
          <w:vertAlign w:val="superscript"/>
        </w:rPr>
        <w:t>1,2,4</w:t>
      </w:r>
      <w:r>
        <w:rPr>
          <w:b/>
          <w:sz w:val="24"/>
          <w:szCs w:val="24"/>
        </w:rPr>
        <w:t>, and Vera Meyer</w:t>
      </w:r>
      <w:r>
        <w:rPr>
          <w:b/>
          <w:sz w:val="24"/>
          <w:szCs w:val="24"/>
          <w:vertAlign w:val="superscript"/>
        </w:rPr>
        <w:t>1,2,3,4</w:t>
      </w:r>
    </w:p>
    <w:p w:rsidR="00267BDB" w:rsidRDefault="00267BDB" w:rsidP="00267BDB">
      <w:pPr>
        <w:spacing w:after="0" w:line="360" w:lineRule="auto"/>
        <w:jc w:val="center"/>
        <w:rPr>
          <w:b/>
          <w:sz w:val="24"/>
          <w:szCs w:val="24"/>
        </w:rPr>
      </w:pPr>
    </w:p>
    <w:p w:rsidR="00267BDB" w:rsidRDefault="00267BDB" w:rsidP="00267BDB">
      <w:pPr>
        <w:spacing w:after="0" w:line="360" w:lineRule="auto"/>
        <w:jc w:val="center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Tianjin Institute of Industrial Biotechnology, Chinese Academy of Sciences, Tianjin, 300308, People’s Republic of China</w:t>
      </w:r>
    </w:p>
    <w:p w:rsidR="00267BDB" w:rsidRDefault="00267BDB" w:rsidP="00267BDB">
      <w:pPr>
        <w:spacing w:after="0" w:line="360" w:lineRule="auto"/>
        <w:jc w:val="center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2 </w:t>
      </w:r>
      <w:r>
        <w:rPr>
          <w:sz w:val="18"/>
          <w:szCs w:val="18"/>
        </w:rPr>
        <w:t>Key Laboratory of Systems Microbial Biotechnology, Chinese Academy of Sciences, Tianjin 300308, People’s Republic of China</w:t>
      </w:r>
    </w:p>
    <w:p w:rsidR="00267BDB" w:rsidRDefault="00267BDB" w:rsidP="00267BDB">
      <w:pPr>
        <w:spacing w:after="0" w:line="360" w:lineRule="auto"/>
        <w:jc w:val="center"/>
        <w:rPr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 xml:space="preserve">Technische Universität Berlin, Institute </w:t>
      </w:r>
      <w:proofErr w:type="gramStart"/>
      <w:r>
        <w:rPr>
          <w:sz w:val="18"/>
          <w:szCs w:val="18"/>
        </w:rPr>
        <w:t>of  Biotechnology</w:t>
      </w:r>
      <w:proofErr w:type="gramEnd"/>
      <w:r>
        <w:rPr>
          <w:sz w:val="18"/>
          <w:szCs w:val="18"/>
        </w:rPr>
        <w:t xml:space="preserve">, Chair of Applied and Molecular Microbiology, </w:t>
      </w:r>
    </w:p>
    <w:p w:rsidR="00267BDB" w:rsidRDefault="00267BDB" w:rsidP="00267BDB">
      <w:pPr>
        <w:spacing w:after="0" w:line="360" w:lineRule="auto"/>
        <w:jc w:val="center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Straße</w:t>
      </w:r>
      <w:proofErr w:type="spellEnd"/>
      <w:r>
        <w:rPr>
          <w:sz w:val="18"/>
          <w:szCs w:val="18"/>
        </w:rPr>
        <w:t xml:space="preserve"> des 17.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Juni</w:t>
      </w:r>
      <w:proofErr w:type="spellEnd"/>
      <w:r>
        <w:rPr>
          <w:sz w:val="18"/>
          <w:szCs w:val="18"/>
        </w:rPr>
        <w:t xml:space="preserve"> 135, 10623 Berlin, Germany</w:t>
      </w:r>
    </w:p>
    <w:p w:rsidR="00267BDB" w:rsidRDefault="00267BDB" w:rsidP="00267BDB">
      <w:pPr>
        <w:spacing w:after="0" w:line="360" w:lineRule="auto"/>
        <w:jc w:val="center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4 </w:t>
      </w:r>
      <w:r>
        <w:rPr>
          <w:sz w:val="18"/>
          <w:szCs w:val="18"/>
        </w:rPr>
        <w:t>University of Chinese Academy of Sciences, Beijing, 100049 China</w:t>
      </w:r>
    </w:p>
    <w:p w:rsidR="00267BDB" w:rsidRDefault="00267BDB" w:rsidP="00267BDB">
      <w:pPr>
        <w:spacing w:after="0" w:line="360" w:lineRule="auto"/>
        <w:jc w:val="center"/>
        <w:rPr>
          <w:sz w:val="18"/>
          <w:szCs w:val="18"/>
        </w:rPr>
      </w:pPr>
      <w:r>
        <w:rPr>
          <w:sz w:val="18"/>
          <w:szCs w:val="18"/>
          <w:vertAlign w:val="superscript"/>
        </w:rPr>
        <w:t>5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College</w:t>
      </w:r>
      <w:proofErr w:type="gramEnd"/>
      <w:r>
        <w:rPr>
          <w:sz w:val="18"/>
          <w:szCs w:val="18"/>
        </w:rPr>
        <w:t xml:space="preserve"> of Biotechnology, Tianjin University of Science &amp; Technology, Tianjin, 300457 China</w:t>
      </w:r>
    </w:p>
    <w:p w:rsidR="00267BDB" w:rsidRDefault="00267BDB" w:rsidP="00267BDB">
      <w:pPr>
        <w:spacing w:after="0" w:line="360" w:lineRule="auto"/>
        <w:jc w:val="center"/>
        <w:rPr>
          <w:sz w:val="18"/>
          <w:szCs w:val="18"/>
        </w:rPr>
      </w:pPr>
    </w:p>
    <w:p w:rsidR="00267BDB" w:rsidRDefault="00267BDB" w:rsidP="00267BDB">
      <w:pPr>
        <w:spacing w:after="0" w:line="360" w:lineRule="auto"/>
        <w:jc w:val="center"/>
        <w:rPr>
          <w:sz w:val="24"/>
          <w:szCs w:val="24"/>
        </w:rPr>
      </w:pPr>
    </w:p>
    <w:p w:rsidR="00267BDB" w:rsidRDefault="00267BDB" w:rsidP="00267BDB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267BDB" w:rsidRDefault="00267BDB" w:rsidP="00267BD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Timothy C. Cairns: t.cairns@tu-berlin.de</w:t>
      </w:r>
    </w:p>
    <w:p w:rsidR="00267BDB" w:rsidRDefault="00267BDB" w:rsidP="00267BDB">
      <w:pPr>
        <w:spacing w:after="0" w:line="36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Claudia Feurstein: c.feurstein@tu-berlin.de</w:t>
      </w:r>
    </w:p>
    <w:p w:rsidR="00267BDB" w:rsidRDefault="00267BDB" w:rsidP="00267BDB">
      <w:pPr>
        <w:spacing w:after="0" w:line="36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Li Hui Zhang: zhanglh@tib.cas.cn</w:t>
      </w:r>
    </w:p>
    <w:p w:rsidR="00267BDB" w:rsidRDefault="00267BDB" w:rsidP="00267BDB">
      <w:pPr>
        <w:spacing w:after="0" w:line="36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Xiaomei Zheng: zheng_xm@tib.cas.cn</w:t>
      </w:r>
    </w:p>
    <w:p w:rsidR="00267BDB" w:rsidRDefault="00267BDB" w:rsidP="00267BDB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Jibin</w:t>
      </w:r>
      <w:proofErr w:type="spellEnd"/>
      <w:r>
        <w:rPr>
          <w:sz w:val="24"/>
          <w:szCs w:val="24"/>
        </w:rPr>
        <w:t xml:space="preserve"> Sun: sun_jb@tib.cas.cn</w:t>
      </w:r>
    </w:p>
    <w:p w:rsidR="00267BDB" w:rsidRDefault="00267BDB" w:rsidP="00267BD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Ping Zheng: zheng_p@tib.cas.cn</w:t>
      </w:r>
    </w:p>
    <w:p w:rsidR="00267BDB" w:rsidRDefault="00267BDB" w:rsidP="00267BD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Vera Meyer: </w:t>
      </w:r>
      <w:hyperlink r:id="rId4" w:history="1">
        <w:r>
          <w:rPr>
            <w:rStyle w:val="Hyperlink"/>
            <w:sz w:val="24"/>
            <w:szCs w:val="24"/>
          </w:rPr>
          <w:t>vera.meyer@tu-berlin.de</w:t>
        </w:r>
      </w:hyperlink>
      <w:r>
        <w:rPr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 xml:space="preserve">ORCID </w:t>
      </w:r>
      <w:r>
        <w:rPr>
          <w:rFonts w:asciiTheme="majorHAnsi" w:eastAsia="Times New Roman" w:hAnsiTheme="majorHAnsi" w:cstheme="majorHAnsi"/>
          <w:sz w:val="24"/>
          <w:szCs w:val="24"/>
          <w:lang w:eastAsia="de-DE"/>
        </w:rPr>
        <w:t>0000-0002-2298-2258</w:t>
      </w:r>
    </w:p>
    <w:p w:rsidR="00267BDB" w:rsidRDefault="00267BDB" w:rsidP="00267BDB">
      <w:pPr>
        <w:spacing w:after="0" w:line="360" w:lineRule="auto"/>
        <w:rPr>
          <w:sz w:val="24"/>
          <w:szCs w:val="24"/>
        </w:rPr>
      </w:pPr>
    </w:p>
    <w:p w:rsidR="00267BDB" w:rsidRDefault="00267BDB" w:rsidP="00267BD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Contact details for corresponding authors:</w:t>
      </w:r>
    </w:p>
    <w:p w:rsidR="00267BDB" w:rsidRDefault="00267BDB" w:rsidP="00267BD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Vera Meyer, Tel.: +49 30 314 72750, Fax: +49 30 314 72922, E-mail: </w:t>
      </w:r>
      <w:hyperlink r:id="rId5" w:history="1">
        <w:r>
          <w:rPr>
            <w:rStyle w:val="Hyperlink"/>
            <w:sz w:val="24"/>
            <w:szCs w:val="24"/>
          </w:rPr>
          <w:t>vera.meyer@tu-berlin.de</w:t>
        </w:r>
      </w:hyperlink>
    </w:p>
    <w:p w:rsidR="00267BDB" w:rsidRDefault="00267BDB" w:rsidP="00267BD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Sun, Tel.: +86-8486 </w:t>
      </w:r>
      <w:proofErr w:type="gramStart"/>
      <w:r>
        <w:rPr>
          <w:sz w:val="24"/>
          <w:szCs w:val="24"/>
        </w:rPr>
        <w:t>1949,</w:t>
      </w:r>
      <w:proofErr w:type="gramEnd"/>
      <w:r>
        <w:rPr>
          <w:sz w:val="24"/>
          <w:szCs w:val="24"/>
        </w:rPr>
        <w:t xml:space="preserve"> Fax: +86-8486 1943, E-mail: </w:t>
      </w:r>
      <w:hyperlink r:id="rId6" w:history="1">
        <w:r>
          <w:rPr>
            <w:rStyle w:val="Hyperlink"/>
            <w:sz w:val="24"/>
            <w:szCs w:val="24"/>
          </w:rPr>
          <w:t>sun_jb@tib.cas.cn</w:t>
        </w:r>
      </w:hyperlink>
      <w:bookmarkEnd w:id="0"/>
      <w:bookmarkEnd w:id="1"/>
    </w:p>
    <w:p w:rsidR="00C1266B" w:rsidRDefault="00C1266B" w:rsidP="00262D2C">
      <w:pPr>
        <w:spacing w:line="360" w:lineRule="auto"/>
        <w:jc w:val="both"/>
        <w:rPr>
          <w:sz w:val="24"/>
          <w:szCs w:val="24"/>
        </w:rPr>
      </w:pPr>
    </w:p>
    <w:p w:rsidR="00DF591A" w:rsidRDefault="000F7701"/>
    <w:p w:rsidR="00DF502B" w:rsidRDefault="00DF502B"/>
    <w:p w:rsidR="00DF502B" w:rsidRDefault="00DF502B"/>
    <w:p w:rsidR="00DF502B" w:rsidRDefault="0006367B" w:rsidP="007D4BCA">
      <w:pPr>
        <w:jc w:val="center"/>
      </w:pPr>
      <w:bookmarkStart w:id="2" w:name="_GoBack"/>
      <w:bookmarkEnd w:id="2"/>
      <w:r>
        <w:rPr>
          <w:noProof/>
          <w:lang w:val="en-US"/>
        </w:rPr>
        <w:drawing>
          <wp:inline distT="0" distB="0" distL="0" distR="0">
            <wp:extent cx="4484165" cy="57613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523" cy="576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502B" w:rsidRDefault="00DF502B"/>
    <w:p w:rsidR="007D4BCA" w:rsidRPr="0022274D" w:rsidRDefault="000F7701" w:rsidP="007D4BCA">
      <w:pPr>
        <w:spacing w:line="360" w:lineRule="auto"/>
        <w:jc w:val="both"/>
        <w:rPr>
          <w:bCs/>
          <w:sz w:val="24"/>
          <w:szCs w:val="24"/>
        </w:rPr>
      </w:pPr>
      <w:bookmarkStart w:id="3" w:name="_Hlk20487531"/>
      <w:r>
        <w:rPr>
          <w:b/>
          <w:sz w:val="24"/>
          <w:szCs w:val="24"/>
        </w:rPr>
        <w:t xml:space="preserve">Additional </w:t>
      </w:r>
      <w:r w:rsidR="007D4BCA" w:rsidRPr="0022274D">
        <w:rPr>
          <w:b/>
          <w:sz w:val="24"/>
          <w:szCs w:val="24"/>
        </w:rPr>
        <w:t>File</w:t>
      </w:r>
      <w:r>
        <w:rPr>
          <w:b/>
          <w:sz w:val="24"/>
          <w:szCs w:val="24"/>
        </w:rPr>
        <w:t xml:space="preserve"> </w:t>
      </w:r>
      <w:r w:rsidR="0006367B">
        <w:rPr>
          <w:b/>
          <w:sz w:val="24"/>
          <w:szCs w:val="24"/>
        </w:rPr>
        <w:t>4</w:t>
      </w:r>
      <w:r w:rsidR="007D4BCA" w:rsidRPr="0022274D">
        <w:rPr>
          <w:b/>
          <w:sz w:val="24"/>
          <w:szCs w:val="24"/>
        </w:rPr>
        <w:t>:</w:t>
      </w:r>
      <w:r w:rsidR="007D4BCA">
        <w:rPr>
          <w:b/>
          <w:sz w:val="24"/>
          <w:szCs w:val="24"/>
        </w:rPr>
        <w:t xml:space="preserve"> </w:t>
      </w:r>
      <w:r w:rsidR="007157DF">
        <w:rPr>
          <w:b/>
          <w:sz w:val="24"/>
          <w:szCs w:val="24"/>
        </w:rPr>
        <w:t>Localisation of mitochondria in young</w:t>
      </w:r>
      <w:r w:rsidR="004F30B9">
        <w:rPr>
          <w:b/>
          <w:sz w:val="24"/>
          <w:szCs w:val="24"/>
        </w:rPr>
        <w:t xml:space="preserve"> </w:t>
      </w:r>
      <w:r w:rsidR="004F30B9" w:rsidRPr="004F30B9">
        <w:rPr>
          <w:b/>
          <w:i/>
          <w:iCs/>
          <w:sz w:val="24"/>
          <w:szCs w:val="24"/>
        </w:rPr>
        <w:t>A.</w:t>
      </w:r>
      <w:r w:rsidR="004F30B9">
        <w:rPr>
          <w:b/>
          <w:i/>
          <w:iCs/>
          <w:sz w:val="24"/>
          <w:szCs w:val="24"/>
        </w:rPr>
        <w:t xml:space="preserve"> </w:t>
      </w:r>
      <w:proofErr w:type="gramStart"/>
      <w:r w:rsidR="004F30B9" w:rsidRPr="004F30B9">
        <w:rPr>
          <w:b/>
          <w:i/>
          <w:iCs/>
          <w:sz w:val="24"/>
          <w:szCs w:val="24"/>
        </w:rPr>
        <w:t>niger</w:t>
      </w:r>
      <w:proofErr w:type="gramEnd"/>
      <w:r w:rsidR="007157DF">
        <w:rPr>
          <w:b/>
          <w:sz w:val="24"/>
          <w:szCs w:val="24"/>
        </w:rPr>
        <w:t xml:space="preserve"> hyphae is not dependent on </w:t>
      </w:r>
      <w:proofErr w:type="spellStart"/>
      <w:r w:rsidR="007157DF" w:rsidRPr="007157DF">
        <w:rPr>
          <w:b/>
          <w:i/>
          <w:iCs/>
          <w:sz w:val="24"/>
          <w:szCs w:val="24"/>
        </w:rPr>
        <w:t>secG</w:t>
      </w:r>
      <w:proofErr w:type="spellEnd"/>
      <w:r w:rsidR="007157DF">
        <w:rPr>
          <w:b/>
          <w:sz w:val="24"/>
          <w:szCs w:val="24"/>
        </w:rPr>
        <w:t xml:space="preserve">, </w:t>
      </w:r>
      <w:proofErr w:type="spellStart"/>
      <w:r w:rsidR="007157DF" w:rsidRPr="007157DF">
        <w:rPr>
          <w:b/>
          <w:i/>
          <w:iCs/>
          <w:sz w:val="24"/>
          <w:szCs w:val="24"/>
        </w:rPr>
        <w:t>ageB</w:t>
      </w:r>
      <w:proofErr w:type="spellEnd"/>
      <w:r w:rsidR="007157DF">
        <w:rPr>
          <w:b/>
          <w:sz w:val="24"/>
          <w:szCs w:val="24"/>
        </w:rPr>
        <w:t xml:space="preserve">, or </w:t>
      </w:r>
      <w:proofErr w:type="spellStart"/>
      <w:r w:rsidR="007157DF" w:rsidRPr="007157DF">
        <w:rPr>
          <w:b/>
          <w:i/>
          <w:iCs/>
          <w:sz w:val="24"/>
          <w:szCs w:val="24"/>
        </w:rPr>
        <w:t>geaB</w:t>
      </w:r>
      <w:proofErr w:type="spellEnd"/>
      <w:r w:rsidR="007157DF">
        <w:rPr>
          <w:b/>
          <w:sz w:val="24"/>
          <w:szCs w:val="24"/>
        </w:rPr>
        <w:t xml:space="preserve"> expression.</w:t>
      </w:r>
      <w:r w:rsidR="004F30B9">
        <w:rPr>
          <w:b/>
          <w:sz w:val="24"/>
          <w:szCs w:val="24"/>
        </w:rPr>
        <w:t xml:space="preserve"> </w:t>
      </w:r>
      <w:r w:rsidR="004F30B9">
        <w:rPr>
          <w:bCs/>
          <w:sz w:val="24"/>
          <w:szCs w:val="24"/>
        </w:rPr>
        <w:t xml:space="preserve">Isolates were inoculated in </w:t>
      </w:r>
      <w:proofErr w:type="spellStart"/>
      <w:r w:rsidR="004F30B9">
        <w:rPr>
          <w:bCs/>
          <w:sz w:val="24"/>
          <w:szCs w:val="24"/>
        </w:rPr>
        <w:t>CitACM</w:t>
      </w:r>
      <w:proofErr w:type="spellEnd"/>
      <w:r w:rsidR="004F30B9">
        <w:rPr>
          <w:bCs/>
          <w:sz w:val="24"/>
          <w:szCs w:val="24"/>
        </w:rPr>
        <w:t xml:space="preserve"> media supplemented with the indicated Dox concentration and grown for 8 hours at 34</w:t>
      </w:r>
      <w:r w:rsidR="004F30B9">
        <w:rPr>
          <w:rFonts w:cstheme="minorHAnsi"/>
          <w:bCs/>
          <w:sz w:val="24"/>
          <w:szCs w:val="24"/>
        </w:rPr>
        <w:t>°</w:t>
      </w:r>
      <w:r w:rsidR="004F30B9">
        <w:rPr>
          <w:bCs/>
          <w:sz w:val="24"/>
          <w:szCs w:val="24"/>
        </w:rPr>
        <w:t xml:space="preserve">C with 220 RPM. Cells were stained with </w:t>
      </w:r>
      <w:proofErr w:type="spellStart"/>
      <w:r w:rsidR="004F30B9" w:rsidRPr="004F30B9">
        <w:rPr>
          <w:bCs/>
          <w:sz w:val="24"/>
          <w:szCs w:val="24"/>
        </w:rPr>
        <w:t>MitoTracker</w:t>
      </w:r>
      <w:proofErr w:type="spellEnd"/>
      <w:r w:rsidR="004F30B9" w:rsidRPr="004F30B9">
        <w:rPr>
          <w:bCs/>
          <w:sz w:val="24"/>
          <w:szCs w:val="24"/>
        </w:rPr>
        <w:t xml:space="preserve"> Green FM </w:t>
      </w:r>
      <w:r w:rsidR="004F30B9">
        <w:rPr>
          <w:bCs/>
          <w:sz w:val="24"/>
          <w:szCs w:val="24"/>
        </w:rPr>
        <w:t xml:space="preserve">(Thermo Fisher, Germany) and microscopy conducted using an inverted TCS SP8 fluorescent microscope </w:t>
      </w:r>
      <w:r w:rsidR="004F30B9" w:rsidRPr="004F30B9">
        <w:rPr>
          <w:bCs/>
          <w:sz w:val="24"/>
          <w:szCs w:val="24"/>
        </w:rPr>
        <w:t>(Leica</w:t>
      </w:r>
      <w:r w:rsidR="004F30B9">
        <w:rPr>
          <w:bCs/>
          <w:sz w:val="24"/>
          <w:szCs w:val="24"/>
        </w:rPr>
        <w:t xml:space="preserve">, Germany). This assay did not detect any differences in mitochondrial </w:t>
      </w:r>
      <w:r w:rsidR="0039433E">
        <w:rPr>
          <w:bCs/>
          <w:sz w:val="24"/>
          <w:szCs w:val="24"/>
        </w:rPr>
        <w:t>localisation</w:t>
      </w:r>
      <w:r w:rsidR="004F30B9">
        <w:rPr>
          <w:bCs/>
          <w:sz w:val="24"/>
          <w:szCs w:val="24"/>
        </w:rPr>
        <w:t xml:space="preserve"> between conditional expression mutants and control</w:t>
      </w:r>
      <w:r w:rsidR="0069603F">
        <w:rPr>
          <w:bCs/>
          <w:sz w:val="24"/>
          <w:szCs w:val="24"/>
        </w:rPr>
        <w:t xml:space="preserve">, or between 0/20 </w:t>
      </w:r>
      <w:r w:rsidR="0069603F">
        <w:rPr>
          <w:rFonts w:cstheme="minorHAnsi"/>
          <w:bCs/>
          <w:sz w:val="24"/>
          <w:szCs w:val="24"/>
        </w:rPr>
        <w:t>µ</w:t>
      </w:r>
      <w:r w:rsidR="0069603F">
        <w:rPr>
          <w:bCs/>
          <w:sz w:val="24"/>
          <w:szCs w:val="24"/>
        </w:rPr>
        <w:t>g/ml Dox and 0.2/20</w:t>
      </w:r>
      <w:r w:rsidR="0069603F">
        <w:rPr>
          <w:rFonts w:cstheme="minorHAnsi"/>
          <w:bCs/>
          <w:sz w:val="24"/>
          <w:szCs w:val="24"/>
        </w:rPr>
        <w:t>µ</w:t>
      </w:r>
      <w:r w:rsidR="0069603F">
        <w:rPr>
          <w:bCs/>
          <w:sz w:val="24"/>
          <w:szCs w:val="24"/>
        </w:rPr>
        <w:t>g/ml Dox concentrations.</w:t>
      </w:r>
      <w:r w:rsidR="004F30B9">
        <w:rPr>
          <w:bCs/>
          <w:sz w:val="24"/>
          <w:szCs w:val="24"/>
        </w:rPr>
        <w:t xml:space="preserve"> </w:t>
      </w:r>
      <w:r w:rsidR="00B1006E">
        <w:rPr>
          <w:bCs/>
          <w:sz w:val="24"/>
          <w:szCs w:val="24"/>
        </w:rPr>
        <w:t xml:space="preserve">Scale bar in top left panel is 5 </w:t>
      </w:r>
      <w:r w:rsidR="00B1006E">
        <w:rPr>
          <w:rFonts w:cstheme="minorHAnsi"/>
          <w:bCs/>
          <w:sz w:val="24"/>
          <w:szCs w:val="24"/>
        </w:rPr>
        <w:t>µ</w:t>
      </w:r>
      <w:r w:rsidR="00B1006E">
        <w:rPr>
          <w:bCs/>
          <w:sz w:val="24"/>
          <w:szCs w:val="24"/>
        </w:rPr>
        <w:t>m.</w:t>
      </w:r>
    </w:p>
    <w:bookmarkEnd w:id="3"/>
    <w:p w:rsidR="00DF502B" w:rsidRDefault="00DF502B"/>
    <w:sectPr w:rsidR="00DF502B" w:rsidSect="00797E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502B"/>
    <w:rsid w:val="00011473"/>
    <w:rsid w:val="00054BE8"/>
    <w:rsid w:val="0006367B"/>
    <w:rsid w:val="00076BA6"/>
    <w:rsid w:val="000F7701"/>
    <w:rsid w:val="00262D2C"/>
    <w:rsid w:val="00267BDB"/>
    <w:rsid w:val="00327AA5"/>
    <w:rsid w:val="0039433E"/>
    <w:rsid w:val="00440E06"/>
    <w:rsid w:val="004433FB"/>
    <w:rsid w:val="004F30B9"/>
    <w:rsid w:val="005E5644"/>
    <w:rsid w:val="0069603F"/>
    <w:rsid w:val="006F5434"/>
    <w:rsid w:val="007157DF"/>
    <w:rsid w:val="00797E86"/>
    <w:rsid w:val="007D4BCA"/>
    <w:rsid w:val="009077F1"/>
    <w:rsid w:val="00B1006E"/>
    <w:rsid w:val="00B154B9"/>
    <w:rsid w:val="00C1266B"/>
    <w:rsid w:val="00DF502B"/>
    <w:rsid w:val="00E0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0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n_jb@tib.cas.cn" TargetMode="External"/><Relationship Id="rId5" Type="http://schemas.openxmlformats.org/officeDocument/2006/relationships/hyperlink" Target="mailto:vera.meyer@tu-berlin.de" TargetMode="External"/><Relationship Id="rId4" Type="http://schemas.openxmlformats.org/officeDocument/2006/relationships/hyperlink" Target="mailto:vera.meyer@tu-berlin.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Charles Cairns</dc:creator>
  <cp:keywords/>
  <dc:description/>
  <cp:lastModifiedBy>0012761</cp:lastModifiedBy>
  <cp:revision>11</cp:revision>
  <dcterms:created xsi:type="dcterms:W3CDTF">2019-09-27T11:57:00Z</dcterms:created>
  <dcterms:modified xsi:type="dcterms:W3CDTF">2019-10-24T14:41:00Z</dcterms:modified>
</cp:coreProperties>
</file>