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F0276" w14:textId="77777777" w:rsidR="00426C21" w:rsidRPr="00886F02" w:rsidRDefault="00532B0A" w:rsidP="00886F02">
      <w:pPr>
        <w:spacing w:line="480" w:lineRule="auto"/>
        <w:jc w:val="center"/>
        <w:rPr>
          <w:b/>
        </w:rPr>
      </w:pPr>
      <w:r w:rsidRPr="00886F02">
        <w:rPr>
          <w:b/>
        </w:rPr>
        <w:t>Supplementary Appendix</w:t>
      </w:r>
    </w:p>
    <w:p w14:paraId="58F6FC14" w14:textId="77777777" w:rsidR="00B00A0B" w:rsidRPr="00326E25" w:rsidRDefault="00B00A0B" w:rsidP="00B00A0B">
      <w:pPr>
        <w:suppressLineNumbers/>
        <w:spacing w:line="480" w:lineRule="auto"/>
        <w:jc w:val="center"/>
        <w:rPr>
          <w:color w:val="000000"/>
        </w:rPr>
      </w:pPr>
      <w:r w:rsidRPr="00326E25">
        <w:rPr>
          <w:color w:val="000000"/>
        </w:rPr>
        <w:t>The latent tuberculosis infection cascade of care in Iqaluit, Nunavut</w:t>
      </w:r>
      <w:r>
        <w:rPr>
          <w:color w:val="000000"/>
        </w:rPr>
        <w:t>, 2012-2016</w:t>
      </w:r>
    </w:p>
    <w:p w14:paraId="16317AB0" w14:textId="77777777" w:rsidR="00B00A0B" w:rsidRPr="00326E25" w:rsidRDefault="00B00A0B" w:rsidP="00B00A0B">
      <w:pPr>
        <w:suppressLineNumbers/>
        <w:spacing w:line="480" w:lineRule="auto"/>
        <w:rPr>
          <w:color w:val="000000"/>
        </w:rPr>
      </w:pPr>
    </w:p>
    <w:p w14:paraId="033C693D" w14:textId="77777777" w:rsidR="00B00A0B" w:rsidRPr="00326E25" w:rsidRDefault="00B00A0B" w:rsidP="00B00A0B">
      <w:pPr>
        <w:suppressLineNumbers/>
        <w:spacing w:line="480" w:lineRule="auto"/>
        <w:jc w:val="center"/>
        <w:rPr>
          <w:color w:val="000000"/>
        </w:rPr>
      </w:pPr>
    </w:p>
    <w:p w14:paraId="3BBE7C92" w14:textId="77777777" w:rsidR="00AC7669" w:rsidRPr="00E6463A" w:rsidRDefault="00AC7669" w:rsidP="00AC7669">
      <w:pPr>
        <w:suppressLineNumbers/>
        <w:rPr>
          <w:color w:val="000000"/>
          <w:sz w:val="20"/>
          <w:szCs w:val="20"/>
        </w:rPr>
      </w:pPr>
      <w:r w:rsidRPr="00326E25">
        <w:rPr>
          <w:color w:val="000000"/>
        </w:rPr>
        <w:t>Christopher Pease</w:t>
      </w:r>
      <w:r w:rsidRPr="00326E25">
        <w:rPr>
          <w:color w:val="000000"/>
          <w:sz w:val="16"/>
          <w:szCs w:val="16"/>
          <w:vertAlign w:val="superscript"/>
        </w:rPr>
        <w:t>1,2</w:t>
      </w:r>
      <w:r>
        <w:rPr>
          <w:color w:val="000000"/>
          <w:sz w:val="16"/>
          <w:szCs w:val="16"/>
          <w:vertAlign w:val="superscript"/>
        </w:rPr>
        <w:t xml:space="preserve"> </w:t>
      </w:r>
      <w:r>
        <w:rPr>
          <w:color w:val="000000"/>
        </w:rPr>
        <w:t>(cpease@toh.ca),</w:t>
      </w:r>
      <w:r w:rsidRPr="00326E25">
        <w:rPr>
          <w:color w:val="000000"/>
        </w:rPr>
        <w:t xml:space="preserve"> Alice Zwerling</w:t>
      </w:r>
      <w:r w:rsidRPr="00326E25">
        <w:rPr>
          <w:color w:val="000000"/>
          <w:sz w:val="16"/>
          <w:szCs w:val="16"/>
          <w:vertAlign w:val="superscript"/>
        </w:rPr>
        <w:t>2</w:t>
      </w:r>
      <w:r>
        <w:rPr>
          <w:color w:val="000000"/>
          <w:sz w:val="16"/>
          <w:szCs w:val="16"/>
          <w:vertAlign w:val="superscript"/>
        </w:rPr>
        <w:t xml:space="preserve"> </w:t>
      </w:r>
      <w:r>
        <w:rPr>
          <w:color w:val="000000"/>
        </w:rPr>
        <w:t>(</w:t>
      </w:r>
      <w:r w:rsidRPr="000C4196">
        <w:rPr>
          <w:color w:val="000000"/>
        </w:rPr>
        <w:t>azwerlin@uottawa.ca</w:t>
      </w:r>
      <w:r>
        <w:rPr>
          <w:color w:val="000000"/>
        </w:rPr>
        <w:t>),</w:t>
      </w:r>
      <w:r w:rsidRPr="00326E25">
        <w:rPr>
          <w:color w:val="000000"/>
        </w:rPr>
        <w:t xml:space="preserve"> </w:t>
      </w:r>
      <w:proofErr w:type="spellStart"/>
      <w:r w:rsidRPr="00326E25">
        <w:rPr>
          <w:color w:val="000000"/>
        </w:rPr>
        <w:t>Ranjeeta</w:t>
      </w:r>
      <w:proofErr w:type="spellEnd"/>
      <w:r w:rsidRPr="00326E25">
        <w:rPr>
          <w:color w:val="000000"/>
        </w:rPr>
        <w:t xml:space="preserve"> Mallick</w:t>
      </w:r>
      <w:r w:rsidRPr="00326E25">
        <w:rPr>
          <w:color w:val="000000"/>
          <w:sz w:val="16"/>
          <w:szCs w:val="16"/>
          <w:vertAlign w:val="superscript"/>
        </w:rPr>
        <w:t>3</w:t>
      </w:r>
      <w:r>
        <w:rPr>
          <w:color w:val="000000"/>
        </w:rPr>
        <w:t xml:space="preserve"> (</w:t>
      </w:r>
      <w:r w:rsidRPr="00BF6A9A">
        <w:rPr>
          <w:color w:val="000000"/>
        </w:rPr>
        <w:t>rmallick@ohri.ca</w:t>
      </w:r>
      <w:r>
        <w:rPr>
          <w:color w:val="000000"/>
        </w:rPr>
        <w:t>),</w:t>
      </w:r>
      <w:r w:rsidRPr="00326E25">
        <w:rPr>
          <w:color w:val="000000"/>
        </w:rPr>
        <w:t xml:space="preserve"> </w:t>
      </w:r>
      <w:r>
        <w:rPr>
          <w:color w:val="000000"/>
        </w:rPr>
        <w:t>Mike Patterson</w:t>
      </w:r>
      <w:r w:rsidRPr="00A05E6A">
        <w:rPr>
          <w:color w:val="000000"/>
          <w:sz w:val="16"/>
          <w:szCs w:val="16"/>
          <w:vertAlign w:val="superscript"/>
        </w:rPr>
        <w:t>5</w:t>
      </w:r>
      <w:r>
        <w:rPr>
          <w:color w:val="000000"/>
          <w:sz w:val="16"/>
          <w:szCs w:val="16"/>
          <w:vertAlign w:val="superscript"/>
        </w:rPr>
        <w:t xml:space="preserve"> </w:t>
      </w:r>
      <w:r>
        <w:rPr>
          <w:color w:val="000000"/>
        </w:rPr>
        <w:t>(</w:t>
      </w:r>
      <w:r w:rsidRPr="000C4196">
        <w:rPr>
          <w:color w:val="000000"/>
        </w:rPr>
        <w:t>mpatterson@gov.nu.ca</w:t>
      </w:r>
      <w:r>
        <w:rPr>
          <w:color w:val="000000"/>
        </w:rPr>
        <w:t>), Patricia Demaio</w:t>
      </w:r>
      <w:r w:rsidRPr="00FC6792">
        <w:rPr>
          <w:color w:val="000000"/>
          <w:vertAlign w:val="superscript"/>
        </w:rPr>
        <w:t>5</w:t>
      </w:r>
      <w:r>
        <w:rPr>
          <w:color w:val="000000"/>
          <w:vertAlign w:val="superscript"/>
        </w:rPr>
        <w:t xml:space="preserve"> </w:t>
      </w:r>
      <w:r>
        <w:rPr>
          <w:color w:val="000000"/>
        </w:rPr>
        <w:t>(</w:t>
      </w:r>
      <w:r w:rsidRPr="000C4196">
        <w:rPr>
          <w:color w:val="000000"/>
        </w:rPr>
        <w:t>pdemaio@gov.nu.ca</w:t>
      </w:r>
      <w:r>
        <w:rPr>
          <w:color w:val="000000"/>
        </w:rPr>
        <w:t>), Sandy Finn</w:t>
      </w:r>
      <w:r>
        <w:rPr>
          <w:color w:val="000000"/>
          <w:sz w:val="16"/>
          <w:szCs w:val="16"/>
          <w:vertAlign w:val="superscript"/>
        </w:rPr>
        <w:t>5</w:t>
      </w:r>
      <w:r>
        <w:rPr>
          <w:color w:val="000000"/>
        </w:rPr>
        <w:t xml:space="preserve"> (</w:t>
      </w:r>
      <w:r w:rsidRPr="000C4196">
        <w:rPr>
          <w:color w:val="000000"/>
        </w:rPr>
        <w:t>sfinn@gov.nu.ca</w:t>
      </w:r>
      <w:r>
        <w:rPr>
          <w:color w:val="000000"/>
        </w:rPr>
        <w:t>), Jean Allen</w:t>
      </w:r>
      <w:r w:rsidRPr="00436DD5">
        <w:rPr>
          <w:color w:val="000000"/>
          <w:sz w:val="16"/>
          <w:szCs w:val="16"/>
          <w:vertAlign w:val="superscript"/>
        </w:rPr>
        <w:t>6</w:t>
      </w:r>
      <w:r>
        <w:rPr>
          <w:color w:val="000000"/>
        </w:rPr>
        <w:t xml:space="preserve"> (</w:t>
      </w:r>
      <w:r w:rsidRPr="000C4196">
        <w:rPr>
          <w:color w:val="000000"/>
        </w:rPr>
        <w:t>jallen@tunngavik.com</w:t>
      </w:r>
      <w:r>
        <w:rPr>
          <w:color w:val="000000"/>
        </w:rPr>
        <w:t xml:space="preserve">), </w:t>
      </w:r>
      <w:r w:rsidRPr="00326E25">
        <w:rPr>
          <w:color w:val="000000"/>
        </w:rPr>
        <w:t>Deborah Van Dyk</w:t>
      </w:r>
      <w:r w:rsidRPr="00F06F64">
        <w:rPr>
          <w:color w:val="000000"/>
          <w:sz w:val="16"/>
          <w:szCs w:val="16"/>
          <w:vertAlign w:val="superscript"/>
        </w:rPr>
        <w:t>3</w:t>
      </w:r>
      <w:r>
        <w:rPr>
          <w:color w:val="000000"/>
          <w:sz w:val="16"/>
          <w:szCs w:val="16"/>
          <w:vertAlign w:val="superscript"/>
        </w:rPr>
        <w:t xml:space="preserve"> </w:t>
      </w:r>
      <w:r>
        <w:rPr>
          <w:color w:val="000000"/>
        </w:rPr>
        <w:t>(</w:t>
      </w:r>
      <w:r w:rsidRPr="000C4196">
        <w:rPr>
          <w:color w:val="000000"/>
        </w:rPr>
        <w:t>dvandyk@ohri.ca</w:t>
      </w:r>
      <w:r>
        <w:rPr>
          <w:color w:val="000000"/>
        </w:rPr>
        <w:t>),</w:t>
      </w:r>
      <w:r w:rsidRPr="00326E25">
        <w:rPr>
          <w:color w:val="000000"/>
        </w:rPr>
        <w:t xml:space="preserve"> Gonzalo G. Alvarez</w:t>
      </w:r>
      <w:r w:rsidRPr="00326E25">
        <w:rPr>
          <w:color w:val="000000"/>
          <w:sz w:val="16"/>
          <w:szCs w:val="16"/>
          <w:vertAlign w:val="superscript"/>
        </w:rPr>
        <w:t>1,</w:t>
      </w:r>
      <w:r w:rsidRPr="00FC0560">
        <w:rPr>
          <w:color w:val="000000"/>
          <w:sz w:val="16"/>
          <w:szCs w:val="16"/>
          <w:vertAlign w:val="superscript"/>
        </w:rPr>
        <w:t>2,</w:t>
      </w:r>
      <w:r w:rsidRPr="00326E25">
        <w:rPr>
          <w:color w:val="000000"/>
          <w:sz w:val="16"/>
          <w:szCs w:val="16"/>
          <w:vertAlign w:val="superscript"/>
        </w:rPr>
        <w:t>3,4</w:t>
      </w:r>
      <w:r w:rsidRPr="00326E25">
        <w:rPr>
          <w:color w:val="000000"/>
        </w:rPr>
        <w:t xml:space="preserve"> </w:t>
      </w:r>
      <w:r>
        <w:rPr>
          <w:color w:val="000000"/>
        </w:rPr>
        <w:t>(</w:t>
      </w:r>
      <w:r w:rsidRPr="000C4196">
        <w:rPr>
          <w:color w:val="000000"/>
        </w:rPr>
        <w:t>galvarez@toh.ca</w:t>
      </w:r>
      <w:r>
        <w:rPr>
          <w:color w:val="000000"/>
        </w:rPr>
        <w:t>)</w:t>
      </w:r>
    </w:p>
    <w:p w14:paraId="2B3C8787" w14:textId="77777777" w:rsidR="00B00A0B" w:rsidRPr="00326E25" w:rsidRDefault="00B00A0B" w:rsidP="00B00A0B">
      <w:pPr>
        <w:suppressLineNumbers/>
        <w:rPr>
          <w:b/>
          <w:bCs/>
          <w:color w:val="000000"/>
        </w:rPr>
      </w:pPr>
    </w:p>
    <w:p w14:paraId="4C281804" w14:textId="77777777" w:rsidR="00B00A0B" w:rsidRPr="00326E25" w:rsidRDefault="00B00A0B" w:rsidP="00B00A0B">
      <w:pPr>
        <w:suppressLineNumbers/>
        <w:jc w:val="both"/>
        <w:rPr>
          <w:color w:val="000000"/>
        </w:rPr>
      </w:pPr>
      <w:r w:rsidRPr="00326E25">
        <w:rPr>
          <w:color w:val="000000"/>
        </w:rPr>
        <w:t xml:space="preserve">1=Ottawa Hospital, </w:t>
      </w:r>
      <w:r>
        <w:rPr>
          <w:color w:val="000000"/>
        </w:rPr>
        <w:t xml:space="preserve">Department of Medicine, </w:t>
      </w:r>
      <w:r w:rsidRPr="00326E25">
        <w:rPr>
          <w:color w:val="000000"/>
        </w:rPr>
        <w:t>Ottawa, Canada</w:t>
      </w:r>
    </w:p>
    <w:p w14:paraId="392E205A" w14:textId="77777777" w:rsidR="00B00A0B" w:rsidRPr="00326E25" w:rsidRDefault="00B00A0B" w:rsidP="00B00A0B">
      <w:pPr>
        <w:suppressLineNumbers/>
        <w:jc w:val="both"/>
        <w:rPr>
          <w:color w:val="000000"/>
        </w:rPr>
      </w:pPr>
      <w:r w:rsidRPr="00326E25">
        <w:rPr>
          <w:color w:val="000000"/>
        </w:rPr>
        <w:t>2= Ottawa University School of Epidemiology and Public Health, Ottawa, Canada</w:t>
      </w:r>
    </w:p>
    <w:p w14:paraId="399C00CD" w14:textId="77777777" w:rsidR="00B00A0B" w:rsidRPr="00326E25" w:rsidRDefault="00B00A0B" w:rsidP="00B00A0B">
      <w:pPr>
        <w:suppressLineNumbers/>
        <w:jc w:val="both"/>
        <w:rPr>
          <w:color w:val="000000"/>
        </w:rPr>
      </w:pPr>
      <w:r w:rsidRPr="00326E25">
        <w:rPr>
          <w:color w:val="000000"/>
        </w:rPr>
        <w:t>3=Ottawa Hospital Research Institute, Ottawa, Canada</w:t>
      </w:r>
    </w:p>
    <w:p w14:paraId="30D785BA" w14:textId="77777777" w:rsidR="00B00A0B" w:rsidRDefault="00B00A0B" w:rsidP="00B00A0B">
      <w:pPr>
        <w:suppressLineNumbers/>
        <w:jc w:val="both"/>
        <w:rPr>
          <w:color w:val="000000"/>
        </w:rPr>
      </w:pPr>
      <w:r w:rsidRPr="00326E25">
        <w:rPr>
          <w:color w:val="000000"/>
        </w:rPr>
        <w:t>4=Ottawa University Faculty of Medicine, Ottawa, Canada</w:t>
      </w:r>
    </w:p>
    <w:p w14:paraId="5731EE76" w14:textId="77777777" w:rsidR="00B00A0B" w:rsidRDefault="00B00A0B" w:rsidP="00B00A0B">
      <w:pPr>
        <w:suppressLineNumbers/>
        <w:jc w:val="both"/>
        <w:rPr>
          <w:color w:val="000000"/>
        </w:rPr>
      </w:pPr>
      <w:r>
        <w:rPr>
          <w:color w:val="000000"/>
        </w:rPr>
        <w:t>5=Ministry of Health, Government of Nunavut, Iqaluit, Nunavut</w:t>
      </w:r>
    </w:p>
    <w:p w14:paraId="3196000E" w14:textId="77777777" w:rsidR="00B00A0B" w:rsidRDefault="00B00A0B" w:rsidP="00B00A0B">
      <w:pPr>
        <w:suppressLineNumbers/>
        <w:jc w:val="both"/>
        <w:rPr>
          <w:color w:val="000000"/>
        </w:rPr>
      </w:pPr>
      <w:r>
        <w:rPr>
          <w:color w:val="000000"/>
        </w:rPr>
        <w:t xml:space="preserve">6=Nunavut </w:t>
      </w:r>
      <w:proofErr w:type="spellStart"/>
      <w:r>
        <w:rPr>
          <w:color w:val="000000"/>
        </w:rPr>
        <w:t>Tunngavik</w:t>
      </w:r>
      <w:proofErr w:type="spellEnd"/>
      <w:r>
        <w:rPr>
          <w:color w:val="000000"/>
        </w:rPr>
        <w:t xml:space="preserve"> Inc, Iqaluit, Nunavut</w:t>
      </w:r>
    </w:p>
    <w:p w14:paraId="628CF519" w14:textId="77777777" w:rsidR="00B00A0B" w:rsidRPr="00326E25" w:rsidRDefault="00B00A0B" w:rsidP="00B00A0B">
      <w:pPr>
        <w:suppressLineNumbers/>
        <w:jc w:val="both"/>
        <w:rPr>
          <w:color w:val="000000"/>
        </w:rPr>
      </w:pPr>
    </w:p>
    <w:p w14:paraId="54A39C05" w14:textId="77777777" w:rsidR="00B00A0B" w:rsidRDefault="00B00A0B" w:rsidP="00B00A0B">
      <w:pPr>
        <w:suppressLineNumbers/>
        <w:jc w:val="both"/>
        <w:rPr>
          <w:bCs/>
          <w:color w:val="000000"/>
        </w:rPr>
      </w:pPr>
    </w:p>
    <w:p w14:paraId="08903E12" w14:textId="77777777" w:rsidR="00A130B3" w:rsidRPr="00886F02" w:rsidRDefault="00A130B3" w:rsidP="00886F02">
      <w:pPr>
        <w:spacing w:line="480" w:lineRule="auto"/>
        <w:rPr>
          <w:b/>
        </w:rPr>
      </w:pPr>
      <w:r w:rsidRPr="00886F02">
        <w:rPr>
          <w:b/>
        </w:rPr>
        <w:br w:type="page"/>
      </w:r>
    </w:p>
    <w:p w14:paraId="3CAC9ED8" w14:textId="09E0EB12" w:rsidR="00860B80" w:rsidRPr="00886F02" w:rsidRDefault="00532B0A" w:rsidP="00886F02">
      <w:pPr>
        <w:spacing w:line="480" w:lineRule="auto"/>
        <w:rPr>
          <w:b/>
        </w:rPr>
      </w:pPr>
      <w:r w:rsidRPr="00886F02">
        <w:rPr>
          <w:b/>
        </w:rPr>
        <w:lastRenderedPageBreak/>
        <w:t xml:space="preserve">Appendix 1.  </w:t>
      </w:r>
      <w:r w:rsidR="00F25264" w:rsidRPr="00886F02">
        <w:rPr>
          <w:b/>
        </w:rPr>
        <w:t>Supplementary Methods</w:t>
      </w:r>
    </w:p>
    <w:p w14:paraId="20A9F9BB" w14:textId="7FF6DDEC" w:rsidR="00532B0A" w:rsidRPr="00886F02" w:rsidRDefault="00532B0A" w:rsidP="00886F02">
      <w:pPr>
        <w:spacing w:line="480" w:lineRule="auto"/>
        <w:rPr>
          <w:b/>
          <w:i/>
        </w:rPr>
      </w:pPr>
      <w:r w:rsidRPr="00886F02">
        <w:rPr>
          <w:b/>
          <w:i/>
        </w:rPr>
        <w:t>Variable Definitions</w:t>
      </w:r>
    </w:p>
    <w:p w14:paraId="33DE2F76" w14:textId="2A11B560" w:rsidR="00BB7702" w:rsidRPr="00886F02" w:rsidRDefault="00BB7702" w:rsidP="00886F02">
      <w:pPr>
        <w:spacing w:line="480" w:lineRule="auto"/>
        <w:ind w:firstLine="720"/>
      </w:pPr>
      <w:r w:rsidRPr="00886F02">
        <w:t xml:space="preserve">Tuberculin skin tests (TSTs) were defined as positive based on the assessment of Iqaluit Public Health.  </w:t>
      </w:r>
      <w:r w:rsidR="00F10641" w:rsidRPr="00886F02">
        <w:t>Territorial</w:t>
      </w:r>
      <w:r w:rsidRPr="00886F02">
        <w:t xml:space="preserve"> guidance during the study period stated that TSTs should be interpreted based on the Canadian Tuberculosis Standards</w:t>
      </w:r>
      <w:r w:rsidR="00DB5B5F" w:rsidRPr="00886F02">
        <w:t>, 5</w:t>
      </w:r>
      <w:r w:rsidR="00DB5B5F" w:rsidRPr="00886F02">
        <w:rPr>
          <w:vertAlign w:val="superscript"/>
        </w:rPr>
        <w:t>th</w:t>
      </w:r>
      <w:r w:rsidR="00DB5B5F" w:rsidRPr="00886F02">
        <w:t xml:space="preserve"> edition</w:t>
      </w:r>
      <w:r w:rsidR="005A21B2">
        <w:fldChar w:fldCharType="begin"/>
      </w:r>
      <w:r w:rsidR="005A21B2">
        <w:instrText xml:space="preserve"> ADDIN ZOTERO_ITEM CSL_CITATION {"citationID":"leGlN1qX","properties":{"formattedCitation":"(1)","plainCitation":"(1)","noteIndex":0},"citationItems":[{"id":1766,"uris":["http://zotero.org/users/local/bHVFKvh1/items/WBQF67FZ"],"uri":["http://zotero.org/users/local/bHVFKvh1/items/WBQF67FZ"],"itemData":{"id":1766,"type":"article","title":"Nunavut TB Control and Elimination Manual","publisher":"Government of Nunavut.","issued":{"date-parts":[["2010"]]}}}],"schema":"https://github.com/citation-style-language/schema/raw/master/csl-citation.json"} </w:instrText>
      </w:r>
      <w:r w:rsidR="005A21B2">
        <w:fldChar w:fldCharType="separate"/>
      </w:r>
      <w:r w:rsidR="005A21B2">
        <w:rPr>
          <w:noProof/>
        </w:rPr>
        <w:t>(1)</w:t>
      </w:r>
      <w:r w:rsidR="005A21B2">
        <w:fldChar w:fldCharType="end"/>
      </w:r>
      <w:r w:rsidRPr="00886F02">
        <w:t xml:space="preserve">.  </w:t>
      </w:r>
      <w:r w:rsidR="00185C20" w:rsidRPr="00886F02">
        <w:t xml:space="preserve">Briefly, </w:t>
      </w:r>
      <w:r w:rsidR="00CE0D18" w:rsidRPr="00886F02">
        <w:t xml:space="preserve">these standards recommend that a TST be considered positive if </w:t>
      </w:r>
      <w:r w:rsidR="005A21B2">
        <w:t xml:space="preserve">the induration size is </w:t>
      </w:r>
      <w:r w:rsidR="00CE0D18" w:rsidRPr="00886F02">
        <w:t>≥5mm in those with a close infectious contact, fibronodular disease on chest x-ray or HIV; and ≥10mm in all others</w:t>
      </w:r>
      <w:r w:rsidR="00EF7C96" w:rsidRPr="00886F02">
        <w:fldChar w:fldCharType="begin"/>
      </w:r>
      <w:r w:rsidR="005A21B2">
        <w:instrText xml:space="preserve"> ADDIN ZOTERO_ITEM CSL_CITATION {"citationID":"3dfQMxgV","properties":{"formattedCitation":"(2)","plainCitation":"(2)","noteIndex":0},"citationItems":[{"id":1728,"uris":["http://zotero.org/users/local/bHVFKvh1/items/9DIJNK63"],"uri":["http://zotero.org/users/local/bHVFKvh1/items/9DIJNK63"],"itemData":{"id":1728,"type":"article","title":"Canadian Tuberculosis Standards, 5th Edition","URL":"http://publications.gc.ca/collections/Collection/H49-146-2000E.pdf","author":[{"family":"Long","given":"Richard"}],"issued":{"date-parts":[["2007"]]}}}],"schema":"https://github.com/citation-style-language/schema/raw/master/csl-citation.json"} </w:instrText>
      </w:r>
      <w:r w:rsidR="00EF7C96" w:rsidRPr="00886F02">
        <w:fldChar w:fldCharType="separate"/>
      </w:r>
      <w:r w:rsidR="005A21B2">
        <w:rPr>
          <w:noProof/>
        </w:rPr>
        <w:t>(2)</w:t>
      </w:r>
      <w:r w:rsidR="00EF7C96" w:rsidRPr="00886F02">
        <w:fldChar w:fldCharType="end"/>
      </w:r>
      <w:r w:rsidR="00CE0D18" w:rsidRPr="00886F02">
        <w:t>.</w:t>
      </w:r>
      <w:r w:rsidR="00FD6184" w:rsidRPr="00886F02">
        <w:t xml:space="preserve">  </w:t>
      </w:r>
      <w:bookmarkStart w:id="0" w:name="_GoBack"/>
      <w:bookmarkEnd w:id="0"/>
    </w:p>
    <w:p w14:paraId="4C48DBBD" w14:textId="77777777" w:rsidR="00563F26" w:rsidRDefault="00563F26" w:rsidP="00563F26">
      <w:pPr>
        <w:spacing w:line="480" w:lineRule="auto"/>
        <w:ind w:firstLine="720"/>
        <w:rPr>
          <w:color w:val="000000"/>
        </w:rPr>
      </w:pPr>
      <w:r w:rsidRPr="00D5751F">
        <w:rPr>
          <w:color w:val="000000"/>
        </w:rPr>
        <w:t xml:space="preserve">Treatment </w:t>
      </w:r>
      <w:r>
        <w:rPr>
          <w:color w:val="000000"/>
        </w:rPr>
        <w:t>non-</w:t>
      </w:r>
      <w:r w:rsidRPr="00D5751F">
        <w:rPr>
          <w:color w:val="000000"/>
        </w:rPr>
        <w:t xml:space="preserve">initiation was defined </w:t>
      </w:r>
      <w:r>
        <w:rPr>
          <w:color w:val="000000"/>
        </w:rPr>
        <w:t>failure to receive</w:t>
      </w:r>
      <w:r w:rsidRPr="00D5751F">
        <w:rPr>
          <w:color w:val="000000"/>
        </w:rPr>
        <w:t xml:space="preserve"> at least one dose of a drug for LTBI.  Treatment </w:t>
      </w:r>
      <w:r>
        <w:rPr>
          <w:color w:val="000000"/>
        </w:rPr>
        <w:t>non-</w:t>
      </w:r>
      <w:r w:rsidRPr="00D5751F">
        <w:rPr>
          <w:color w:val="000000"/>
        </w:rPr>
        <w:t xml:space="preserve">completion was defined as taking </w:t>
      </w:r>
      <w:r>
        <w:rPr>
          <w:color w:val="000000"/>
        </w:rPr>
        <w:t>&lt;</w:t>
      </w:r>
      <w:r w:rsidRPr="00D5751F">
        <w:rPr>
          <w:color w:val="000000"/>
        </w:rPr>
        <w:t xml:space="preserve">80% of prescribed doses within 12 months of treatment initiation.   </w:t>
      </w:r>
    </w:p>
    <w:p w14:paraId="1CC966BB" w14:textId="7ED1A8E2" w:rsidR="00FF3C9A" w:rsidRPr="00563F26" w:rsidRDefault="00FF3C9A" w:rsidP="00563F26">
      <w:pPr>
        <w:spacing w:line="480" w:lineRule="auto"/>
        <w:rPr>
          <w:b/>
          <w:i/>
        </w:rPr>
      </w:pPr>
      <w:r w:rsidRPr="00563F26">
        <w:rPr>
          <w:b/>
          <w:i/>
        </w:rPr>
        <w:t>Model building</w:t>
      </w:r>
    </w:p>
    <w:p w14:paraId="6C1CD2AA" w14:textId="2CC04CC9" w:rsidR="00FF3C9A" w:rsidRDefault="00F25264" w:rsidP="00886F02">
      <w:pPr>
        <w:spacing w:line="480" w:lineRule="auto"/>
        <w:ind w:firstLine="720"/>
      </w:pPr>
      <w:r w:rsidRPr="00886F02">
        <w:t>The g</w:t>
      </w:r>
      <w:r w:rsidR="00E67813" w:rsidRPr="00886F02">
        <w:t>eneral approach</w:t>
      </w:r>
      <w:r w:rsidRPr="00886F02">
        <w:t xml:space="preserve"> to building regression models involved </w:t>
      </w:r>
      <w:r w:rsidR="0040656D">
        <w:t xml:space="preserve">a mixed approach with </w:t>
      </w:r>
      <w:r w:rsidR="001A128C">
        <w:t>the inclusion of</w:t>
      </w:r>
      <w:r w:rsidR="00E67813" w:rsidRPr="00886F02">
        <w:t xml:space="preserve"> certain variables</w:t>
      </w:r>
      <w:r w:rsidRPr="00886F02">
        <w:t xml:space="preserve"> </w:t>
      </w:r>
      <w:r w:rsidR="001A128C">
        <w:t xml:space="preserve">based on </w:t>
      </w:r>
      <w:r w:rsidR="00503DFF">
        <w:t xml:space="preserve">their </w:t>
      </w:r>
      <w:r w:rsidR="001A128C" w:rsidRPr="00886F02">
        <w:t xml:space="preserve">clinical importance </w:t>
      </w:r>
      <w:r w:rsidR="001A128C">
        <w:t>and</w:t>
      </w:r>
      <w:r w:rsidRPr="00886F02">
        <w:t xml:space="preserve"> a</w:t>
      </w:r>
      <w:r w:rsidR="00E67813" w:rsidRPr="00886F02">
        <w:t>dditional variables</w:t>
      </w:r>
      <w:r w:rsidRPr="00886F02">
        <w:t xml:space="preserve"> being</w:t>
      </w:r>
      <w:r w:rsidR="00E67813" w:rsidRPr="00886F02">
        <w:t xml:space="preserve"> included </w:t>
      </w:r>
      <w:r w:rsidR="001A128C">
        <w:t xml:space="preserve">or excluded </w:t>
      </w:r>
      <w:r w:rsidR="00E67813" w:rsidRPr="00886F02">
        <w:t>based on</w:t>
      </w:r>
      <w:r w:rsidR="00503DFF">
        <w:t xml:space="preserve"> the results of</w:t>
      </w:r>
      <w:r w:rsidR="00E67813" w:rsidRPr="00886F02">
        <w:t xml:space="preserve"> descriptive and univariate analyses as well as model fit statistics.</w:t>
      </w:r>
      <w:r w:rsidRPr="00886F02">
        <w:t xml:space="preserve">   </w:t>
      </w:r>
    </w:p>
    <w:p w14:paraId="1FC7E1DC" w14:textId="2070172E" w:rsidR="00836F31" w:rsidRDefault="00836F31" w:rsidP="00836F31">
      <w:pPr>
        <w:spacing w:line="480" w:lineRule="auto"/>
        <w:rPr>
          <w:i/>
        </w:rPr>
      </w:pPr>
      <w:r w:rsidRPr="00836F31">
        <w:rPr>
          <w:i/>
        </w:rPr>
        <w:t>Primary Analysis</w:t>
      </w:r>
    </w:p>
    <w:p w14:paraId="07360074" w14:textId="45110B6E" w:rsidR="008569FD" w:rsidRPr="00ED6EF4" w:rsidRDefault="002D172E" w:rsidP="00836F31">
      <w:pPr>
        <w:spacing w:line="480" w:lineRule="auto"/>
      </w:pPr>
      <w:r w:rsidRPr="00ED6EF4">
        <w:t xml:space="preserve">For the primary analyses, the indication for performing TST was included in final models because </w:t>
      </w:r>
      <w:r w:rsidR="008569FD" w:rsidRPr="00ED6EF4">
        <w:t>treatment indication has been a strong predictor of treatment initiation</w:t>
      </w:r>
      <w:r w:rsidR="00FF3C7B" w:rsidRPr="00ED6EF4">
        <w:t xml:space="preserve"> </w:t>
      </w:r>
      <w:r w:rsidR="00FF3C7B" w:rsidRPr="00ED6EF4">
        <w:fldChar w:fldCharType="begin"/>
      </w:r>
      <w:r w:rsidR="005A21B2">
        <w:instrText xml:space="preserve"> ADDIN ZOTERO_ITEM CSL_CITATION {"citationID":"VQJrLk2H","properties":{"formattedCitation":"(3,4)","plainCitation":"(3,4)","noteIndex":0},"citationItems":[{"id":65,"uris":["http://zotero.org/users/local/bHVFKvh1/items/DEQBETPF"],"uri":["http://zotero.org/users/local/bHVFKvh1/items/DEQBETPF"],"itemData":{"id":65,"type":"article-journal","title":"The cascade of care in diagnosis and treatment of latent tuberculosis infection: a systematic review and meta-analysis","container-title":"The Lancet Infectious Diseases","page":"1269-1278","volume":"16","issue":"11","source":"ScienceDirect","abstract":"SummaryBackground\nWHO estimates that a third of the world's population has latent tuberculosis infection and that less than 5% of those infected are diagnosed and treated to prevent tuberculosis. We aimed to systematically review studies that report the steps from initial tuberculosis screening through to treatment for latent tuberculosis infection, which we call the latent tuberculosis cascade of care. We specifically aimed to assess the number of people lost at each stage of the cascade.\nMethods\nWe did a systematic review and meta-analysis of study-level observational data. We searched MEDLINE (via OVID), Embase, and Health Star for observational studies, published between 1946 and April 12, 2015, that reported primary data for diagnosis and treatment of latent tuberculosis infection. We did meta-analyses using random and fixed effects analyses to identify percentages of patients with latent tuberculosis infection completing each step in the cascade. We also estimated pooled proportions in subgroups stratified by different characteristics of interest to assess risk factors for losses.\nResults\nWe identified 58 studies, describing 70 distinct cohorts and 748 572 people. Steps in the cascade associated with greater losses included completion of testing (71·9% [95% CI 71·8–72·0] of people intended for screening), completion of medical evaluation (43·7% [42·5–44·9]), recommendation for treatment (35·0% [33·8–36·4]), and completion of treatment if started (18·8% [16·3–19·7]). Steps with fewer losses included receiving test results, referral for evaluation if test positive, and accepting to start therapy if recommended. Factors associated with fewer losses were immune-compromising medical indications, being part of contact investigations, and use of rifamycin-based regimens.\nInterpretation\nWe identify major losses at several steps in the cascade of care for latent tuberculosis infection. Improvements in management of latent tuberculosis will need programmatic approaches to address the losses at each step in the cascade.\nFunders\nCanadian Institutes of Health Research.","DOI":"10.1016/S1473-3099(16)30216-X","ISSN":"1473-3099","title-short":"The cascade of care in diagnosis and treatment of latent tuberculosis infection","journalAbbreviation":"The Lancet Infectious Diseases","author":[{"family":"Alsdurf","given":"Hannah"},{"family":"Hill","given":"Philip C"},{"family":"Matteelli","given":"Alberto"},{"family":"Getahun","given":"Haileyesus"},{"family":"Menzies","given":"Dick"}],"issued":{"date-parts":[["2016",11]]}}},{"id":1746,"uris":["http://zotero.org/users/local/bHVFKvh1/items/9CMCAVAX"],"uri":["http://zotero.org/users/local/bHVFKvh1/items/9CMCAVAX"],"itemData":{"id":1746,"type":"article-journal","title":"Latent TB infection treatment acceptance and completion in the United States and Canada","container-title":"Chest","page":"401-409","volume":"137","issue":"2","source":"PubMed","abstract":"BACKGROUND: Treatment of latent TB infection (LTBI) is essential for preventing TB in North America, but acceptance and completion of this treatment have not been systematically assessed.\nMETHODS: We performed a retrospective, randomized two-stage cross-sectional survey of treatment and completion of LTBI at public and private clinics in 19 regions of the United States and Canada in 2002.\nRESULTS: At 32 clinics that both performed tuberculin skin testing and offered treatment, 123 (17.1%; 95% CI, 14.5%-20.0%) of 720 subjects tested and offered treatment declined. Employees at health-care facilities were more likely to decline (odds ratio [OR], 4.74; 95% CI, 1.75-12.9; P = .003), whereas those in contact with a patient with TB were less likely to decline (OR, 0.19; 95% CI, 0.07-0.50; P = .001). At 68 clinics starting treatment regardless of where skin testing was performed, 1,045 (52.7%; 95% CI, 48.5%-56.8%) of 1,994 people starting treatment failed to complete the recommended course. Risk factors for failure to complete included starting the 9-month isoniazid regimen (OR, 2.08; 95% CI, 1.23-3.57), residence in a congregate setting (nursing home, shelter, or jail; OR, 2.94; 95% CI, 1.58-5.56), injection drug use (OR, 2.13; 95% CI, 1.04-4.35), age &gt;or= 15 years (OR, 1.49; 95% CI, 1.14-1.94), and employment at a health-care facility (1.37; 95% CI, 1.00-1.85).\nCONCLUSIONS: Fewer than half of the people starting treatment of LTBI completed therapy. Shorter regimens and interventions targeting residents of congregate settings, injection drug users, and employees of health-care facilities are needed to increase completion.","DOI":"10.1378/chest.09-0394","ISSN":"1931-3543","note":"PMID: 19793865","journalAbbreviation":"Chest","language":"eng","author":[{"family":"Horsburgh","given":"C. Robert"},{"family":"Goldberg","given":"Stefan"},{"family":"Bethel","given":"James"},{"family":"Chen","given":"Shande"},{"family":"Colson","given":"Paul W."},{"family":"Hirsch-Moverman","given":"Yael"},{"family":"Hughes","given":"Stephen"},{"family":"Shrestha-Kuwahara","given":"Robin"},{"family":"Sterling","given":"Timothy R."},{"family":"Wall","given":"Kirsten"},{"family":"Weinfurter","given":"Paul"},{"literal":"Tuberculosis Epidemiologic Studies Consortium"}],"issued":{"date-parts":[["2010",2]]}}}],"schema":"https://github.com/citation-style-language/schema/raw/master/csl-citation.json"} </w:instrText>
      </w:r>
      <w:r w:rsidR="00FF3C7B" w:rsidRPr="00ED6EF4">
        <w:fldChar w:fldCharType="separate"/>
      </w:r>
      <w:r w:rsidR="005A21B2">
        <w:rPr>
          <w:noProof/>
        </w:rPr>
        <w:t>(3,4)</w:t>
      </w:r>
      <w:r w:rsidR="00FF3C7B" w:rsidRPr="00ED6EF4">
        <w:fldChar w:fldCharType="end"/>
      </w:r>
      <w:r w:rsidR="008569FD" w:rsidRPr="00ED6EF4">
        <w:t xml:space="preserve"> and </w:t>
      </w:r>
      <w:r w:rsidR="00FF3C7B" w:rsidRPr="00ED6EF4">
        <w:t>treatment completion</w:t>
      </w:r>
      <w:r w:rsidRPr="00ED6EF4">
        <w:fldChar w:fldCharType="begin"/>
      </w:r>
      <w:r w:rsidR="005A21B2">
        <w:instrText xml:space="preserve"> ADDIN ZOTERO_ITEM CSL_CITATION {"citationID":"w4uhreoW","properties":{"formattedCitation":"(3)","plainCitation":"(3)","noteIndex":0},"citationItems":[{"id":65,"uris":["http://zotero.org/users/local/bHVFKvh1/items/DEQBETPF"],"uri":["http://zotero.org/users/local/bHVFKvh1/items/DEQBETPF"],"itemData":{"id":65,"type":"article-journal","title":"The cascade of care in diagnosis and treatment of latent tuberculosis infection: a systematic review and meta-analysis","container-title":"The Lancet Infectious Diseases","page":"1269-1278","volume":"16","issue":"11","source":"ScienceDirect","abstract":"SummaryBackground\nWHO estimates that a third of the world's population has latent tuberculosis infection and that less than 5% of those infected are diagnosed and treated to prevent tuberculosis. We aimed to systematically review studies that report the steps from initial tuberculosis screening through to treatment for latent tuberculosis infection, which we call the latent tuberculosis cascade of care. We specifically aimed to assess the number of people lost at each stage of the cascade.\nMethods\nWe did a systematic review and meta-analysis of study-level observational data. We searched MEDLINE (via OVID), Embase, and Health Star for observational studies, published between 1946 and April 12, 2015, that reported primary data for diagnosis and treatment of latent tuberculosis infection. We did meta-analyses using random and fixed effects analyses to identify percentages of patients with latent tuberculosis infection completing each step in the cascade. We also estimated pooled proportions in subgroups stratified by different characteristics of interest to assess risk factors for losses.\nResults\nWe identified 58 studies, describing 70 distinct cohorts and 748 572 people. Steps in the cascade associated with greater losses included completion of testing (71·9% [95% CI 71·8–72·0] of people intended for screening), completion of medical evaluation (43·7% [42·5–44·9]), recommendation for treatment (35·0% [33·8–36·4]), and completion of treatment if started (18·8% [16·3–19·7]). Steps with fewer losses included receiving test results, referral for evaluation if test positive, and accepting to start therapy if recommended. Factors associated with fewer losses were immune-compromising medical indications, being part of contact investigations, and use of rifamycin-based regimens.\nInterpretation\nWe identify major losses at several steps in the cascade of care for latent tuberculosis infection. Improvements in management of latent tuberculosis will need programmatic approaches to address the losses at each step in the cascade.\nFunders\nCanadian Institutes of Health Research.","DOI":"10.1016/S1473-3099(16)30216-X","ISSN":"1473-3099","title-short":"The cascade of care in diagnosis and treatment of latent tuberculosis infection","journalAbbreviation":"The Lancet Infectious Diseases","author":[{"family":"Alsdurf","given":"Hannah"},{"family":"Hill","given":"Philip C"},{"family":"Matteelli","given":"Alberto"},{"family":"Getahun","given":"Haileyesus"},{"family":"Menzies","given":"Dick"}],"issued":{"date-parts":[["2016",11]]}}}],"schema":"https://github.com/citation-style-language/schema/raw/master/csl-citation.json"} </w:instrText>
      </w:r>
      <w:r w:rsidRPr="00ED6EF4">
        <w:fldChar w:fldCharType="separate"/>
      </w:r>
      <w:r w:rsidR="005A21B2">
        <w:rPr>
          <w:noProof/>
        </w:rPr>
        <w:t>(3)</w:t>
      </w:r>
      <w:r w:rsidRPr="00ED6EF4">
        <w:fldChar w:fldCharType="end"/>
      </w:r>
      <w:r w:rsidR="00FF3C7B" w:rsidRPr="00ED6EF4">
        <w:t xml:space="preserve"> </w:t>
      </w:r>
      <w:r w:rsidRPr="00ED6EF4">
        <w:t xml:space="preserve">in other populations.  </w:t>
      </w:r>
      <w:r w:rsidR="008569FD" w:rsidRPr="00ED6EF4">
        <w:t xml:space="preserve"> </w:t>
      </w:r>
      <w:r w:rsidR="000A12C0" w:rsidRPr="00ED6EF4">
        <w:t>Inuit e</w:t>
      </w:r>
      <w:r w:rsidR="008569FD" w:rsidRPr="00ED6EF4">
        <w:t xml:space="preserve">thnicity </w:t>
      </w:r>
      <w:r w:rsidRPr="00ED6EF4">
        <w:t>was</w:t>
      </w:r>
      <w:r w:rsidR="008569FD" w:rsidRPr="00ED6EF4">
        <w:t xml:space="preserve"> included because uniquely high rates of TB among this group </w:t>
      </w:r>
      <w:r w:rsidR="008569FD" w:rsidRPr="00ED6EF4">
        <w:fldChar w:fldCharType="begin"/>
      </w:r>
      <w:r w:rsidR="005A21B2">
        <w:instrText xml:space="preserve"> ADDIN ZOTERO_ITEM CSL_CITATION {"citationID":"4DXLhHil","properties":{"formattedCitation":"(5)","plainCitation":"(5)","noteIndex":0},"citationItems":[{"id":1626,"uris":["http://zotero.org/users/local/bHVFKvh1/items/8EJCCZJ9"],"uri":["http://zotero.org/users/local/bHVFKvh1/items/8EJCCZJ9"],"itemData":{"id":1626,"type":"article-journal","title":"Tuberculosis in Canada, 2016","container-title":"Canada Communicable Disease Report","page":"75-81","volume":"44","issue":"3/4","author":[{"family":"Vachon","given":"J"},{"family":"Gallant","given":"V"},{"family":"Siu","given":"W"}],"issued":{"date-parts":[["2018"]]}}}],"schema":"https://github.com/citation-style-language/schema/raw/master/csl-citation.json"} </w:instrText>
      </w:r>
      <w:r w:rsidR="008569FD" w:rsidRPr="00ED6EF4">
        <w:fldChar w:fldCharType="separate"/>
      </w:r>
      <w:r w:rsidR="005A21B2">
        <w:rPr>
          <w:noProof/>
        </w:rPr>
        <w:t>(5)</w:t>
      </w:r>
      <w:r w:rsidR="008569FD" w:rsidRPr="00ED6EF4">
        <w:fldChar w:fldCharType="end"/>
      </w:r>
      <w:r w:rsidR="008569FD" w:rsidRPr="00ED6EF4">
        <w:t xml:space="preserve"> make it of a priori interest.  </w:t>
      </w:r>
      <w:r w:rsidR="00602924" w:rsidRPr="00ED6EF4">
        <w:t>Further, age was included because the risk of adverse effects of isoniazid increases which age</w:t>
      </w:r>
      <w:r w:rsidR="00602924" w:rsidRPr="00ED6EF4">
        <w:fldChar w:fldCharType="begin"/>
      </w:r>
      <w:r w:rsidR="005A21B2">
        <w:instrText xml:space="preserve"> ADDIN ZOTERO_ITEM CSL_CITATION {"citationID":"oW95MUrU","properties":{"formattedCitation":"(6,7)","plainCitation":"(6,7)","noteIndex":0},"citationItems":[{"id":1730,"uris":["http://zotero.org/users/local/bHVFKvh1/items/NIDJSK4X"],"uri":["http://zotero.org/users/local/bHVFKvh1/items/NIDJSK4X"],"itemData":{"id":1730,"type":"article-journal","title":"Age-related risk of hepatotoxicity in the treatment of latent tuberculosis infection: a systematic review","container-title":"The International Journal of Tuberculosis and Lung Disease: The Official Journal of the International Union Against Tuberculosis and Lung Disease","page":"1374-1381","volume":"14","issue":"11","source":"PubMed","abstract":"OBJECTIVE: To determine the age-related risk of hepatotoxicity under currently recommended treatment regimens for latent tuberculosis (TB) infection (LTBI).\nMETHODS: A systematic review of the MEDLINE and EMBASE databases (from database inception to 2008) was performed to determine the risk of isoniazid (INH) and/or rifampicin hepatotoxicity in LTBI treatment stratified by patient age. Study selection, study quality assessment and data extraction were performed using piloted proformas. Rate data were meta-analysed to generate summary rates with 95%CI within age-related subgroups using a random effects model.\nRESULTS: Seven relevant studies (18,610 participants, including 115 cases of hepatotoxicity) met the selection criteria. The median rate of hepatotoxicity was 1.8% (range 0.07-11.9). On average, rates were higher among those aged ≥ 35 years (1.7%, 95%CI 1.4-2.2) than those aged &lt;35 years (0.2%, 95%CI 0.1-0.3).\nCONCLUSION: The rates of hepatotoxicity were low. Summary estimates of risks generated in this review can be used for counselling individuals for whom chemoprophylaxis is recommended. The use of INH for the treatment of LTBI is safe in older patients with clinical or biochemical monitoring.","ISSN":"1815-7920","note":"PMID: 20937175","title-short":"Age-related risk of hepatotoxicity in the treatment of latent tuberculosis infection","journalAbbreviation":"Int. J. Tuberc. Lung Dis.","language":"eng","author":[{"family":"Kunst","given":"H."},{"family":"Khan","given":"K. S."}],"issued":{"date-parts":[["2010",11]]}}},{"id":1734,"uris":["http://zotero.org/users/local/bHVFKvh1/items/KJ25FZGQ"],"uri":["http://zotero.org/users/local/bHVFKvh1/items/KJ25FZGQ"],"itemData":{"id":1734,"type":"article-journal","title":"Hepatotoxicity from antituberculous therapy in the elderly: a systematic review","container-title":"Tuberculosis (Edinburgh, Scotland)","page":"112-122","volume":"95","issue":"2","source":"PubMed","abstract":"BACKGROUND: Elderly persons have the highest rates of tuberculosis (TB) in the United States compared to all other age groups. A systematic literature review was conducted to determine if older age was a risk factor for hepatotoxicity resulting from treatment with first-line drugs used to treat active (TB) and latent tuberculosis (LTBI).\nMETHODS: A systematic review of MEDLINE, Cochrane Controlled Trial Registry, CINAHL(®), and Science Citation Index Expanded (from 1970 to 2011) was performed to determine the risk of hepatotoxicity, comparing those over 60 with those under 60. A meta-analysis was performed using a random effects model along with log odds ratios and the chi-square test.\nFINDINGS: Thirty-eight studies (40,034 participants; 1208 cases of hepatotoxicity) met the selection criteria. For active TB, an overall mean effect of 0.277 (p = 0.024, 95% CI: 0.037-0.517) was observed, which is equivalent to an odds ratio of 1.32 (95% CI: 1.04-1.68). For LTBI, an overall mean effect of 1.42 (p &lt; 0.001, 95% CI: 0.794-2.05) was observed, which translates to an odds ratio of 4.14 (95% CI: 2.21-7.74).\nINTERPRETATION: Our analysis revealed that patients older than 60 had significantly more risk of hepatotoxicity. These studies suggest that a gentler regimen of treatment for older individuals could benefit health outcomes in this population of TB patients and minimize risks to the public's health.","DOI":"10.1016/j.tube.2014.10.006","ISSN":"1873-281X","note":"PMID: 25595441\nPMCID: PMC4640443","title-short":"Hepatotoxicity from antituberculous therapy in the elderly","journalAbbreviation":"Tuberculosis (Edinb)","language":"eng","author":[{"family":"Hosford","given":"Jennifer D."},{"family":"Fricken","given":"Michael E.","non-dropping-particle":"von"},{"family":"Lauzardo","given":"Michael"},{"family":"Chang","given":"Myron"},{"family":"Dai","given":"Yunfeng"},{"family":"Lyon","given":"Jennifer A."},{"family":"Shuster","given":"John"},{"family":"Fennelly","given":"Kevin P."}],"issued":{"date-parts":[["2015",3]]}}}],"schema":"https://github.com/citation-style-language/schema/raw/master/csl-citation.json"} </w:instrText>
      </w:r>
      <w:r w:rsidR="00602924" w:rsidRPr="00ED6EF4">
        <w:fldChar w:fldCharType="separate"/>
      </w:r>
      <w:r w:rsidR="005A21B2">
        <w:rPr>
          <w:noProof/>
        </w:rPr>
        <w:t>(6,7)</w:t>
      </w:r>
      <w:r w:rsidR="00602924" w:rsidRPr="00ED6EF4">
        <w:fldChar w:fldCharType="end"/>
      </w:r>
      <w:r w:rsidR="00602924" w:rsidRPr="00ED6EF4">
        <w:t xml:space="preserve">.  It was thus suspected </w:t>
      </w:r>
      <w:r w:rsidR="00602924" w:rsidRPr="00ED6EF4">
        <w:lastRenderedPageBreak/>
        <w:t xml:space="preserve">that older patients may be less likely to compete therapy for this reason making it a potential confounder if also related to other variables in the analysis.  </w:t>
      </w:r>
      <w:r w:rsidR="00D21691" w:rsidRPr="00ED6EF4">
        <w:t xml:space="preserve">Although data are less robust for LTBI, </w:t>
      </w:r>
      <w:r w:rsidR="001F616E" w:rsidRPr="00ED6EF4">
        <w:t>important differences between sexes in the burden and treatment active TB disease have long been recognized</w:t>
      </w:r>
      <w:r w:rsidR="008A4A16" w:rsidRPr="00ED6EF4">
        <w:fldChar w:fldCharType="begin"/>
      </w:r>
      <w:r w:rsidR="005A21B2">
        <w:instrText xml:space="preserve"> ADDIN ZOTERO_ITEM CSL_CITATION {"citationID":"xNq311Rq","properties":{"formattedCitation":"(8,9)","plainCitation":"(8,9)","noteIndex":0},"citationItems":[{"id":1770,"uris":["http://zotero.org/users/local/bHVFKvh1/items/Y4ZRLUHP"],"uri":["http://zotero.org/users/local/bHVFKvh1/items/Y4ZRLUHP"],"itemData":{"id":1770,"type":"article-journal","title":"Sex Differences in Tuberculosis Burden and Notifications in Low- and Middle-Income Countries: A Systematic Review and Meta-analysis","container-title":"PLoS medicine","page":"e1002119","volume":"13","issue":"9","source":"PubMed","abstract":"BACKGROUND: Tuberculosis (TB) case notification rates are usually higher in men than in women, but notification data are insufficient to measure sex differences in disease burden. This review set out to systematically investigate whether sex ratios in case notifications reflect differences in disease prevalence and to identify gaps in access to and/or utilisation of diagnostic services.\nMETHODS AND FINDINGS: In accordance with the published protocol (CRD42015022163), TB prevalence surveys in nationally representative and sub-national adult populations (age ≥ 15 y) in low- and middle-income countries published between 1 January 1993 and 15 March 2016 were identified through searches of PubMed, Embase, Global Health, and the Cochrane Database of Systematic Reviews; review of abstracts; and correspondence with the World Health Organization. Random-effects meta-analyses examined male-to-female (M:F) ratios in TB prevalence and prevalence-to-notification (P:N) ratios for smear-positive TB. Meta-regression was done to identify factors associated with higher M:F ratios in prevalence and higher P:N ratios. Eighty-three publications describing 88 surveys with over 3.1 million participants in 28 countries were identified (36 surveys in Africa, three in the Americas, four in the Eastern Mediterranean, 28 in South-East Asia and 17 in the Western Pacific). Fifty-six surveys reported in 53 publications were included in quantitative analyses. Overall random-effects weighted M:F prevalence ratios were 2.21 (95% CI 1.92-2.54; 56 surveys) for bacteriologically positive TB and 2.51 (95% CI 2.07-3.04; 40 surveys) for smear-positive TB. M:F prevalence ratios were highest in South-East Asia and in surveys that did not require self-report of signs/symptoms in initial screening procedures. The summary random-effects weighted M:F ratio for P:N ratios was 1.55 (95% CI 1.25-1.91; 34 surveys). We intended to stratify the analyses by age, HIV status, and rural or urban setting; however, few studies reported such data.\nCONCLUSIONS: TB prevalence is significantly higher among men than women in low- and middle-income countries, with strong evidence that men are disadvantaged in seeking and/or accessing TB care in many settings. Global strategies and national TB programmes should recognise men as an underserved high-risk group and improve men's access to diagnostic and screening services to reduce the overall burden of TB more effectively and ensure gender equity in TB care.","DOI":"10.1371/journal.pmed.1002119","ISSN":"1549-1676","note":"PMID: 27598345\nPMCID: PMC5012571","title-short":"Sex Differences in Tuberculosis Burden and Notifications in Low- and Middle-Income Countries","journalAbbreviation":"PLoS Med.","language":"eng","author":[{"family":"Horton","given":"Katherine C."},{"family":"MacPherson","given":"Peter"},{"family":"Houben","given":"Rein M. G. J."},{"family":"White","given":"Richard G."},{"family":"Corbett","given":"Elizabeth L."}],"issued":{"date-parts":[["2016",9]]}}},{"id":1773,"uris":["http://zotero.org/users/local/bHVFKvh1/items/QMB5YUMV"],"uri":["http://zotero.org/users/local/bHVFKvh1/items/QMB5YUMV"],"itemData":{"id":1773,"type":"article-journal","title":"Sex, gender, and tuberculosis","container-title":"Lancet (London, England)","page":"1000-1001","volume":"353","issue":"9157","source":"PubMed","DOI":"10.1016/S0140-6736(99)01318-5","ISSN":"0140-6736","note":"PMID: 10459926","journalAbbreviation":"Lancet","language":"eng","author":[{"family":"Diwan","given":"V. K."},{"family":"Thorson","given":"A."}],"issued":{"date-parts":[["1999",3,20]]}}}],"schema":"https://github.com/citation-style-language/schema/raw/master/csl-citation.json"} </w:instrText>
      </w:r>
      <w:r w:rsidR="008A4A16" w:rsidRPr="00ED6EF4">
        <w:fldChar w:fldCharType="separate"/>
      </w:r>
      <w:r w:rsidR="005A21B2">
        <w:rPr>
          <w:noProof/>
        </w:rPr>
        <w:t>(8,9)</w:t>
      </w:r>
      <w:r w:rsidR="008A4A16" w:rsidRPr="00ED6EF4">
        <w:fldChar w:fldCharType="end"/>
      </w:r>
      <w:r w:rsidR="001F616E" w:rsidRPr="00ED6EF4">
        <w:t>.</w:t>
      </w:r>
      <w:r w:rsidR="008A4A16" w:rsidRPr="00ED6EF4">
        <w:t xml:space="preserve">  For this reason, sex was included in the final models.</w:t>
      </w:r>
    </w:p>
    <w:p w14:paraId="2CA2B8C8" w14:textId="17784CDE" w:rsidR="005C735F" w:rsidRPr="004829D5" w:rsidRDefault="0088026E" w:rsidP="00886F02">
      <w:pPr>
        <w:spacing w:line="480" w:lineRule="auto"/>
      </w:pPr>
      <w:r w:rsidRPr="00ED6EF4">
        <w:tab/>
      </w:r>
      <w:r w:rsidR="00A97642" w:rsidRPr="00ED6EF4">
        <w:t>Year of physician visit</w:t>
      </w:r>
      <w:r w:rsidR="00496272" w:rsidRPr="00ED6EF4">
        <w:t xml:space="preserve"> </w:t>
      </w:r>
      <w:r w:rsidR="00A97642" w:rsidRPr="00ED6EF4">
        <w:t xml:space="preserve">was not included </w:t>
      </w:r>
      <w:r w:rsidR="00496272" w:rsidRPr="00ED6EF4">
        <w:t xml:space="preserve">in the final </w:t>
      </w:r>
      <w:r w:rsidR="00A97642" w:rsidRPr="00ED6EF4">
        <w:t xml:space="preserve">treatment </w:t>
      </w:r>
      <w:r w:rsidR="00ED6EF4" w:rsidRPr="00ED6EF4">
        <w:t>non-</w:t>
      </w:r>
      <w:r w:rsidR="00A97642" w:rsidRPr="00ED6EF4">
        <w:t xml:space="preserve">initiation or </w:t>
      </w:r>
      <w:r w:rsidR="00ED6EF4" w:rsidRPr="00ED6EF4">
        <w:t>non-</w:t>
      </w:r>
      <w:r w:rsidR="00A97642" w:rsidRPr="00ED6EF4">
        <w:t xml:space="preserve">completion </w:t>
      </w:r>
      <w:r w:rsidR="00496272" w:rsidRPr="00ED6EF4">
        <w:t xml:space="preserve">regression model based on examination of study data.  Specifically, </w:t>
      </w:r>
      <w:r w:rsidR="009C02D7" w:rsidRPr="00ED6EF4">
        <w:t xml:space="preserve">to evaluate a potential temporal effect, the year of physician visit was compared to </w:t>
      </w:r>
      <w:r w:rsidR="00A97642" w:rsidRPr="00ED6EF4">
        <w:t>treatment initiation and</w:t>
      </w:r>
      <w:r w:rsidR="009C02D7" w:rsidRPr="00ED6EF4">
        <w:t xml:space="preserve"> completion graphically.  No clear temporal trend was noted</w:t>
      </w:r>
      <w:r w:rsidR="00657ADC" w:rsidRPr="00ED6EF4">
        <w:t xml:space="preserve"> (data not shown)</w:t>
      </w:r>
      <w:r w:rsidR="009C02D7" w:rsidRPr="00ED6EF4">
        <w:t>. The potential impact of this variable was further evaluated i</w:t>
      </w:r>
      <w:r w:rsidR="00CF64C8" w:rsidRPr="00ED6EF4">
        <w:t xml:space="preserve">n univariate analysis </w:t>
      </w:r>
      <w:r w:rsidR="009C02D7" w:rsidRPr="00ED6EF4">
        <w:t xml:space="preserve">and no association was found </w:t>
      </w:r>
      <w:r w:rsidR="00A97642" w:rsidRPr="00ED6EF4">
        <w:t>for either treatment initiation or completion</w:t>
      </w:r>
      <w:r w:rsidR="009C02D7" w:rsidRPr="00ED6EF4">
        <w:t xml:space="preserve"> (</w:t>
      </w:r>
      <w:r w:rsidR="0099160A" w:rsidRPr="00ED6EF4">
        <w:t xml:space="preserve">95% confidence intervals of </w:t>
      </w:r>
      <w:r w:rsidR="009C02D7" w:rsidRPr="00ED6EF4">
        <w:t xml:space="preserve">risk ratios </w:t>
      </w:r>
      <w:r w:rsidR="0038615E" w:rsidRPr="00ED6EF4">
        <w:t xml:space="preserve">(RRs) </w:t>
      </w:r>
      <w:r w:rsidR="009C02D7" w:rsidRPr="00ED6EF4">
        <w:t xml:space="preserve">included 1).  </w:t>
      </w:r>
      <w:r w:rsidR="009C72A2" w:rsidRPr="00ED6EF4">
        <w:t xml:space="preserve">Finally, model fit statistics </w:t>
      </w:r>
      <w:r w:rsidR="005C735F" w:rsidRPr="00ED6EF4">
        <w:t xml:space="preserve">did not </w:t>
      </w:r>
      <w:r w:rsidR="002F2310" w:rsidRPr="00ED6EF4">
        <w:t>substantially improve</w:t>
      </w:r>
      <w:r w:rsidR="005C735F" w:rsidRPr="00ED6EF4">
        <w:t xml:space="preserve"> with inclusion in the model.  </w:t>
      </w:r>
      <w:r w:rsidR="00A8486D" w:rsidRPr="00ED6EF4">
        <w:t xml:space="preserve">For the model of treatment initiation, the quasi-likelihood under the independence model criterion (QIC) </w:t>
      </w:r>
      <w:r w:rsidR="00E131C0" w:rsidRPr="00ED6EF4">
        <w:t>was</w:t>
      </w:r>
      <w:r w:rsidR="004829D5" w:rsidRPr="00ED6EF4">
        <w:t xml:space="preserve"> QIC </w:t>
      </w:r>
      <w:r w:rsidR="00ED6EF4" w:rsidRPr="00ED6EF4">
        <w:t>410.45</w:t>
      </w:r>
      <w:r w:rsidR="004829D5" w:rsidRPr="00ED6EF4">
        <w:t xml:space="preserve"> in the model including year of physician visit and</w:t>
      </w:r>
      <w:r w:rsidR="00E131C0" w:rsidRPr="00ED6EF4">
        <w:t xml:space="preserve"> QIC </w:t>
      </w:r>
      <w:r w:rsidR="00ED6EF4" w:rsidRPr="00ED6EF4">
        <w:t xml:space="preserve">404.38 </w:t>
      </w:r>
      <w:r w:rsidR="00E131C0" w:rsidRPr="00ED6EF4">
        <w:t>with</w:t>
      </w:r>
      <w:r w:rsidR="004829D5" w:rsidRPr="00ED6EF4">
        <w:t>out it (smaller numbers indicating better fit)</w:t>
      </w:r>
      <w:r w:rsidR="00A8486D" w:rsidRPr="00ED6EF4">
        <w:t>.   F</w:t>
      </w:r>
      <w:r w:rsidR="00A97642" w:rsidRPr="00ED6EF4">
        <w:t xml:space="preserve">or the completion model, </w:t>
      </w:r>
      <w:r w:rsidR="005C735F" w:rsidRPr="00ED6EF4">
        <w:t xml:space="preserve">the Akaike’s Information Criterion (AIC) was </w:t>
      </w:r>
      <w:r w:rsidR="00ED6EF4" w:rsidRPr="00ED6EF4">
        <w:t xml:space="preserve">303.42 </w:t>
      </w:r>
      <w:r w:rsidR="005C735F" w:rsidRPr="00ED6EF4">
        <w:t xml:space="preserve">with inclusion and </w:t>
      </w:r>
      <w:r w:rsidR="00ED6EF4" w:rsidRPr="00ED6EF4">
        <w:t xml:space="preserve">302.87 </w:t>
      </w:r>
      <w:r w:rsidR="005C735F" w:rsidRPr="00ED6EF4">
        <w:t xml:space="preserve">without (smaller numbers indicate better fit) and the Bayesian information criterion (BIC) was </w:t>
      </w:r>
      <w:r w:rsidR="00ED6EF4" w:rsidRPr="00ED6EF4">
        <w:t xml:space="preserve">340.45 </w:t>
      </w:r>
      <w:r w:rsidR="005C735F" w:rsidRPr="00ED6EF4">
        <w:t xml:space="preserve">with inclusion and </w:t>
      </w:r>
      <w:r w:rsidR="00ED6EF4" w:rsidRPr="00ED6EF4">
        <w:t xml:space="preserve">326.57 </w:t>
      </w:r>
      <w:r w:rsidR="005C735F" w:rsidRPr="00ED6EF4">
        <w:t xml:space="preserve">without (smaller numbers indicate better fit).   </w:t>
      </w:r>
      <w:r w:rsidR="001C0426" w:rsidRPr="00ED6EF4">
        <w:t xml:space="preserve">As such, </w:t>
      </w:r>
      <w:r w:rsidR="0038615E" w:rsidRPr="00ED6EF4">
        <w:t>this variable was not included in the final model.</w:t>
      </w:r>
      <w:r w:rsidR="0038615E" w:rsidRPr="004829D5">
        <w:t xml:space="preserve">  </w:t>
      </w:r>
    </w:p>
    <w:p w14:paraId="09AF34CA" w14:textId="1802E4E8" w:rsidR="00836F31" w:rsidRPr="00836F31" w:rsidRDefault="00836F31" w:rsidP="00886F02">
      <w:pPr>
        <w:spacing w:line="480" w:lineRule="auto"/>
        <w:rPr>
          <w:i/>
        </w:rPr>
      </w:pPr>
      <w:r>
        <w:rPr>
          <w:i/>
        </w:rPr>
        <w:t>Secondary Analyses</w:t>
      </w:r>
    </w:p>
    <w:p w14:paraId="5D77C4FA" w14:textId="191D7F7A" w:rsidR="008915B9" w:rsidRDefault="007D73C5" w:rsidP="006A6715">
      <w:pPr>
        <w:spacing w:line="480" w:lineRule="auto"/>
        <w:ind w:firstLine="720"/>
      </w:pPr>
      <w:r w:rsidRPr="00886F02">
        <w:t xml:space="preserve">For </w:t>
      </w:r>
      <w:r w:rsidR="00886F02">
        <w:t xml:space="preserve">secondary analyses, </w:t>
      </w:r>
      <w:r w:rsidR="002F2310">
        <w:t xml:space="preserve">a similar approach was used.  </w:t>
      </w:r>
      <w:r w:rsidR="008915B9">
        <w:t>For the analysis of risk factors for TST positivity,</w:t>
      </w:r>
      <w:r w:rsidR="007B3ADC">
        <w:t xml:space="preserve"> previous analyses of high risk neighbourhoods in Iqaluit have show</w:t>
      </w:r>
      <w:r w:rsidR="005E64C3">
        <w:t>n</w:t>
      </w:r>
      <w:r w:rsidR="007B3ADC">
        <w:t xml:space="preserve"> age</w:t>
      </w:r>
      <w:r w:rsidR="005E64C3">
        <w:fldChar w:fldCharType="begin"/>
      </w:r>
      <w:r w:rsidR="005A21B2">
        <w:instrText xml:space="preserve"> ADDIN ZOTERO_ITEM CSL_CITATION {"citationID":"5dYfZKCB","properties":{"formattedCitation":"(10)","plainCitation":"(10)","noteIndex":0},"citationItems":[{"id":1661,"uris":["http://zotero.org/users/local/bHVFKvh1/items/ZN647765"],"uri":["http://zotero.org/users/local/bHVFKvh1/items/ZN647765"],"itemData":{"id":1661,"type":"article-journal","title":"Taima (stop) TB: the impact of a multifaceted TB awareness and door-to-door campaign in residential areas of high risk for TB in Iqaluit, Nunavut","container-title":"PloS One","page":"e100975","volume":"9","issue":"7","source":"PubMed","abstract":"BACKGROUND: The incidence rate of active tuberculosis (TB) disease in the Canadian Territory of Nunavut has shown a rising trend over the past 10 years. In 2010 it was 60 times greater than the national incidence rate. The objective of the Taima (translates to \"stop\" in Inuktitut) TB study was to implement and evaluate a public health campaign to enhance existing TB prevention efforts in Nunavut.\nMETHODS: A TB awareness campaign followed by a door-to-door screening campaign was carried out in Iqaluit, Nunavut. The aim of the campaign was to raise awareness about TB, and to provide in-home screening and treatment for people living in residential areas at high risk for TB. Screening was based on geographic location rather than on individual risk factors.\nRESULTS: During the general awareness campaign an increase in the number of people who requested TB testing at the local public health clinic was observed. However, this increase was not sustained following cessation of the awareness campaign. Targeted TB screening in high risk residential areas in Iqaluit resulted in 224 individuals having TSTs read, and detection of 42 previously unidentified cases of latent TB, (overall yield of 18.8% or number needed to screen = 5.3). These cases of latent TB infection (LTBI) were extra cases that had not been picked up by traditional screening practices (34% relative increase within the community). This resulted in a 33% relative increase in the completion of LTBI treatment within the community. The program directly and indirectly identified 5/17 new cases of active TB disease in Iqaluit during the study period (29.5% of all incident cases).\nCONCLUSIONS: While contact tracing investigations remain a cornerstone of TB prevention, additional awareness, screening, and treatment programs like Taima TB may contribute to the successful control of TB in Aboriginal communities.","DOI":"10.1371/journal.pone.0100975","ISSN":"1932-6203","note":"PMID: 25033320\nPMCID: PMC4102461","title-short":"Taima (stop) TB","journalAbbreviation":"PLoS ONE","language":"eng","author":[{"family":"Alvarez","given":"Gonzalo G."},{"family":"VanDyk","given":"Deborah D."},{"family":"Aaron","given":"Shawn D."},{"family":"Cameron","given":"D. William"},{"family":"Davies","given":"Naomi"},{"family":"Stephen","given":"Natasha"},{"family":"Mallick","given":"Ranjeeta"},{"family":"Momoli","given":"Franco"},{"family":"Moreau","given":"Katherine"},{"family":"Obed","given":"Natan"},{"family":"Baikie","given":"Maureen"},{"family":"Osborne","given":"Geraldine"}],"issued":{"date-parts":[["2014"]]}}}],"schema":"https://github.com/citation-style-language/schema/raw/master/csl-citation.json"} </w:instrText>
      </w:r>
      <w:r w:rsidR="005E64C3">
        <w:fldChar w:fldCharType="separate"/>
      </w:r>
      <w:r w:rsidR="005A21B2">
        <w:rPr>
          <w:noProof/>
        </w:rPr>
        <w:t>(10)</w:t>
      </w:r>
      <w:r w:rsidR="005E64C3">
        <w:fldChar w:fldCharType="end"/>
      </w:r>
      <w:r w:rsidR="005E64C3">
        <w:t xml:space="preserve"> and ethnicity (insert SDH citation) to be associated with LTBI and thus these variables were included in the model.</w:t>
      </w:r>
      <w:r w:rsidR="0015397B">
        <w:t xml:space="preserve">  </w:t>
      </w:r>
      <w:r w:rsidR="003533FD">
        <w:t xml:space="preserve">Indication for TST </w:t>
      </w:r>
      <w:r w:rsidR="006A6715">
        <w:t>and sex were</w:t>
      </w:r>
      <w:r w:rsidR="003533FD">
        <w:t xml:space="preserve"> retained based on significant associations in </w:t>
      </w:r>
      <w:r w:rsidR="003533FD">
        <w:lastRenderedPageBreak/>
        <w:t>univariate analyses (</w:t>
      </w:r>
      <w:r w:rsidR="00F107BC">
        <w:t xml:space="preserve">95% confidence intervals of </w:t>
      </w:r>
      <w:r w:rsidR="003533FD">
        <w:t>RRs not</w:t>
      </w:r>
      <w:r w:rsidR="005E6040">
        <w:t xml:space="preserve"> </w:t>
      </w:r>
      <w:r w:rsidR="003533FD">
        <w:t>including 1) and because of improved model fit with the variable</w:t>
      </w:r>
      <w:r w:rsidR="006A6715">
        <w:t>s</w:t>
      </w:r>
      <w:r w:rsidR="005E6040">
        <w:t xml:space="preserve">.  Specifically, the </w:t>
      </w:r>
      <w:r w:rsidR="005E6040" w:rsidRPr="005E6040">
        <w:t>QIC</w:t>
      </w:r>
      <w:r w:rsidR="005E6040">
        <w:t xml:space="preserve"> was </w:t>
      </w:r>
      <w:r w:rsidR="00657ADC">
        <w:t xml:space="preserve">substantively increased in </w:t>
      </w:r>
      <w:r w:rsidR="006A6715">
        <w:t>the model without these variables than in those with them included, indicating worse fit (QIC 1977.6</w:t>
      </w:r>
      <w:r w:rsidR="005244BA">
        <w:t>4</w:t>
      </w:r>
      <w:r w:rsidR="006A6715">
        <w:t xml:space="preserve"> with both variables vs 2143.25 without indication for TST and 1982.62 without sex).  Year of TST was included based on graphical analysis suggesting a possible trend (data not shown), statistical significance of univariate analyses (</w:t>
      </w:r>
      <w:r w:rsidR="0099160A">
        <w:t xml:space="preserve">95% confidence intervals of </w:t>
      </w:r>
      <w:r w:rsidR="006A6715">
        <w:t xml:space="preserve">RRs not including 1) and worsened model fit without the variable </w:t>
      </w:r>
      <w:r w:rsidR="00657ADC">
        <w:t xml:space="preserve">(QIC </w:t>
      </w:r>
      <w:r w:rsidR="005E6040">
        <w:t>1977.6</w:t>
      </w:r>
      <w:r w:rsidR="005244BA">
        <w:t>4</w:t>
      </w:r>
      <w:r w:rsidR="005E6040">
        <w:t xml:space="preserve"> </w:t>
      </w:r>
      <w:r w:rsidR="006A6715">
        <w:t>with the variable vs</w:t>
      </w:r>
      <w:r w:rsidR="00657ADC">
        <w:t xml:space="preserve"> </w:t>
      </w:r>
      <w:r w:rsidR="006A6715">
        <w:t>2013.8</w:t>
      </w:r>
      <w:r w:rsidR="005244BA">
        <w:t>7</w:t>
      </w:r>
      <w:r w:rsidR="00657ADC">
        <w:t xml:space="preserve"> without).  </w:t>
      </w:r>
    </w:p>
    <w:p w14:paraId="5852E2FB" w14:textId="65249507" w:rsidR="00C12BA9" w:rsidRDefault="00C905F8" w:rsidP="00846BA5">
      <w:pPr>
        <w:spacing w:line="480" w:lineRule="auto"/>
        <w:ind w:firstLine="720"/>
      </w:pPr>
      <w:r>
        <w:t xml:space="preserve">For the analysis of factors associated with </w:t>
      </w:r>
      <w:r w:rsidR="009C60AB">
        <w:t xml:space="preserve">failure to </w:t>
      </w:r>
      <w:r w:rsidR="00D644CE">
        <w:t>obtain a</w:t>
      </w:r>
      <w:r w:rsidR="00A32938">
        <w:t xml:space="preserve"> </w:t>
      </w:r>
      <w:r>
        <w:t>TST</w:t>
      </w:r>
      <w:r w:rsidR="00D644CE">
        <w:t xml:space="preserve"> result</w:t>
      </w:r>
      <w:r w:rsidR="00A32938">
        <w:t>, i</w:t>
      </w:r>
      <w:r w:rsidR="00311542">
        <w:t>ndication for testing was included based on</w:t>
      </w:r>
      <w:r w:rsidR="0006310C">
        <w:t xml:space="preserve"> a</w:t>
      </w:r>
      <w:r w:rsidR="00311542">
        <w:t xml:space="preserve"> previous meta-analysis showing an association between </w:t>
      </w:r>
      <w:r w:rsidR="007B7B50">
        <w:t>test indication and completion of latent tuberculosis infection testing</w:t>
      </w:r>
      <w:r w:rsidR="00311542">
        <w:fldChar w:fldCharType="begin"/>
      </w:r>
      <w:r w:rsidR="005A21B2">
        <w:instrText xml:space="preserve"> ADDIN ZOTERO_ITEM CSL_CITATION {"citationID":"ghAxPYln","properties":{"formattedCitation":"(3)","plainCitation":"(3)","noteIndex":0},"citationItems":[{"id":65,"uris":["http://zotero.org/users/local/bHVFKvh1/items/DEQBETPF"],"uri":["http://zotero.org/users/local/bHVFKvh1/items/DEQBETPF"],"itemData":{"id":65,"type":"article-journal","title":"The cascade of care in diagnosis and treatment of latent tuberculosis infection: a systematic review and meta-analysis","container-title":"The Lancet Infectious Diseases","page":"1269-1278","volume":"16","issue":"11","source":"ScienceDirect","abstract":"SummaryBackground\nWHO estimates that a third of the world's population has latent tuberculosis infection and that less than 5% of those infected are diagnosed and treated to prevent tuberculosis. We aimed to systematically review studies that report the steps from initial tuberculosis screening through to treatment for latent tuberculosis infection, which we call the latent tuberculosis cascade of care. We specifically aimed to assess the number of people lost at each stage of the cascade.\nMethods\nWe did a systematic review and meta-analysis of study-level observational data. We searched MEDLINE (via OVID), Embase, and Health Star for observational studies, published between 1946 and April 12, 2015, that reported primary data for diagnosis and treatment of latent tuberculosis infection. We did meta-analyses using random and fixed effects analyses to identify percentages of patients with latent tuberculosis infection completing each step in the cascade. We also estimated pooled proportions in subgroups stratified by different characteristics of interest to assess risk factors for losses.\nResults\nWe identified 58 studies, describing 70 distinct cohorts and 748 572 people. Steps in the cascade associated with greater losses included completion of testing (71·9% [95% CI 71·8–72·0] of people intended for screening), completion of medical evaluation (43·7% [42·5–44·9]), recommendation for treatment (35·0% [33·8–36·4]), and completion of treatment if started (18·8% [16·3–19·7]). Steps with fewer losses included receiving test results, referral for evaluation if test positive, and accepting to start therapy if recommended. Factors associated with fewer losses were immune-compromising medical indications, being part of contact investigations, and use of rifamycin-based regimens.\nInterpretation\nWe identify major losses at several steps in the cascade of care for latent tuberculosis infection. Improvements in management of latent tuberculosis will need programmatic approaches to address the losses at each step in the cascade.\nFunders\nCanadian Institutes of Health Research.","DOI":"10.1016/S1473-3099(16)30216-X","ISSN":"1473-3099","title-short":"The cascade of care in diagnosis and treatment of latent tuberculosis infection","journalAbbreviation":"The Lancet Infectious Diseases","author":[{"family":"Alsdurf","given":"Hannah"},{"family":"Hill","given":"Philip C"},{"family":"Matteelli","given":"Alberto"},{"family":"Getahun","given":"Haileyesus"},{"family":"Menzies","given":"Dick"}],"issued":{"date-parts":[["2016",11]]}}}],"schema":"https://github.com/citation-style-language/schema/raw/master/csl-citation.json"} </w:instrText>
      </w:r>
      <w:r w:rsidR="00311542">
        <w:fldChar w:fldCharType="separate"/>
      </w:r>
      <w:r w:rsidR="005A21B2">
        <w:rPr>
          <w:noProof/>
        </w:rPr>
        <w:t>(3)</w:t>
      </w:r>
      <w:r w:rsidR="00311542">
        <w:fldChar w:fldCharType="end"/>
      </w:r>
      <w:r w:rsidR="00311542">
        <w:t>.</w:t>
      </w:r>
      <w:r w:rsidR="0006310C">
        <w:t xml:space="preserve">  </w:t>
      </w:r>
      <w:r w:rsidR="006E7569">
        <w:t>Ethnicity was</w:t>
      </w:r>
      <w:r w:rsidR="00C5606F">
        <w:t xml:space="preserve"> included</w:t>
      </w:r>
      <w:r w:rsidR="00D323EC">
        <w:t xml:space="preserve"> </w:t>
      </w:r>
      <w:r w:rsidR="000D0574">
        <w:t xml:space="preserve">both because of the high rates of </w:t>
      </w:r>
      <w:r w:rsidR="000457C6">
        <w:t xml:space="preserve">active TB in the population and </w:t>
      </w:r>
      <w:r w:rsidR="00D323EC">
        <w:t>because</w:t>
      </w:r>
      <w:r w:rsidR="00590CEB">
        <w:t xml:space="preserve"> high levels of </w:t>
      </w:r>
      <w:r w:rsidR="00D11132">
        <w:t>adverse socioeconomic indicators among Inuit people</w:t>
      </w:r>
      <w:r w:rsidR="00A80F93">
        <w:t xml:space="preserve"> </w:t>
      </w:r>
      <w:r w:rsidR="00D11132">
        <w:fldChar w:fldCharType="begin"/>
      </w:r>
      <w:r w:rsidR="005A21B2">
        <w:instrText xml:space="preserve"> ADDIN ZOTERO_ITEM CSL_CITATION {"citationID":"aqdXIi1w","properties":{"formattedCitation":"(11,12)","plainCitation":"(11,12)","noteIndex":0},"citationItems":[{"id":1740,"uris":["http://zotero.org/users/local/bHVFKvh1/items/JNWXASH4"],"uri":["http://zotero.org/users/local/bHVFKvh1/items/JNWXASH4"],"itemData":{"id":1740,"type":"article-journal","title":"Inuit housing and homelessness: results from the International Polar Year Inuit Health Survey 2007-2008","container-title":"International Journal of Circumpolar Health","page":"520-531","volume":"70","issue":"5","source":"PubMed","abstract":"OBJECTIVES: Evaluate housing characteristics across Inuit regions in Canada that participated in the 2007-2008 International Polar Year (IPY) Inuit Health Survey.\nSTUDY DESIGN: A cross-sectional Inuit Health Survey.\nMETHODS: Housing characteristics were ascertained as part of the IPY Inuit Health Survey through interviews conducted in 33 coastal and 3 inland communities, representing all communities in the Inuvialuit Settlement Region (ISR) of NWT, Nunavut and Nunatsiavut of northern Labrador. Variable descriptive statistics were weighted and presented by region and by whether children were present or not in each household.\nRESULTS: A total of 2,796 Inuit households were approached, of which 68% participated (n=1,901 households). In ISR and Nunavut, approximately 20% of homes provided shelter to the homeless compared to 12% in Nunatsiavut (p≤0.05). The prevalence of public housing and household crowding also varied by region, with Nunavut having a statistically significantly higher prevalence of crowding (30%) than Nunatsiavut (12%) and ISR (12%). Household crowding was more prevalent among homes with children. Overall, 40% of homes were in need of major repairs and problems with mould were reported in 20% of households.\nCONCLUSIONS: Adequate shelter is a basic human need and an essential foundation for thriving population health. The results indicate that improvements in housing indicators are needed. Of utmost concern is the high prevalence of overcrowding in Inuit homes with children, which poses potential consequences for children's health and well-being. Further, the high percentage of homes providing shelter to the homeless suggests that hidden homelessness needs to be addressed by further research and program implementation.","ISSN":"2242-3982","note":"PMID: 22152596","title-short":"Inuit housing and homelessness","journalAbbreviation":"Int J Circumpolar Health","language":"eng","author":[{"family":"Minich","given":"Katherine"},{"family":"Saudny","given":"Helga"},{"family":"Lennie","given":"Crystal"},{"family":"Wood","given":"Michele"},{"family":"Williamson-Bathory","given":"Laakkuluk"},{"family":"Cao","given":"Zhirong"},{"family":"Egeland","given":"Grace M."}],"issued":{"date-parts":[["2011"]]}}},{"id":1737,"uris":["http://zotero.org/users/local/bHVFKvh1/items/XC5WIKDJ"],"uri":["http://zotero.org/users/local/bHVFKvh1/items/XC5WIKDJ"],"itemData":{"id":1737,"type":"article-journal","title":"Food insecurity and food consumption by season in households with children in an Arctic city: a cross-sectional study","container-title":"BMC public health","page":"578","volume":"17","issue":"1","source":"PubMed","abstract":"BACKGROUND: High rates of food insecurity are documented among Inuit households in Canada; however, data on food insecurity prevalence and seasonality for Inuit households with children are lacking, especially in city centres. This project: (1) compared food consumption patterns for households with and without children, (2) compared the prevalence of food insecurity for households with and without children, (3) compared food consumption patterns and food insecurity prevalence between seasons, and (4) identified factors associated with food insecurity in households with children in Iqaluit, Nunavut, Canada.\nMETHODS: Randomly selected households were surveyed in Iqaluit in September 2012 and May 2013. Household food security status was determined using an adapted United States Department of Agriculture Household Food Security Survey Module. Univariable logistic regressions were used to examine unconditional associations between food security status and demographics, socioeconomics, frequency of food consumption, and method of food preparation in households with children by season.\nRESULTS: Households with children (n = 431) and without children (n = 468) participated in the survey. Food insecurity was identified in 32.9% (95% CI: 28.5-37.4%) of households with children; this was significantly higher than in households without children (23.2%, 95% CI: 19.4-27.1%). The prevalence of household food insecurity did not significantly differ by season. Demographic and socioeconomic characteristics of the person responsible for food preparation, including low formal education attainment (ORSept = 4.3, 95% CI: 2.3-8.0; ORMay = 3.2, 95% CI: 1.8-5.8), unemployment (ORSept = 1.1, 95% CI: 1.1-1.3; ORMay = 1.3, 95% CI: 1.1-1.5), and Inuit identity (ORSept = 8.9, 95% CI: 3.4-23.5; ORMay = 21.8, 95% CI: 6.6-72.4), were associated with increased odds of food insecurity in households with children. Fruit and vegetable consumption (ORSept = 0.4, 95% CI: 0.2-0.8; ORMay = 0.5, 95% CI: 0.2-0.9), as well as eating cooked (ORSept = 0.5, 95% CI: 0.3-1.0; ORMay = 0.5, 95% CI: 0.3-0.9) and raw (ORSept = 1.7, 95% CI: 0.9-3.0; ORMay = 1.8, 95% CI: 1.0-3.1) fish were associated with decreased odds of food insecurity among households with children, while eating frozen meat and/or fish (ORSept = 2.6, 95% CI: 1.4-5.0; ORMay = 2.0, 95% CI: 1.1-3.7) was associated with increased odds of food insecurity.\nCONCLUSIONS: Food insecurity is high among households with children in Iqaluit. Despite the partial subsistence livelihoods of many Inuit in the city, we found no seasonal differences in food security and food consumption for households with children. Interventions aiming to decrease food insecurity in these households should consider food consumption habits, and the reported demographic and socioeconomic determinants of food insecurity.","DOI":"10.1186/s12889-017-4393-6","ISSN":"1471-2458","note":"PMID: 28619039\nPMCID: PMC5472920","title-short":"Food insecurity and food consumption by season in households with children in an Arctic city","journalAbbreviation":"BMC Public Health","language":"eng","author":[{"family":"Huet","given":"Catherine"},{"family":"Ford","given":"James D."},{"family":"Edge","given":"Victoria L."},{"family":"Shirley","given":"Jamal"},{"family":"King","given":"Nia"},{"literal":"IHACC Research Team"},{"family":"Harper","given":"Sherilee L."}],"issued":{"date-parts":[["2017"]],"season":"15"}}}],"schema":"https://github.com/citation-style-language/schema/raw/master/csl-citation.json"} </w:instrText>
      </w:r>
      <w:r w:rsidR="00D11132">
        <w:fldChar w:fldCharType="separate"/>
      </w:r>
      <w:r w:rsidR="005A21B2">
        <w:rPr>
          <w:noProof/>
        </w:rPr>
        <w:t>(11,12)</w:t>
      </w:r>
      <w:r w:rsidR="00D11132">
        <w:fldChar w:fldCharType="end"/>
      </w:r>
      <w:r w:rsidR="00D11132">
        <w:t xml:space="preserve"> was felt to put them at higher risk of loss to follow up.</w:t>
      </w:r>
      <w:r w:rsidR="006E7569">
        <w:t xml:space="preserve"> </w:t>
      </w:r>
      <w:r w:rsidR="004136DD">
        <w:t xml:space="preserve"> Year of TST was included based on a possible trend in graphical analysis and statistical significance in </w:t>
      </w:r>
      <w:r w:rsidR="006954D2">
        <w:t>the risk of failure to return</w:t>
      </w:r>
      <w:r w:rsidR="004136DD">
        <w:t xml:space="preserve"> for TST reading in univariate analysis between tests performed in 2012 vs 2015 (</w:t>
      </w:r>
      <w:r w:rsidR="00F107BC">
        <w:t>95% confidence intervals of RR not including 1</w:t>
      </w:r>
      <w:r w:rsidR="004136DD">
        <w:t>) although</w:t>
      </w:r>
      <w:r w:rsidR="004136DD" w:rsidRPr="00450641">
        <w:t xml:space="preserve"> </w:t>
      </w:r>
      <w:r w:rsidR="004136DD">
        <w:t xml:space="preserve">model fit was similar with and without the variable (QIC </w:t>
      </w:r>
      <w:r w:rsidR="003D0EC9">
        <w:t>1111.0</w:t>
      </w:r>
      <w:r w:rsidR="005244BA">
        <w:t>2</w:t>
      </w:r>
      <w:r w:rsidR="003D0EC9">
        <w:t xml:space="preserve"> </w:t>
      </w:r>
      <w:r w:rsidR="004136DD">
        <w:t>with the var</w:t>
      </w:r>
      <w:r w:rsidR="003D0EC9">
        <w:t>iable and 1110.9</w:t>
      </w:r>
      <w:r w:rsidR="005244BA">
        <w:t>7</w:t>
      </w:r>
      <w:r w:rsidR="004136DD">
        <w:t xml:space="preserve"> without).  </w:t>
      </w:r>
      <w:r w:rsidR="00D11132">
        <w:t xml:space="preserve"> </w:t>
      </w:r>
      <w:r w:rsidR="007327D1">
        <w:t xml:space="preserve">Sex </w:t>
      </w:r>
      <w:r w:rsidR="0099160A">
        <w:t>and age were</w:t>
      </w:r>
      <w:r w:rsidR="007327D1">
        <w:t xml:space="preserve"> not included because univariate analysis showe</w:t>
      </w:r>
      <w:r w:rsidR="00B26A6B">
        <w:t>d</w:t>
      </w:r>
      <w:r w:rsidR="007327D1">
        <w:t xml:space="preserve"> no significant association</w:t>
      </w:r>
      <w:r w:rsidR="0099160A">
        <w:t>s</w:t>
      </w:r>
      <w:r w:rsidR="007327D1">
        <w:t xml:space="preserve"> </w:t>
      </w:r>
      <w:r w:rsidR="009C60AB">
        <w:t>with the outcome</w:t>
      </w:r>
      <w:r w:rsidR="00F35694">
        <w:t xml:space="preserve"> (95% confidence intervals of RR not including 1) </w:t>
      </w:r>
      <w:r w:rsidR="007327D1">
        <w:t xml:space="preserve">and model </w:t>
      </w:r>
      <w:r w:rsidR="007E6B37">
        <w:t xml:space="preserve">fit </w:t>
      </w:r>
      <w:r w:rsidR="007327D1">
        <w:t>worsened with its inclusion (QIC 1111</w:t>
      </w:r>
      <w:r w:rsidR="004136DD">
        <w:t>.015 with sex</w:t>
      </w:r>
      <w:r w:rsidR="00F107BC">
        <w:t xml:space="preserve"> and age</w:t>
      </w:r>
      <w:r w:rsidR="004136DD">
        <w:t xml:space="preserve"> vs</w:t>
      </w:r>
      <w:r w:rsidR="007327D1">
        <w:t xml:space="preserve"> 1108.9</w:t>
      </w:r>
      <w:r w:rsidR="005244BA">
        <w:t>7</w:t>
      </w:r>
      <w:r w:rsidR="007327D1">
        <w:t xml:space="preserve"> without</w:t>
      </w:r>
      <w:r w:rsidR="00F107BC">
        <w:t xml:space="preserve"> sex and 1109.3</w:t>
      </w:r>
      <w:r w:rsidR="005244BA">
        <w:t>9</w:t>
      </w:r>
      <w:r w:rsidR="00F107BC">
        <w:t xml:space="preserve"> without age</w:t>
      </w:r>
      <w:r w:rsidR="007327D1">
        <w:t>).</w:t>
      </w:r>
      <w:r w:rsidR="00762CBA">
        <w:t xml:space="preserve">  </w:t>
      </w:r>
    </w:p>
    <w:p w14:paraId="7019F50C" w14:textId="0B203C22" w:rsidR="003406FB" w:rsidRDefault="003406FB">
      <w:pPr>
        <w:autoSpaceDE/>
        <w:autoSpaceDN/>
        <w:adjustRightInd/>
        <w:spacing w:before="0" w:after="0"/>
      </w:pPr>
      <w:r>
        <w:br w:type="page"/>
      </w:r>
    </w:p>
    <w:p w14:paraId="6EAF91C1" w14:textId="6AA3520C" w:rsidR="00E9238F" w:rsidRDefault="003406FB" w:rsidP="009608C2">
      <w:pPr>
        <w:spacing w:line="480" w:lineRule="auto"/>
        <w:rPr>
          <w:b/>
        </w:rPr>
      </w:pPr>
      <w:r w:rsidRPr="003406FB">
        <w:rPr>
          <w:b/>
        </w:rPr>
        <w:lastRenderedPageBreak/>
        <w:t xml:space="preserve">Appendix 2.  </w:t>
      </w:r>
      <w:r w:rsidR="009E4B48">
        <w:rPr>
          <w:b/>
        </w:rPr>
        <w:t>Results of sensitivity analyses</w:t>
      </w:r>
      <w:r w:rsidRPr="003406FB">
        <w:rPr>
          <w:b/>
        </w:rPr>
        <w:t>.</w:t>
      </w:r>
    </w:p>
    <w:p w14:paraId="37940479" w14:textId="038A0E98" w:rsidR="00CB5EC3" w:rsidRPr="00734970" w:rsidRDefault="00393A4D" w:rsidP="009E4B48">
      <w:pPr>
        <w:spacing w:line="480" w:lineRule="auto"/>
      </w:pPr>
      <w:r w:rsidRPr="00C36730">
        <w:t xml:space="preserve">Table S1 shows the results of regression models examining associations between clinical and demographic factors </w:t>
      </w:r>
      <w:r w:rsidR="008224B0" w:rsidRPr="00C36730">
        <w:t xml:space="preserve">and non-completion of </w:t>
      </w:r>
      <w:r w:rsidRPr="00C36730">
        <w:t xml:space="preserve">treatment </w:t>
      </w:r>
      <w:r w:rsidR="00B10794" w:rsidRPr="00C36730">
        <w:t xml:space="preserve">defined as </w:t>
      </w:r>
      <w:r w:rsidR="009E4B48" w:rsidRPr="00C36730">
        <w:t xml:space="preserve">receipt of </w:t>
      </w:r>
      <w:r w:rsidR="008224B0" w:rsidRPr="00C36730">
        <w:t>&lt;</w:t>
      </w:r>
      <w:r w:rsidR="009E4B48" w:rsidRPr="00C36730">
        <w:t>90% of prescribed doses of therapy within 12 months of the first dose</w:t>
      </w:r>
      <w:r w:rsidR="00B10794" w:rsidRPr="00C36730">
        <w:t>.  Table S2 shows similar results when defining</w:t>
      </w:r>
      <w:r w:rsidR="009E4B48" w:rsidRPr="00C36730">
        <w:t xml:space="preserve"> treatment </w:t>
      </w:r>
      <w:r w:rsidR="008224B0" w:rsidRPr="00C36730">
        <w:t>non-</w:t>
      </w:r>
      <w:r w:rsidR="009E4B48" w:rsidRPr="00C36730">
        <w:t xml:space="preserve">completion as receipt of </w:t>
      </w:r>
      <w:r w:rsidR="008224B0" w:rsidRPr="00C36730">
        <w:t>&lt;</w:t>
      </w:r>
      <w:r w:rsidR="00B10794" w:rsidRPr="00C36730">
        <w:t>10</w:t>
      </w:r>
      <w:r w:rsidR="009E4B48" w:rsidRPr="00C36730">
        <w:t xml:space="preserve">0% of prescribed doses of therapy within 12 </w:t>
      </w:r>
      <w:r w:rsidR="009E4B48" w:rsidRPr="00734970">
        <w:t>months of the first dos</w:t>
      </w:r>
      <w:r w:rsidR="00B10794" w:rsidRPr="00734970">
        <w:t>e.</w:t>
      </w:r>
      <w:r w:rsidR="00CB5EC3" w:rsidRPr="00734970">
        <w:t xml:space="preserve">  </w:t>
      </w:r>
    </w:p>
    <w:p w14:paraId="3F928B9D" w14:textId="77777777" w:rsidR="00EA5371" w:rsidRDefault="00EA5371">
      <w:pPr>
        <w:autoSpaceDE/>
        <w:autoSpaceDN/>
        <w:adjustRightInd/>
        <w:spacing w:before="0" w:after="0"/>
        <w:rPr>
          <w:b/>
        </w:rPr>
      </w:pPr>
      <w:r>
        <w:rPr>
          <w:b/>
        </w:rPr>
        <w:br w:type="page"/>
      </w:r>
    </w:p>
    <w:p w14:paraId="0B1634D0" w14:textId="7EFC149E" w:rsidR="00D535A6" w:rsidRPr="00734970" w:rsidRDefault="003406FB" w:rsidP="00D535A6">
      <w:pPr>
        <w:rPr>
          <w:highlight w:val="yellow"/>
        </w:rPr>
      </w:pPr>
      <w:r w:rsidRPr="00734970">
        <w:rPr>
          <w:b/>
        </w:rPr>
        <w:lastRenderedPageBreak/>
        <w:t>Table S1</w:t>
      </w:r>
      <w:r w:rsidRPr="00734970">
        <w:t>.</w:t>
      </w:r>
      <w:r w:rsidR="00D644CE" w:rsidRPr="00734970">
        <w:t xml:space="preserve"> </w:t>
      </w:r>
      <w:r w:rsidR="00613932" w:rsidRPr="00734970">
        <w:t xml:space="preserve">Results of a sensitivity analysis defining treatment </w:t>
      </w:r>
      <w:r w:rsidR="00D535A6" w:rsidRPr="00734970">
        <w:t>non-</w:t>
      </w:r>
      <w:r w:rsidR="00613932" w:rsidRPr="00734970">
        <w:t xml:space="preserve">completion as receipt of </w:t>
      </w:r>
      <w:r w:rsidR="00D535A6" w:rsidRPr="00734970">
        <w:t>&lt;</w:t>
      </w:r>
      <w:r w:rsidR="00613932" w:rsidRPr="00734970">
        <w:t xml:space="preserve">90% of prescribed doses of therapy within 12 months of the first dose.  </w:t>
      </w:r>
      <w:r w:rsidR="00D535A6" w:rsidRPr="00734970">
        <w:rPr>
          <w:color w:val="000000"/>
        </w:rPr>
        <w:t xml:space="preserve">Risk ratios (RRs) by demographic and clinical characteristic for non-completion of treatment among patients starting treatment for latent tuberculosis infection in Iqaluit, Nunavut between January 2012 and March 2016.  </w:t>
      </w:r>
      <w:r w:rsidR="00376375" w:rsidRPr="00326E25">
        <w:rPr>
          <w:color w:val="000000"/>
        </w:rPr>
        <w:t xml:space="preserve">RRs </w:t>
      </w:r>
      <w:r w:rsidR="00376375">
        <w:rPr>
          <w:color w:val="000000"/>
        </w:rPr>
        <w:t>marked with an asterisk (*)</w:t>
      </w:r>
      <w:r w:rsidR="00376375" w:rsidRPr="00326E25">
        <w:rPr>
          <w:color w:val="000000"/>
        </w:rPr>
        <w:t xml:space="preserve"> are statistically significant.</w:t>
      </w:r>
      <w:r w:rsidR="00376375">
        <w:rPr>
          <w:color w:val="000000"/>
        </w:rPr>
        <w:t xml:space="preserve"> </w:t>
      </w:r>
      <w:r w:rsidR="00D535A6" w:rsidRPr="00734970">
        <w:rPr>
          <w:color w:val="000000"/>
        </w:rPr>
        <w:t>CI = confidence interval. n = 208 patients</w:t>
      </w:r>
      <w:r w:rsidR="00D535A6" w:rsidRPr="00734970">
        <w:rPr>
          <w:color w:val="000000"/>
          <w:vertAlign w:val="superscript"/>
        </w:rPr>
        <w:t>1</w:t>
      </w:r>
      <w:r w:rsidR="00D535A6" w:rsidRPr="00734970">
        <w:rPr>
          <w:color w:val="000000"/>
        </w:rPr>
        <w:t>.</w:t>
      </w:r>
    </w:p>
    <w:tbl>
      <w:tblPr>
        <w:tblW w:w="0" w:type="auto"/>
        <w:tblInd w:w="-118" w:type="dxa"/>
        <w:tblBorders>
          <w:top w:val="nil"/>
          <w:left w:val="nil"/>
          <w:right w:val="nil"/>
        </w:tblBorders>
        <w:tblLayout w:type="fixed"/>
        <w:tblLook w:val="0000" w:firstRow="0" w:lastRow="0" w:firstColumn="0" w:lastColumn="0" w:noHBand="0" w:noVBand="0"/>
      </w:tblPr>
      <w:tblGrid>
        <w:gridCol w:w="2802"/>
        <w:gridCol w:w="2938"/>
        <w:gridCol w:w="3080"/>
      </w:tblGrid>
      <w:tr w:rsidR="00D535A6" w:rsidRPr="00734970" w14:paraId="4EA67906" w14:textId="77777777" w:rsidTr="00816123">
        <w:tc>
          <w:tcPr>
            <w:tcW w:w="28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DF4BC84" w14:textId="77777777" w:rsidR="00D535A6" w:rsidRPr="00734970" w:rsidRDefault="00D535A6" w:rsidP="00B15389">
            <w:pPr>
              <w:spacing w:before="0" w:after="0"/>
              <w:jc w:val="center"/>
              <w:rPr>
                <w:kern w:val="1"/>
              </w:rPr>
            </w:pPr>
            <w:r w:rsidRPr="00734970">
              <w:rPr>
                <w:color w:val="000000"/>
              </w:rPr>
              <w:t>Potential Risk factor</w:t>
            </w:r>
          </w:p>
        </w:tc>
        <w:tc>
          <w:tcPr>
            <w:tcW w:w="29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0F1138E" w14:textId="77777777" w:rsidR="00D535A6" w:rsidRPr="00734970" w:rsidRDefault="00D535A6" w:rsidP="00B15389">
            <w:pPr>
              <w:spacing w:before="0" w:after="0"/>
              <w:jc w:val="center"/>
              <w:rPr>
                <w:kern w:val="1"/>
              </w:rPr>
            </w:pPr>
            <w:r w:rsidRPr="00734970">
              <w:rPr>
                <w:color w:val="000000"/>
              </w:rPr>
              <w:t>Unadjusted risk ratio (95% CI)</w:t>
            </w: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B881551" w14:textId="77777777" w:rsidR="00D535A6" w:rsidRPr="00734970" w:rsidRDefault="00D535A6" w:rsidP="00B15389">
            <w:pPr>
              <w:spacing w:before="0" w:after="0"/>
              <w:jc w:val="center"/>
              <w:rPr>
                <w:kern w:val="1"/>
              </w:rPr>
            </w:pPr>
            <w:r w:rsidRPr="00734970">
              <w:rPr>
                <w:color w:val="000000"/>
              </w:rPr>
              <w:t>Adjusted risk ratio (95% CI)</w:t>
            </w:r>
          </w:p>
        </w:tc>
      </w:tr>
      <w:tr w:rsidR="00D535A6" w:rsidRPr="00734970" w14:paraId="4C46C1E6" w14:textId="77777777" w:rsidTr="00816123">
        <w:tblPrEx>
          <w:tblBorders>
            <w:top w:val="none" w:sz="0" w:space="0" w:color="auto"/>
          </w:tblBorders>
        </w:tblPrEx>
        <w:tc>
          <w:tcPr>
            <w:tcW w:w="28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37DC8A6" w14:textId="77777777" w:rsidR="00D535A6" w:rsidRPr="00734970" w:rsidRDefault="00D535A6" w:rsidP="00B153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kern w:val="1"/>
              </w:rPr>
            </w:pPr>
          </w:p>
        </w:tc>
        <w:tc>
          <w:tcPr>
            <w:tcW w:w="29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B87709A" w14:textId="77777777" w:rsidR="00D535A6" w:rsidRPr="00734970" w:rsidRDefault="00D535A6" w:rsidP="00B153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kern w:val="1"/>
              </w:rPr>
            </w:pP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5F7BE27" w14:textId="77777777" w:rsidR="00D535A6" w:rsidRPr="00734970" w:rsidRDefault="00D535A6" w:rsidP="00B153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kern w:val="1"/>
              </w:rPr>
            </w:pPr>
          </w:p>
        </w:tc>
      </w:tr>
      <w:tr w:rsidR="00D535A6" w:rsidRPr="00734970" w14:paraId="76486309" w14:textId="77777777" w:rsidTr="00816123">
        <w:tblPrEx>
          <w:tblBorders>
            <w:top w:val="none" w:sz="0" w:space="0" w:color="auto"/>
          </w:tblBorders>
        </w:tblPrEx>
        <w:tc>
          <w:tcPr>
            <w:tcW w:w="28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1896554" w14:textId="77777777" w:rsidR="00D535A6" w:rsidRPr="00734970" w:rsidRDefault="00D535A6" w:rsidP="00B15389">
            <w:pPr>
              <w:spacing w:before="0" w:after="0"/>
              <w:rPr>
                <w:kern w:val="1"/>
              </w:rPr>
            </w:pPr>
            <w:r w:rsidRPr="00734970">
              <w:rPr>
                <w:color w:val="000000"/>
              </w:rPr>
              <w:t>Age, years (per 5-year increase)</w:t>
            </w:r>
          </w:p>
        </w:tc>
        <w:tc>
          <w:tcPr>
            <w:tcW w:w="29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F011A04" w14:textId="1F9E9518" w:rsidR="00D535A6" w:rsidRPr="00376375" w:rsidRDefault="00D535A6" w:rsidP="00B15389">
            <w:pPr>
              <w:spacing w:before="0" w:after="0"/>
              <w:jc w:val="center"/>
              <w:rPr>
                <w:kern w:val="1"/>
              </w:rPr>
            </w:pPr>
            <w:r w:rsidRPr="00376375">
              <w:rPr>
                <w:kern w:val="1"/>
              </w:rPr>
              <w:t>1.</w:t>
            </w:r>
            <w:r w:rsidR="003A1BC8" w:rsidRPr="00376375">
              <w:rPr>
                <w:kern w:val="1"/>
              </w:rPr>
              <w:t>05</w:t>
            </w:r>
            <w:r w:rsidRPr="00376375">
              <w:rPr>
                <w:kern w:val="1"/>
              </w:rPr>
              <w:t xml:space="preserve"> (1.0</w:t>
            </w:r>
            <w:r w:rsidR="003A1BC8" w:rsidRPr="00376375">
              <w:rPr>
                <w:kern w:val="1"/>
              </w:rPr>
              <w:t>0</w:t>
            </w:r>
            <w:r w:rsidRPr="00376375">
              <w:rPr>
                <w:kern w:val="1"/>
              </w:rPr>
              <w:t>-1.</w:t>
            </w:r>
            <w:proofErr w:type="gramStart"/>
            <w:r w:rsidRPr="00376375">
              <w:rPr>
                <w:kern w:val="1"/>
              </w:rPr>
              <w:t>1</w:t>
            </w:r>
            <w:r w:rsidR="003A1BC8" w:rsidRPr="00376375">
              <w:rPr>
                <w:kern w:val="1"/>
              </w:rPr>
              <w:t>1</w:t>
            </w:r>
            <w:r w:rsidRPr="00376375">
              <w:rPr>
                <w:kern w:val="1"/>
              </w:rPr>
              <w:t>)</w:t>
            </w:r>
            <w:r w:rsidR="00376375" w:rsidRPr="00376375">
              <w:rPr>
                <w:kern w:val="1"/>
              </w:rPr>
              <w:t>*</w:t>
            </w:r>
            <w:proofErr w:type="gramEnd"/>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84FBE68" w14:textId="21CA876C" w:rsidR="00D535A6" w:rsidRPr="00376375" w:rsidRDefault="00D535A6" w:rsidP="00B15389">
            <w:pPr>
              <w:spacing w:before="0" w:after="0"/>
              <w:jc w:val="center"/>
              <w:rPr>
                <w:kern w:val="1"/>
              </w:rPr>
            </w:pPr>
            <w:r w:rsidRPr="00376375">
              <w:rPr>
                <w:kern w:val="1"/>
              </w:rPr>
              <w:t>1.</w:t>
            </w:r>
            <w:r w:rsidR="006A0875" w:rsidRPr="00376375">
              <w:rPr>
                <w:kern w:val="1"/>
              </w:rPr>
              <w:t>08</w:t>
            </w:r>
            <w:r w:rsidRPr="00376375">
              <w:rPr>
                <w:kern w:val="1"/>
              </w:rPr>
              <w:t xml:space="preserve"> (1.0</w:t>
            </w:r>
            <w:r w:rsidR="00CD75AA" w:rsidRPr="00376375">
              <w:rPr>
                <w:kern w:val="1"/>
              </w:rPr>
              <w:t>1</w:t>
            </w:r>
            <w:r w:rsidRPr="00376375">
              <w:rPr>
                <w:kern w:val="1"/>
              </w:rPr>
              <w:t>-1.</w:t>
            </w:r>
            <w:proofErr w:type="gramStart"/>
            <w:r w:rsidR="00CD75AA" w:rsidRPr="00376375">
              <w:rPr>
                <w:kern w:val="1"/>
              </w:rPr>
              <w:t>15</w:t>
            </w:r>
            <w:r w:rsidRPr="00376375">
              <w:rPr>
                <w:kern w:val="1"/>
              </w:rPr>
              <w:t>)</w:t>
            </w:r>
            <w:r w:rsidR="00376375" w:rsidRPr="00376375">
              <w:rPr>
                <w:kern w:val="1"/>
              </w:rPr>
              <w:t>*</w:t>
            </w:r>
            <w:proofErr w:type="gramEnd"/>
          </w:p>
        </w:tc>
      </w:tr>
      <w:tr w:rsidR="00D535A6" w:rsidRPr="00734970" w14:paraId="34EB7EC7" w14:textId="77777777" w:rsidTr="00816123">
        <w:tblPrEx>
          <w:tblBorders>
            <w:top w:val="none" w:sz="0" w:space="0" w:color="auto"/>
          </w:tblBorders>
        </w:tblPrEx>
        <w:tc>
          <w:tcPr>
            <w:tcW w:w="28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20C4681" w14:textId="77777777" w:rsidR="00D535A6" w:rsidRPr="00734970" w:rsidRDefault="00D535A6" w:rsidP="00B153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kern w:val="1"/>
              </w:rPr>
            </w:pPr>
          </w:p>
        </w:tc>
        <w:tc>
          <w:tcPr>
            <w:tcW w:w="29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BF9B4FB" w14:textId="77777777" w:rsidR="00D535A6" w:rsidRPr="00734970" w:rsidRDefault="00D535A6" w:rsidP="00B153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kern w:val="1"/>
              </w:rPr>
            </w:pP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5A0CD28" w14:textId="77777777" w:rsidR="00D535A6" w:rsidRPr="00734970" w:rsidRDefault="00D535A6" w:rsidP="00B153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kern w:val="1"/>
              </w:rPr>
            </w:pPr>
          </w:p>
        </w:tc>
      </w:tr>
      <w:tr w:rsidR="00D535A6" w:rsidRPr="00734970" w14:paraId="79991811" w14:textId="77777777" w:rsidTr="00816123">
        <w:tblPrEx>
          <w:tblBorders>
            <w:top w:val="none" w:sz="0" w:space="0" w:color="auto"/>
          </w:tblBorders>
        </w:tblPrEx>
        <w:tc>
          <w:tcPr>
            <w:tcW w:w="28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96B6CE3" w14:textId="77777777" w:rsidR="00D535A6" w:rsidRPr="00734970" w:rsidRDefault="00D535A6" w:rsidP="00B15389">
            <w:pPr>
              <w:spacing w:before="0" w:after="0"/>
              <w:rPr>
                <w:kern w:val="1"/>
              </w:rPr>
            </w:pPr>
            <w:r w:rsidRPr="00734970">
              <w:rPr>
                <w:color w:val="000000"/>
              </w:rPr>
              <w:t>Sex</w:t>
            </w:r>
          </w:p>
        </w:tc>
        <w:tc>
          <w:tcPr>
            <w:tcW w:w="29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93D1D14" w14:textId="77777777" w:rsidR="00D535A6" w:rsidRPr="00734970" w:rsidRDefault="00D535A6" w:rsidP="00B153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kern w:val="1"/>
              </w:rPr>
            </w:pP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8914F38" w14:textId="77777777" w:rsidR="00D535A6" w:rsidRPr="00734970" w:rsidRDefault="00D535A6" w:rsidP="00B153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kern w:val="1"/>
              </w:rPr>
            </w:pPr>
          </w:p>
        </w:tc>
      </w:tr>
      <w:tr w:rsidR="00D535A6" w:rsidRPr="00734970" w14:paraId="798ED55F" w14:textId="77777777" w:rsidTr="00816123">
        <w:tblPrEx>
          <w:tblBorders>
            <w:top w:val="none" w:sz="0" w:space="0" w:color="auto"/>
          </w:tblBorders>
        </w:tblPrEx>
        <w:tc>
          <w:tcPr>
            <w:tcW w:w="28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13D46C8" w14:textId="77777777" w:rsidR="00D535A6" w:rsidRPr="00734970" w:rsidRDefault="00D535A6" w:rsidP="00B15389">
            <w:pPr>
              <w:spacing w:before="0" w:after="0"/>
              <w:jc w:val="right"/>
              <w:rPr>
                <w:kern w:val="1"/>
              </w:rPr>
            </w:pPr>
            <w:r w:rsidRPr="00734970">
              <w:rPr>
                <w:color w:val="000000"/>
              </w:rPr>
              <w:t xml:space="preserve"> Male</w:t>
            </w:r>
          </w:p>
        </w:tc>
        <w:tc>
          <w:tcPr>
            <w:tcW w:w="29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6D10AD9" w14:textId="77777777" w:rsidR="00D535A6" w:rsidRPr="00734970" w:rsidRDefault="00D535A6" w:rsidP="00B15389">
            <w:pPr>
              <w:spacing w:before="0" w:after="0"/>
              <w:jc w:val="center"/>
              <w:rPr>
                <w:kern w:val="1"/>
              </w:rPr>
            </w:pPr>
            <w:r w:rsidRPr="00734970">
              <w:rPr>
                <w:kern w:val="1"/>
              </w:rPr>
              <w:t>Reference</w:t>
            </w: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C99F668" w14:textId="77777777" w:rsidR="00D535A6" w:rsidRPr="00734970" w:rsidRDefault="00D535A6" w:rsidP="00B15389">
            <w:pPr>
              <w:spacing w:before="0" w:after="0"/>
              <w:jc w:val="center"/>
              <w:rPr>
                <w:kern w:val="1"/>
              </w:rPr>
            </w:pPr>
            <w:r w:rsidRPr="00734970">
              <w:rPr>
                <w:kern w:val="1"/>
              </w:rPr>
              <w:t>Reference</w:t>
            </w:r>
          </w:p>
        </w:tc>
      </w:tr>
      <w:tr w:rsidR="00D535A6" w:rsidRPr="00734970" w14:paraId="2DB5412C" w14:textId="77777777" w:rsidTr="00816123">
        <w:tblPrEx>
          <w:tblBorders>
            <w:top w:val="none" w:sz="0" w:space="0" w:color="auto"/>
          </w:tblBorders>
        </w:tblPrEx>
        <w:tc>
          <w:tcPr>
            <w:tcW w:w="28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79CA115" w14:textId="77777777" w:rsidR="00D535A6" w:rsidRPr="00734970" w:rsidRDefault="00D535A6" w:rsidP="00B15389">
            <w:pPr>
              <w:spacing w:before="0" w:after="0"/>
              <w:jc w:val="right"/>
              <w:rPr>
                <w:kern w:val="1"/>
              </w:rPr>
            </w:pPr>
            <w:r w:rsidRPr="00734970">
              <w:rPr>
                <w:color w:val="000000"/>
              </w:rPr>
              <w:t>Female</w:t>
            </w:r>
          </w:p>
        </w:tc>
        <w:tc>
          <w:tcPr>
            <w:tcW w:w="29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EDCA155" w14:textId="1BD34B9D" w:rsidR="00D535A6" w:rsidRPr="00734970" w:rsidRDefault="00D535A6" w:rsidP="00B15389">
            <w:pPr>
              <w:spacing w:before="0" w:after="0"/>
              <w:jc w:val="center"/>
              <w:rPr>
                <w:kern w:val="1"/>
              </w:rPr>
            </w:pPr>
            <w:r w:rsidRPr="00734970">
              <w:rPr>
                <w:kern w:val="1"/>
              </w:rPr>
              <w:t>1.</w:t>
            </w:r>
            <w:r w:rsidR="001848AE" w:rsidRPr="00734970">
              <w:rPr>
                <w:kern w:val="1"/>
              </w:rPr>
              <w:t>35</w:t>
            </w:r>
            <w:r w:rsidRPr="00734970">
              <w:rPr>
                <w:kern w:val="1"/>
              </w:rPr>
              <w:t xml:space="preserve"> (0.</w:t>
            </w:r>
            <w:r w:rsidR="001848AE" w:rsidRPr="00734970">
              <w:rPr>
                <w:kern w:val="1"/>
              </w:rPr>
              <w:t>91</w:t>
            </w:r>
            <w:r w:rsidRPr="00734970">
              <w:rPr>
                <w:kern w:val="1"/>
              </w:rPr>
              <w:t>-</w:t>
            </w:r>
            <w:r w:rsidR="001848AE" w:rsidRPr="00734970">
              <w:rPr>
                <w:kern w:val="1"/>
              </w:rPr>
              <w:t>2.01</w:t>
            </w:r>
            <w:r w:rsidRPr="00734970">
              <w:rPr>
                <w:kern w:val="1"/>
              </w:rPr>
              <w:t>)</w:t>
            </w: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12619B7" w14:textId="7F0E2F9B" w:rsidR="00D535A6" w:rsidRPr="00734970" w:rsidRDefault="00D535A6" w:rsidP="00B15389">
            <w:pPr>
              <w:spacing w:before="0" w:after="0"/>
              <w:jc w:val="center"/>
              <w:rPr>
                <w:kern w:val="1"/>
              </w:rPr>
            </w:pPr>
            <w:r w:rsidRPr="00734970">
              <w:rPr>
                <w:kern w:val="1"/>
              </w:rPr>
              <w:t>1.</w:t>
            </w:r>
            <w:r w:rsidR="002A56FB" w:rsidRPr="00734970">
              <w:rPr>
                <w:kern w:val="1"/>
              </w:rPr>
              <w:t>4</w:t>
            </w:r>
            <w:r w:rsidRPr="00734970">
              <w:rPr>
                <w:kern w:val="1"/>
              </w:rPr>
              <w:t>9 (0.</w:t>
            </w:r>
            <w:r w:rsidR="002A56FB" w:rsidRPr="00734970">
              <w:rPr>
                <w:kern w:val="1"/>
              </w:rPr>
              <w:t>98</w:t>
            </w:r>
            <w:r w:rsidRPr="00734970">
              <w:rPr>
                <w:kern w:val="1"/>
              </w:rPr>
              <w:t>-</w:t>
            </w:r>
            <w:r w:rsidR="002A56FB" w:rsidRPr="00734970">
              <w:rPr>
                <w:kern w:val="1"/>
              </w:rPr>
              <w:t>2.28</w:t>
            </w:r>
            <w:r w:rsidRPr="00734970">
              <w:rPr>
                <w:kern w:val="1"/>
              </w:rPr>
              <w:t>)</w:t>
            </w:r>
          </w:p>
        </w:tc>
      </w:tr>
      <w:tr w:rsidR="00D535A6" w:rsidRPr="00734970" w14:paraId="4254BD15" w14:textId="77777777" w:rsidTr="00816123">
        <w:tblPrEx>
          <w:tblBorders>
            <w:top w:val="none" w:sz="0" w:space="0" w:color="auto"/>
          </w:tblBorders>
        </w:tblPrEx>
        <w:tc>
          <w:tcPr>
            <w:tcW w:w="28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D91F799" w14:textId="77777777" w:rsidR="00D535A6" w:rsidRPr="00734970" w:rsidRDefault="00D535A6" w:rsidP="00B153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kern w:val="1"/>
              </w:rPr>
            </w:pPr>
          </w:p>
        </w:tc>
        <w:tc>
          <w:tcPr>
            <w:tcW w:w="29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3D479EC" w14:textId="77777777" w:rsidR="00D535A6" w:rsidRPr="00734970" w:rsidRDefault="00D535A6" w:rsidP="00B153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kern w:val="1"/>
              </w:rPr>
            </w:pP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955F997" w14:textId="77777777" w:rsidR="00D535A6" w:rsidRPr="00734970" w:rsidRDefault="00D535A6" w:rsidP="00B153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kern w:val="1"/>
              </w:rPr>
            </w:pPr>
          </w:p>
        </w:tc>
      </w:tr>
      <w:tr w:rsidR="00D535A6" w:rsidRPr="00734970" w14:paraId="2D178849" w14:textId="77777777" w:rsidTr="00816123">
        <w:tblPrEx>
          <w:tblBorders>
            <w:top w:val="none" w:sz="0" w:space="0" w:color="auto"/>
          </w:tblBorders>
        </w:tblPrEx>
        <w:tc>
          <w:tcPr>
            <w:tcW w:w="28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7E698B2" w14:textId="77777777" w:rsidR="00D535A6" w:rsidRPr="00734970" w:rsidRDefault="00D535A6" w:rsidP="00B15389">
            <w:pPr>
              <w:spacing w:before="0" w:after="0"/>
              <w:rPr>
                <w:kern w:val="1"/>
              </w:rPr>
            </w:pPr>
            <w:r w:rsidRPr="00734970">
              <w:rPr>
                <w:color w:val="000000"/>
              </w:rPr>
              <w:t>Ethnicity</w:t>
            </w:r>
          </w:p>
        </w:tc>
        <w:tc>
          <w:tcPr>
            <w:tcW w:w="29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47CC086" w14:textId="77777777" w:rsidR="00D535A6" w:rsidRPr="00734970" w:rsidRDefault="00D535A6" w:rsidP="00B153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kern w:val="1"/>
              </w:rPr>
            </w:pP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0F2C90A" w14:textId="77777777" w:rsidR="00D535A6" w:rsidRPr="00734970" w:rsidRDefault="00D535A6" w:rsidP="00B153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kern w:val="1"/>
              </w:rPr>
            </w:pPr>
          </w:p>
        </w:tc>
      </w:tr>
      <w:tr w:rsidR="00D535A6" w:rsidRPr="00734970" w14:paraId="30ECDE96" w14:textId="77777777" w:rsidTr="00816123">
        <w:tblPrEx>
          <w:tblBorders>
            <w:top w:val="none" w:sz="0" w:space="0" w:color="auto"/>
          </w:tblBorders>
        </w:tblPrEx>
        <w:tc>
          <w:tcPr>
            <w:tcW w:w="28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D41189" w14:textId="77777777" w:rsidR="00D535A6" w:rsidRPr="00734970" w:rsidRDefault="00D535A6" w:rsidP="00B15389">
            <w:pPr>
              <w:spacing w:before="0" w:after="0"/>
              <w:jc w:val="right"/>
              <w:rPr>
                <w:kern w:val="1"/>
              </w:rPr>
            </w:pPr>
            <w:r w:rsidRPr="00734970">
              <w:rPr>
                <w:color w:val="000000"/>
              </w:rPr>
              <w:t>Inuit</w:t>
            </w:r>
          </w:p>
        </w:tc>
        <w:tc>
          <w:tcPr>
            <w:tcW w:w="29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4B1BDBD" w14:textId="77777777" w:rsidR="00D535A6" w:rsidRPr="00734970" w:rsidRDefault="00D535A6" w:rsidP="00B15389">
            <w:pPr>
              <w:spacing w:before="0" w:after="0"/>
              <w:jc w:val="center"/>
              <w:rPr>
                <w:kern w:val="1"/>
              </w:rPr>
            </w:pPr>
            <w:r w:rsidRPr="00734970">
              <w:rPr>
                <w:kern w:val="1"/>
              </w:rPr>
              <w:t>Reference</w:t>
            </w: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1C8D700" w14:textId="77777777" w:rsidR="00D535A6" w:rsidRPr="00734970" w:rsidRDefault="00D535A6" w:rsidP="00B15389">
            <w:pPr>
              <w:spacing w:before="0" w:after="0"/>
              <w:jc w:val="center"/>
              <w:rPr>
                <w:kern w:val="1"/>
              </w:rPr>
            </w:pPr>
            <w:r w:rsidRPr="00734970">
              <w:rPr>
                <w:kern w:val="1"/>
              </w:rPr>
              <w:t>Reference</w:t>
            </w:r>
          </w:p>
        </w:tc>
      </w:tr>
      <w:tr w:rsidR="00D535A6" w:rsidRPr="00734970" w14:paraId="6610D6A2" w14:textId="77777777" w:rsidTr="00816123">
        <w:tblPrEx>
          <w:tblBorders>
            <w:top w:val="none" w:sz="0" w:space="0" w:color="auto"/>
          </w:tblBorders>
        </w:tblPrEx>
        <w:tc>
          <w:tcPr>
            <w:tcW w:w="28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A23F431" w14:textId="77777777" w:rsidR="00D535A6" w:rsidRPr="00734970" w:rsidRDefault="00D535A6" w:rsidP="00B15389">
            <w:pPr>
              <w:spacing w:before="0" w:after="0"/>
              <w:jc w:val="right"/>
              <w:rPr>
                <w:kern w:val="1"/>
              </w:rPr>
            </w:pPr>
            <w:r w:rsidRPr="00734970">
              <w:rPr>
                <w:color w:val="000000"/>
              </w:rPr>
              <w:t>Non-Inuit</w:t>
            </w:r>
          </w:p>
        </w:tc>
        <w:tc>
          <w:tcPr>
            <w:tcW w:w="29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05BAB28" w14:textId="7CEF51BF" w:rsidR="00D535A6" w:rsidRPr="00734970" w:rsidRDefault="00D535A6" w:rsidP="00B15389">
            <w:pPr>
              <w:spacing w:before="0" w:after="0"/>
              <w:jc w:val="center"/>
              <w:rPr>
                <w:kern w:val="1"/>
              </w:rPr>
            </w:pPr>
            <w:r w:rsidRPr="00734970">
              <w:rPr>
                <w:kern w:val="1"/>
              </w:rPr>
              <w:t>1.</w:t>
            </w:r>
            <w:r w:rsidR="00E36F09" w:rsidRPr="00734970">
              <w:rPr>
                <w:kern w:val="1"/>
              </w:rPr>
              <w:t>18</w:t>
            </w:r>
            <w:r w:rsidRPr="00734970">
              <w:rPr>
                <w:kern w:val="1"/>
              </w:rPr>
              <w:t xml:space="preserve"> (0.</w:t>
            </w:r>
            <w:r w:rsidR="00E36F09" w:rsidRPr="00734970">
              <w:rPr>
                <w:kern w:val="1"/>
              </w:rPr>
              <w:t>6</w:t>
            </w:r>
            <w:r w:rsidRPr="00734970">
              <w:rPr>
                <w:kern w:val="1"/>
              </w:rPr>
              <w:t>8-2.</w:t>
            </w:r>
            <w:r w:rsidR="00E36F09" w:rsidRPr="00734970">
              <w:rPr>
                <w:kern w:val="1"/>
              </w:rPr>
              <w:t>04</w:t>
            </w:r>
            <w:r w:rsidRPr="00734970">
              <w:rPr>
                <w:kern w:val="1"/>
              </w:rPr>
              <w:t>)</w:t>
            </w: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7C1EF93" w14:textId="1D8BB7FD" w:rsidR="00D535A6" w:rsidRPr="00734970" w:rsidRDefault="00D535A6" w:rsidP="00B15389">
            <w:pPr>
              <w:spacing w:before="0" w:after="0"/>
              <w:jc w:val="center"/>
              <w:rPr>
                <w:kern w:val="1"/>
              </w:rPr>
            </w:pPr>
            <w:r w:rsidRPr="00734970">
              <w:rPr>
                <w:kern w:val="1"/>
              </w:rPr>
              <w:t>0.</w:t>
            </w:r>
            <w:r w:rsidR="00CD75AA" w:rsidRPr="00734970">
              <w:rPr>
                <w:kern w:val="1"/>
              </w:rPr>
              <w:t>90</w:t>
            </w:r>
            <w:r w:rsidRPr="00734970">
              <w:rPr>
                <w:kern w:val="1"/>
              </w:rPr>
              <w:t xml:space="preserve"> (0.</w:t>
            </w:r>
            <w:r w:rsidR="00CD75AA" w:rsidRPr="00734970">
              <w:rPr>
                <w:kern w:val="1"/>
              </w:rPr>
              <w:t>50</w:t>
            </w:r>
            <w:r w:rsidRPr="00734970">
              <w:rPr>
                <w:kern w:val="1"/>
              </w:rPr>
              <w:t>-1.</w:t>
            </w:r>
            <w:r w:rsidR="00CD75AA" w:rsidRPr="00734970">
              <w:rPr>
                <w:kern w:val="1"/>
              </w:rPr>
              <w:t>65</w:t>
            </w:r>
            <w:r w:rsidRPr="00734970">
              <w:rPr>
                <w:kern w:val="1"/>
              </w:rPr>
              <w:t>)</w:t>
            </w:r>
          </w:p>
        </w:tc>
      </w:tr>
      <w:tr w:rsidR="00D535A6" w:rsidRPr="00734970" w14:paraId="0C372E18" w14:textId="77777777" w:rsidTr="00816123">
        <w:tblPrEx>
          <w:tblBorders>
            <w:top w:val="none" w:sz="0" w:space="0" w:color="auto"/>
          </w:tblBorders>
        </w:tblPrEx>
        <w:tc>
          <w:tcPr>
            <w:tcW w:w="28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F06E4FC" w14:textId="77777777" w:rsidR="00D535A6" w:rsidRPr="00734970" w:rsidRDefault="00D535A6" w:rsidP="00B153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kern w:val="1"/>
              </w:rPr>
            </w:pPr>
          </w:p>
        </w:tc>
        <w:tc>
          <w:tcPr>
            <w:tcW w:w="29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68B731C" w14:textId="77777777" w:rsidR="00D535A6" w:rsidRPr="00734970" w:rsidRDefault="00D535A6" w:rsidP="00B153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kern w:val="1"/>
              </w:rPr>
            </w:pP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ECBD1AA" w14:textId="77777777" w:rsidR="00D535A6" w:rsidRPr="00734970" w:rsidRDefault="00D535A6" w:rsidP="00B153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kern w:val="1"/>
              </w:rPr>
            </w:pPr>
          </w:p>
        </w:tc>
      </w:tr>
      <w:tr w:rsidR="00D535A6" w:rsidRPr="00734970" w14:paraId="26DDCE78" w14:textId="77777777" w:rsidTr="00816123">
        <w:tblPrEx>
          <w:tblBorders>
            <w:top w:val="none" w:sz="0" w:space="0" w:color="auto"/>
          </w:tblBorders>
        </w:tblPrEx>
        <w:tc>
          <w:tcPr>
            <w:tcW w:w="28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BEFFF33" w14:textId="77777777" w:rsidR="00D535A6" w:rsidRPr="00734970" w:rsidRDefault="00D535A6" w:rsidP="00B15389">
            <w:pPr>
              <w:spacing w:before="0" w:after="0"/>
              <w:rPr>
                <w:kern w:val="1"/>
              </w:rPr>
            </w:pPr>
            <w:r w:rsidRPr="00734970">
              <w:rPr>
                <w:color w:val="000000"/>
              </w:rPr>
              <w:t>Indication for TST</w:t>
            </w:r>
          </w:p>
        </w:tc>
        <w:tc>
          <w:tcPr>
            <w:tcW w:w="29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11E0F03" w14:textId="77777777" w:rsidR="00D535A6" w:rsidRPr="00734970" w:rsidRDefault="00D535A6" w:rsidP="00B153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kern w:val="1"/>
              </w:rPr>
            </w:pP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932A480" w14:textId="77777777" w:rsidR="00D535A6" w:rsidRPr="00734970" w:rsidRDefault="00D535A6" w:rsidP="00B153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kern w:val="1"/>
              </w:rPr>
            </w:pPr>
          </w:p>
        </w:tc>
      </w:tr>
      <w:tr w:rsidR="00D535A6" w:rsidRPr="00734970" w14:paraId="31C303E3" w14:textId="77777777" w:rsidTr="00816123">
        <w:tblPrEx>
          <w:tblBorders>
            <w:top w:val="none" w:sz="0" w:space="0" w:color="auto"/>
          </w:tblBorders>
        </w:tblPrEx>
        <w:tc>
          <w:tcPr>
            <w:tcW w:w="28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6469C4D" w14:textId="00190A06" w:rsidR="00D535A6" w:rsidRPr="00734970" w:rsidRDefault="00CB5EC3" w:rsidP="00B15389">
            <w:pPr>
              <w:spacing w:before="0" w:after="0"/>
              <w:jc w:val="right"/>
              <w:rPr>
                <w:kern w:val="1"/>
              </w:rPr>
            </w:pPr>
            <w:r w:rsidRPr="00734970">
              <w:rPr>
                <w:kern w:val="1"/>
              </w:rPr>
              <w:t>TB exposure</w:t>
            </w:r>
          </w:p>
        </w:tc>
        <w:tc>
          <w:tcPr>
            <w:tcW w:w="29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DE6ED1E" w14:textId="77777777" w:rsidR="00D535A6" w:rsidRPr="00734970" w:rsidRDefault="00D535A6" w:rsidP="00B15389">
            <w:pPr>
              <w:spacing w:before="0" w:after="0"/>
              <w:jc w:val="center"/>
              <w:rPr>
                <w:kern w:val="1"/>
              </w:rPr>
            </w:pPr>
            <w:r w:rsidRPr="00734970">
              <w:rPr>
                <w:kern w:val="1"/>
              </w:rPr>
              <w:t>Reference</w:t>
            </w: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F238C1D" w14:textId="77777777" w:rsidR="00D535A6" w:rsidRPr="00734970" w:rsidRDefault="00D535A6" w:rsidP="00B15389">
            <w:pPr>
              <w:spacing w:before="0" w:after="0"/>
              <w:jc w:val="center"/>
              <w:rPr>
                <w:kern w:val="1"/>
              </w:rPr>
            </w:pPr>
            <w:r w:rsidRPr="00734970">
              <w:rPr>
                <w:kern w:val="1"/>
              </w:rPr>
              <w:t>Reference</w:t>
            </w:r>
          </w:p>
        </w:tc>
      </w:tr>
      <w:tr w:rsidR="00D535A6" w:rsidRPr="00734970" w14:paraId="1765E36B" w14:textId="77777777" w:rsidTr="00816123">
        <w:tblPrEx>
          <w:tblBorders>
            <w:top w:val="none" w:sz="0" w:space="0" w:color="auto"/>
          </w:tblBorders>
        </w:tblPrEx>
        <w:tc>
          <w:tcPr>
            <w:tcW w:w="28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178DCA8" w14:textId="4D7356C9" w:rsidR="00D535A6" w:rsidRPr="00734970" w:rsidRDefault="00CB5EC3" w:rsidP="00B15389">
            <w:pPr>
              <w:spacing w:before="0" w:after="0"/>
              <w:jc w:val="right"/>
              <w:rPr>
                <w:kern w:val="1"/>
              </w:rPr>
            </w:pPr>
            <w:r w:rsidRPr="00734970">
              <w:rPr>
                <w:color w:val="000000"/>
              </w:rPr>
              <w:t>Employment screening</w:t>
            </w:r>
          </w:p>
        </w:tc>
        <w:tc>
          <w:tcPr>
            <w:tcW w:w="29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4B5CD8F" w14:textId="51B8A63E" w:rsidR="00D535A6" w:rsidRPr="00734970" w:rsidRDefault="00D167F4" w:rsidP="00B15389">
            <w:pPr>
              <w:spacing w:before="0" w:after="0"/>
              <w:jc w:val="center"/>
              <w:rPr>
                <w:kern w:val="1"/>
              </w:rPr>
            </w:pPr>
            <w:r w:rsidRPr="00734970">
              <w:rPr>
                <w:kern w:val="1"/>
              </w:rPr>
              <w:t>1.32 (0.77-2.28)</w:t>
            </w: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D9BA717" w14:textId="273426BC" w:rsidR="00D535A6" w:rsidRPr="00734970" w:rsidRDefault="00CB5EC3" w:rsidP="00B15389">
            <w:pPr>
              <w:spacing w:before="0" w:after="0"/>
              <w:jc w:val="center"/>
              <w:rPr>
                <w:kern w:val="1"/>
              </w:rPr>
            </w:pPr>
            <w:r w:rsidRPr="00734970">
              <w:rPr>
                <w:kern w:val="1"/>
              </w:rPr>
              <w:t>1.19 (0.69-2.06)</w:t>
            </w:r>
          </w:p>
        </w:tc>
      </w:tr>
      <w:tr w:rsidR="00D535A6" w:rsidRPr="00734970" w14:paraId="1A6A231B" w14:textId="77777777" w:rsidTr="00816123">
        <w:tblPrEx>
          <w:tblBorders>
            <w:top w:val="none" w:sz="0" w:space="0" w:color="auto"/>
          </w:tblBorders>
        </w:tblPrEx>
        <w:tc>
          <w:tcPr>
            <w:tcW w:w="28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AD22CFB" w14:textId="77777777" w:rsidR="00D535A6" w:rsidRPr="00734970" w:rsidRDefault="00D535A6" w:rsidP="00B15389">
            <w:pPr>
              <w:spacing w:before="0" w:after="0"/>
              <w:jc w:val="right"/>
              <w:rPr>
                <w:kern w:val="1"/>
              </w:rPr>
            </w:pPr>
            <w:r w:rsidRPr="00734970">
              <w:rPr>
                <w:color w:val="000000"/>
              </w:rPr>
              <w:t>School screening</w:t>
            </w:r>
          </w:p>
        </w:tc>
        <w:tc>
          <w:tcPr>
            <w:tcW w:w="29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C145A00" w14:textId="6DECF633" w:rsidR="00D535A6" w:rsidRPr="00734970" w:rsidRDefault="00D167F4" w:rsidP="00B15389">
            <w:pPr>
              <w:spacing w:before="0" w:after="0"/>
              <w:jc w:val="center"/>
              <w:rPr>
                <w:kern w:val="1"/>
              </w:rPr>
            </w:pPr>
            <w:r w:rsidRPr="00734970">
              <w:rPr>
                <w:kern w:val="1"/>
              </w:rPr>
              <w:t>0.24 (0.04-1.59)</w:t>
            </w: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3CD6A0C" w14:textId="4011B790" w:rsidR="00D535A6" w:rsidRPr="00734970" w:rsidRDefault="00D535A6" w:rsidP="00B15389">
            <w:pPr>
              <w:spacing w:before="0" w:after="0"/>
              <w:jc w:val="center"/>
              <w:rPr>
                <w:kern w:val="1"/>
              </w:rPr>
            </w:pPr>
            <w:r w:rsidRPr="00734970">
              <w:rPr>
                <w:kern w:val="1"/>
              </w:rPr>
              <w:t>0.</w:t>
            </w:r>
            <w:r w:rsidR="00CB5EC3" w:rsidRPr="00734970">
              <w:rPr>
                <w:kern w:val="1"/>
              </w:rPr>
              <w:t>40</w:t>
            </w:r>
            <w:r w:rsidRPr="00734970">
              <w:rPr>
                <w:kern w:val="1"/>
              </w:rPr>
              <w:t xml:space="preserve"> (0.0</w:t>
            </w:r>
            <w:r w:rsidR="00CB5EC3" w:rsidRPr="00734970">
              <w:rPr>
                <w:kern w:val="1"/>
              </w:rPr>
              <w:t>6</w:t>
            </w:r>
            <w:r w:rsidRPr="00734970">
              <w:rPr>
                <w:kern w:val="1"/>
              </w:rPr>
              <w:t>-</w:t>
            </w:r>
            <w:r w:rsidR="00320BDB" w:rsidRPr="00734970">
              <w:rPr>
                <w:kern w:val="1"/>
              </w:rPr>
              <w:t>2.</w:t>
            </w:r>
            <w:r w:rsidR="00CB5EC3" w:rsidRPr="00734970">
              <w:rPr>
                <w:kern w:val="1"/>
              </w:rPr>
              <w:t>62</w:t>
            </w:r>
            <w:r w:rsidRPr="00734970">
              <w:rPr>
                <w:kern w:val="1"/>
              </w:rPr>
              <w:t>)</w:t>
            </w:r>
          </w:p>
        </w:tc>
      </w:tr>
      <w:tr w:rsidR="00D535A6" w:rsidRPr="00734970" w14:paraId="0C55501E" w14:textId="77777777" w:rsidTr="00816123">
        <w:tblPrEx>
          <w:tblBorders>
            <w:top w:val="none" w:sz="0" w:space="0" w:color="auto"/>
          </w:tblBorders>
        </w:tblPrEx>
        <w:tc>
          <w:tcPr>
            <w:tcW w:w="28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4D186FE" w14:textId="77777777" w:rsidR="00D535A6" w:rsidRPr="00734970" w:rsidRDefault="00D535A6" w:rsidP="00B15389">
            <w:pPr>
              <w:spacing w:before="0" w:after="0"/>
              <w:jc w:val="right"/>
              <w:rPr>
                <w:kern w:val="1"/>
              </w:rPr>
            </w:pPr>
            <w:r w:rsidRPr="00734970">
              <w:rPr>
                <w:color w:val="000000"/>
              </w:rPr>
              <w:t>Self or physician referral</w:t>
            </w:r>
          </w:p>
        </w:tc>
        <w:tc>
          <w:tcPr>
            <w:tcW w:w="29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534A35B" w14:textId="1E49FE98" w:rsidR="00D535A6" w:rsidRPr="00734970" w:rsidRDefault="00D167F4" w:rsidP="00B15389">
            <w:pPr>
              <w:spacing w:before="0" w:after="0"/>
              <w:jc w:val="center"/>
              <w:rPr>
                <w:kern w:val="1"/>
              </w:rPr>
            </w:pPr>
            <w:r w:rsidRPr="00734970">
              <w:rPr>
                <w:kern w:val="1"/>
              </w:rPr>
              <w:t>0.86 (0.51-1.44)</w:t>
            </w: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F6B8EE1" w14:textId="44514C20" w:rsidR="00D535A6" w:rsidRPr="00734970" w:rsidRDefault="00CB5EC3" w:rsidP="00B15389">
            <w:pPr>
              <w:spacing w:before="0" w:after="0"/>
              <w:jc w:val="center"/>
              <w:rPr>
                <w:kern w:val="1"/>
              </w:rPr>
            </w:pPr>
            <w:r w:rsidRPr="00734970">
              <w:rPr>
                <w:kern w:val="1"/>
              </w:rPr>
              <w:t>0.83 (0.49-1.41)</w:t>
            </w:r>
          </w:p>
        </w:tc>
      </w:tr>
      <w:tr w:rsidR="00D535A6" w:rsidRPr="00734970" w14:paraId="132D4D28" w14:textId="77777777" w:rsidTr="00816123">
        <w:tblPrEx>
          <w:tblBorders>
            <w:top w:val="none" w:sz="0" w:space="0" w:color="auto"/>
          </w:tblBorders>
        </w:tblPrEx>
        <w:tc>
          <w:tcPr>
            <w:tcW w:w="28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FEF4479" w14:textId="77777777" w:rsidR="00D535A6" w:rsidRPr="00734970" w:rsidRDefault="00D535A6" w:rsidP="00B153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kern w:val="1"/>
              </w:rPr>
            </w:pPr>
          </w:p>
        </w:tc>
        <w:tc>
          <w:tcPr>
            <w:tcW w:w="29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922AAED" w14:textId="77777777" w:rsidR="00D535A6" w:rsidRPr="00734970" w:rsidRDefault="00D535A6" w:rsidP="00B153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kern w:val="1"/>
              </w:rPr>
            </w:pP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2041F31" w14:textId="77777777" w:rsidR="00D535A6" w:rsidRPr="00734970" w:rsidRDefault="00D535A6" w:rsidP="00B153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kern w:val="1"/>
              </w:rPr>
            </w:pPr>
          </w:p>
        </w:tc>
      </w:tr>
      <w:tr w:rsidR="00D535A6" w:rsidRPr="00734970" w14:paraId="33C32921" w14:textId="77777777" w:rsidTr="00816123">
        <w:tblPrEx>
          <w:tblBorders>
            <w:top w:val="none" w:sz="0" w:space="0" w:color="auto"/>
          </w:tblBorders>
        </w:tblPrEx>
        <w:tc>
          <w:tcPr>
            <w:tcW w:w="28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F5AD67" w14:textId="77777777" w:rsidR="00D535A6" w:rsidRPr="00734970" w:rsidRDefault="00D535A6" w:rsidP="00B15389">
            <w:pPr>
              <w:spacing w:before="0" w:after="0"/>
              <w:rPr>
                <w:kern w:val="1"/>
              </w:rPr>
            </w:pPr>
            <w:r w:rsidRPr="00734970">
              <w:rPr>
                <w:color w:val="000000"/>
              </w:rPr>
              <w:t>Year of assessment</w:t>
            </w:r>
          </w:p>
        </w:tc>
        <w:tc>
          <w:tcPr>
            <w:tcW w:w="29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B0A3943" w14:textId="77777777" w:rsidR="00D535A6" w:rsidRPr="00734970" w:rsidRDefault="00D535A6" w:rsidP="00B153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kern w:val="1"/>
              </w:rPr>
            </w:pP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24387F2" w14:textId="77777777" w:rsidR="00D535A6" w:rsidRPr="00734970" w:rsidRDefault="00D535A6" w:rsidP="00B153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kern w:val="1"/>
              </w:rPr>
            </w:pPr>
          </w:p>
        </w:tc>
      </w:tr>
      <w:tr w:rsidR="00D535A6" w:rsidRPr="00734970" w14:paraId="19D2701D" w14:textId="77777777" w:rsidTr="00816123">
        <w:tblPrEx>
          <w:tblBorders>
            <w:top w:val="none" w:sz="0" w:space="0" w:color="auto"/>
          </w:tblBorders>
        </w:tblPrEx>
        <w:tc>
          <w:tcPr>
            <w:tcW w:w="28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10DA523" w14:textId="77777777" w:rsidR="00D535A6" w:rsidRPr="00734970" w:rsidRDefault="00D535A6" w:rsidP="00B15389">
            <w:pPr>
              <w:spacing w:before="0" w:after="0"/>
              <w:jc w:val="right"/>
              <w:rPr>
                <w:kern w:val="1"/>
              </w:rPr>
            </w:pPr>
            <w:r w:rsidRPr="00734970">
              <w:rPr>
                <w:color w:val="000000"/>
              </w:rPr>
              <w:t>2012</w:t>
            </w:r>
          </w:p>
        </w:tc>
        <w:tc>
          <w:tcPr>
            <w:tcW w:w="29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3851ADC" w14:textId="77777777" w:rsidR="00D535A6" w:rsidRPr="00734970" w:rsidRDefault="00D535A6" w:rsidP="00B15389">
            <w:pPr>
              <w:spacing w:before="0" w:after="0"/>
              <w:jc w:val="center"/>
              <w:rPr>
                <w:kern w:val="1"/>
              </w:rPr>
            </w:pPr>
            <w:r w:rsidRPr="00734970">
              <w:rPr>
                <w:color w:val="000000"/>
              </w:rPr>
              <w:t>Reference</w:t>
            </w: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4646063" w14:textId="77777777" w:rsidR="00D535A6" w:rsidRPr="00734970" w:rsidRDefault="00D535A6" w:rsidP="00B15389">
            <w:pPr>
              <w:spacing w:before="0" w:after="0"/>
              <w:jc w:val="center"/>
              <w:rPr>
                <w:kern w:val="1"/>
              </w:rPr>
            </w:pPr>
            <w:r w:rsidRPr="00734970">
              <w:rPr>
                <w:color w:val="000000"/>
              </w:rPr>
              <w:t>-</w:t>
            </w:r>
          </w:p>
        </w:tc>
      </w:tr>
      <w:tr w:rsidR="00D535A6" w:rsidRPr="00734970" w14:paraId="2A13BACB" w14:textId="77777777" w:rsidTr="00816123">
        <w:tblPrEx>
          <w:tblBorders>
            <w:top w:val="none" w:sz="0" w:space="0" w:color="auto"/>
          </w:tblBorders>
        </w:tblPrEx>
        <w:tc>
          <w:tcPr>
            <w:tcW w:w="28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923BA37" w14:textId="77777777" w:rsidR="00D535A6" w:rsidRPr="00734970" w:rsidRDefault="00D535A6" w:rsidP="00B15389">
            <w:pPr>
              <w:spacing w:before="0" w:after="0"/>
              <w:jc w:val="right"/>
              <w:rPr>
                <w:kern w:val="1"/>
              </w:rPr>
            </w:pPr>
            <w:r w:rsidRPr="00734970">
              <w:rPr>
                <w:color w:val="000000"/>
              </w:rPr>
              <w:t>2013</w:t>
            </w:r>
          </w:p>
        </w:tc>
        <w:tc>
          <w:tcPr>
            <w:tcW w:w="29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AAB93DE" w14:textId="2FF723D0" w:rsidR="00D535A6" w:rsidRPr="00734970" w:rsidRDefault="003C711E" w:rsidP="00B15389">
            <w:pPr>
              <w:spacing w:before="0" w:after="0"/>
              <w:jc w:val="center"/>
              <w:rPr>
                <w:kern w:val="1"/>
              </w:rPr>
            </w:pPr>
            <w:r w:rsidRPr="00734970">
              <w:rPr>
                <w:kern w:val="1"/>
              </w:rPr>
              <w:t>1.00</w:t>
            </w:r>
            <w:r w:rsidR="00D535A6" w:rsidRPr="00734970">
              <w:rPr>
                <w:kern w:val="1"/>
              </w:rPr>
              <w:t xml:space="preserve"> (0.8</w:t>
            </w:r>
            <w:r w:rsidRPr="00734970">
              <w:rPr>
                <w:kern w:val="1"/>
              </w:rPr>
              <w:t>1</w:t>
            </w:r>
            <w:r w:rsidR="00D535A6" w:rsidRPr="00734970">
              <w:rPr>
                <w:kern w:val="1"/>
              </w:rPr>
              <w:t>-1.</w:t>
            </w:r>
            <w:r w:rsidRPr="00734970">
              <w:rPr>
                <w:kern w:val="1"/>
              </w:rPr>
              <w:t>22</w:t>
            </w:r>
            <w:r w:rsidR="00D535A6" w:rsidRPr="00734970">
              <w:rPr>
                <w:kern w:val="1"/>
              </w:rPr>
              <w:t>)</w:t>
            </w: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35474DB" w14:textId="77777777" w:rsidR="00D535A6" w:rsidRPr="00734970" w:rsidRDefault="00D535A6" w:rsidP="00B15389">
            <w:pPr>
              <w:spacing w:before="0" w:after="0"/>
              <w:jc w:val="center"/>
              <w:rPr>
                <w:kern w:val="1"/>
              </w:rPr>
            </w:pPr>
            <w:r w:rsidRPr="00734970">
              <w:rPr>
                <w:color w:val="000000"/>
              </w:rPr>
              <w:t>-</w:t>
            </w:r>
          </w:p>
        </w:tc>
      </w:tr>
      <w:tr w:rsidR="00D535A6" w:rsidRPr="00734970" w14:paraId="03EB5080" w14:textId="77777777" w:rsidTr="00816123">
        <w:tblPrEx>
          <w:tblBorders>
            <w:top w:val="none" w:sz="0" w:space="0" w:color="auto"/>
          </w:tblBorders>
        </w:tblPrEx>
        <w:tc>
          <w:tcPr>
            <w:tcW w:w="28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1F1D14A" w14:textId="77777777" w:rsidR="00D535A6" w:rsidRPr="00734970" w:rsidRDefault="00D535A6" w:rsidP="00B15389">
            <w:pPr>
              <w:spacing w:before="0" w:after="0"/>
              <w:jc w:val="right"/>
              <w:rPr>
                <w:kern w:val="1"/>
              </w:rPr>
            </w:pPr>
            <w:r w:rsidRPr="00734970">
              <w:rPr>
                <w:color w:val="000000"/>
              </w:rPr>
              <w:t>2014</w:t>
            </w:r>
          </w:p>
        </w:tc>
        <w:tc>
          <w:tcPr>
            <w:tcW w:w="29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4F6F207" w14:textId="3944AABA" w:rsidR="00D535A6" w:rsidRPr="00734970" w:rsidRDefault="00D535A6" w:rsidP="00B15389">
            <w:pPr>
              <w:spacing w:before="0" w:after="0"/>
              <w:jc w:val="center"/>
              <w:rPr>
                <w:kern w:val="1"/>
              </w:rPr>
            </w:pPr>
            <w:r w:rsidRPr="00734970">
              <w:rPr>
                <w:kern w:val="1"/>
              </w:rPr>
              <w:t>1.0</w:t>
            </w:r>
            <w:r w:rsidR="00133DFC" w:rsidRPr="00734970">
              <w:rPr>
                <w:kern w:val="1"/>
              </w:rPr>
              <w:t>6</w:t>
            </w:r>
            <w:r w:rsidRPr="00734970">
              <w:rPr>
                <w:kern w:val="1"/>
              </w:rPr>
              <w:t xml:space="preserve"> (0.</w:t>
            </w:r>
            <w:r w:rsidR="00133DFC" w:rsidRPr="00734970">
              <w:rPr>
                <w:kern w:val="1"/>
              </w:rPr>
              <w:t>87</w:t>
            </w:r>
            <w:r w:rsidRPr="00734970">
              <w:rPr>
                <w:kern w:val="1"/>
              </w:rPr>
              <w:t>-1.</w:t>
            </w:r>
            <w:r w:rsidR="00133DFC" w:rsidRPr="00734970">
              <w:rPr>
                <w:kern w:val="1"/>
              </w:rPr>
              <w:t>30</w:t>
            </w:r>
            <w:r w:rsidRPr="00734970">
              <w:rPr>
                <w:kern w:val="1"/>
              </w:rPr>
              <w:t>)</w:t>
            </w: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0AFD0D5" w14:textId="77777777" w:rsidR="00D535A6" w:rsidRPr="00734970" w:rsidRDefault="00D535A6" w:rsidP="00B15389">
            <w:pPr>
              <w:spacing w:before="0" w:after="0"/>
              <w:jc w:val="center"/>
              <w:rPr>
                <w:kern w:val="1"/>
              </w:rPr>
            </w:pPr>
            <w:r w:rsidRPr="00734970">
              <w:rPr>
                <w:color w:val="000000"/>
              </w:rPr>
              <w:t>-</w:t>
            </w:r>
          </w:p>
        </w:tc>
      </w:tr>
      <w:tr w:rsidR="00D535A6" w14:paraId="642F28E9" w14:textId="77777777" w:rsidTr="00816123">
        <w:tblPrEx>
          <w:tblBorders>
            <w:top w:val="none" w:sz="0" w:space="0" w:color="auto"/>
          </w:tblBorders>
        </w:tblPrEx>
        <w:tc>
          <w:tcPr>
            <w:tcW w:w="28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57BFF29" w14:textId="77777777" w:rsidR="00D535A6" w:rsidRDefault="00D535A6" w:rsidP="00B15389">
            <w:pPr>
              <w:spacing w:before="0" w:after="0"/>
              <w:jc w:val="right"/>
              <w:rPr>
                <w:rFonts w:ascii="Helvetica" w:hAnsi="Helvetica" w:cs="Helvetica"/>
                <w:kern w:val="1"/>
              </w:rPr>
            </w:pPr>
            <w:r>
              <w:rPr>
                <w:color w:val="000000"/>
              </w:rPr>
              <w:t>2015</w:t>
            </w:r>
          </w:p>
        </w:tc>
        <w:tc>
          <w:tcPr>
            <w:tcW w:w="29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0F8BEBB" w14:textId="66416C2C" w:rsidR="00D535A6" w:rsidRPr="000E4CDC" w:rsidRDefault="00D535A6" w:rsidP="00B15389">
            <w:pPr>
              <w:spacing w:before="0" w:after="0"/>
              <w:jc w:val="center"/>
              <w:rPr>
                <w:kern w:val="1"/>
              </w:rPr>
            </w:pPr>
            <w:r>
              <w:rPr>
                <w:kern w:val="1"/>
              </w:rPr>
              <w:t>0.</w:t>
            </w:r>
            <w:r w:rsidR="00447F8B">
              <w:rPr>
                <w:kern w:val="1"/>
              </w:rPr>
              <w:t>85</w:t>
            </w:r>
            <w:r>
              <w:rPr>
                <w:kern w:val="1"/>
              </w:rPr>
              <w:t xml:space="preserve"> (0.6</w:t>
            </w:r>
            <w:r w:rsidR="00447F8B">
              <w:rPr>
                <w:kern w:val="1"/>
              </w:rPr>
              <w:t>0</w:t>
            </w:r>
            <w:r>
              <w:rPr>
                <w:kern w:val="1"/>
              </w:rPr>
              <w:t>-1.2</w:t>
            </w:r>
            <w:r w:rsidR="00447F8B">
              <w:rPr>
                <w:kern w:val="1"/>
              </w:rPr>
              <w:t>1</w:t>
            </w:r>
            <w:r>
              <w:rPr>
                <w:kern w:val="1"/>
              </w:rPr>
              <w:t>)</w:t>
            </w: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1B9E912" w14:textId="77777777" w:rsidR="00D535A6" w:rsidRPr="000E4CDC" w:rsidRDefault="00D535A6" w:rsidP="00B15389">
            <w:pPr>
              <w:spacing w:before="0" w:after="0"/>
              <w:jc w:val="center"/>
              <w:rPr>
                <w:kern w:val="1"/>
              </w:rPr>
            </w:pPr>
            <w:r w:rsidRPr="000E4CDC">
              <w:rPr>
                <w:color w:val="000000"/>
              </w:rPr>
              <w:t>-</w:t>
            </w:r>
          </w:p>
        </w:tc>
      </w:tr>
      <w:tr w:rsidR="00D535A6" w14:paraId="6F5AA394" w14:textId="77777777" w:rsidTr="00816123">
        <w:tc>
          <w:tcPr>
            <w:tcW w:w="28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0415687" w14:textId="77777777" w:rsidR="00D535A6" w:rsidRDefault="00D535A6" w:rsidP="00B15389">
            <w:pPr>
              <w:spacing w:before="0" w:after="0"/>
              <w:jc w:val="right"/>
              <w:rPr>
                <w:rFonts w:ascii="Helvetica" w:hAnsi="Helvetica" w:cs="Helvetica"/>
                <w:kern w:val="1"/>
              </w:rPr>
            </w:pPr>
            <w:r>
              <w:rPr>
                <w:color w:val="000000"/>
              </w:rPr>
              <w:t>2016</w:t>
            </w:r>
          </w:p>
        </w:tc>
        <w:tc>
          <w:tcPr>
            <w:tcW w:w="29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5A13163" w14:textId="68E15129" w:rsidR="00D535A6" w:rsidRPr="000E4CDC" w:rsidRDefault="00447F8B" w:rsidP="00B15389">
            <w:pPr>
              <w:spacing w:before="0" w:after="0"/>
              <w:jc w:val="center"/>
              <w:rPr>
                <w:kern w:val="1"/>
              </w:rPr>
            </w:pPr>
            <w:r>
              <w:rPr>
                <w:kern w:val="1"/>
              </w:rPr>
              <w:t>1.09</w:t>
            </w:r>
            <w:r w:rsidR="00D535A6">
              <w:rPr>
                <w:kern w:val="1"/>
              </w:rPr>
              <w:t xml:space="preserve"> (0.</w:t>
            </w:r>
            <w:r>
              <w:rPr>
                <w:kern w:val="1"/>
              </w:rPr>
              <w:t>75</w:t>
            </w:r>
            <w:r w:rsidR="00D535A6">
              <w:rPr>
                <w:kern w:val="1"/>
              </w:rPr>
              <w:t>-1.</w:t>
            </w:r>
            <w:r>
              <w:rPr>
                <w:kern w:val="1"/>
              </w:rPr>
              <w:t>58</w:t>
            </w:r>
            <w:r w:rsidR="00D535A6">
              <w:rPr>
                <w:kern w:val="1"/>
              </w:rPr>
              <w:t>)</w:t>
            </w: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3F09395" w14:textId="77777777" w:rsidR="00D535A6" w:rsidRPr="000E4CDC" w:rsidRDefault="00D535A6" w:rsidP="00B15389">
            <w:pPr>
              <w:spacing w:before="0" w:after="0"/>
              <w:jc w:val="center"/>
              <w:rPr>
                <w:color w:val="000000"/>
              </w:rPr>
            </w:pPr>
            <w:r w:rsidRPr="000E4CDC">
              <w:rPr>
                <w:color w:val="000000"/>
              </w:rPr>
              <w:t>-</w:t>
            </w:r>
          </w:p>
        </w:tc>
      </w:tr>
    </w:tbl>
    <w:p w14:paraId="034246B3" w14:textId="77777777" w:rsidR="00D535A6" w:rsidRDefault="00D535A6" w:rsidP="00D535A6">
      <w:pPr>
        <w:rPr>
          <w:color w:val="000000"/>
        </w:rPr>
      </w:pPr>
      <w:r w:rsidRPr="003E45A0">
        <w:rPr>
          <w:color w:val="000000"/>
          <w:vertAlign w:val="superscript"/>
        </w:rPr>
        <w:t>1</w:t>
      </w:r>
      <w:r w:rsidRPr="00D5751F">
        <w:rPr>
          <w:color w:val="000000"/>
        </w:rPr>
        <w:t>Among the 246 patients who started treatment, complete data were available for 207.   Data were missing regarding ethnicity in 1</w:t>
      </w:r>
      <w:r>
        <w:rPr>
          <w:color w:val="000000"/>
        </w:rPr>
        <w:t>5</w:t>
      </w:r>
      <w:r w:rsidRPr="00D5751F">
        <w:rPr>
          <w:color w:val="000000"/>
        </w:rPr>
        <w:t xml:space="preserve"> (6.</w:t>
      </w:r>
      <w:r>
        <w:rPr>
          <w:color w:val="000000"/>
        </w:rPr>
        <w:t>1</w:t>
      </w:r>
      <w:r w:rsidRPr="00D5751F">
        <w:rPr>
          <w:color w:val="000000"/>
        </w:rPr>
        <w:t>%)</w:t>
      </w:r>
      <w:r>
        <w:rPr>
          <w:color w:val="000000"/>
        </w:rPr>
        <w:t>,</w:t>
      </w:r>
      <w:r w:rsidRPr="00D5751F">
        <w:rPr>
          <w:color w:val="000000"/>
        </w:rPr>
        <w:t xml:space="preserve"> indication for TST in 14 (5.7%)</w:t>
      </w:r>
      <w:r>
        <w:rPr>
          <w:color w:val="000000"/>
        </w:rPr>
        <w:t xml:space="preserve"> and </w:t>
      </w:r>
      <w:r w:rsidRPr="00D5751F">
        <w:rPr>
          <w:color w:val="000000"/>
        </w:rPr>
        <w:t xml:space="preserve">treatment completion in 12 (3.7%).  </w:t>
      </w:r>
    </w:p>
    <w:p w14:paraId="2BD07040" w14:textId="5FE1353F" w:rsidR="003406FB" w:rsidRPr="00B602F3" w:rsidRDefault="003406FB" w:rsidP="009608C2">
      <w:pPr>
        <w:spacing w:line="480" w:lineRule="auto"/>
        <w:rPr>
          <w:highlight w:val="yellow"/>
        </w:rPr>
      </w:pPr>
    </w:p>
    <w:p w14:paraId="5BE97C9B" w14:textId="4715DFD7" w:rsidR="00574BFE" w:rsidRDefault="00574BFE" w:rsidP="00574BFE"/>
    <w:p w14:paraId="7EF0B98D" w14:textId="740B4E68" w:rsidR="003406FB" w:rsidRPr="00B602F3" w:rsidRDefault="003406FB" w:rsidP="00613932">
      <w:pPr>
        <w:rPr>
          <w:highlight w:val="yellow"/>
        </w:rPr>
      </w:pPr>
    </w:p>
    <w:p w14:paraId="2B92FA39" w14:textId="77777777" w:rsidR="00EA5371" w:rsidRDefault="00EA5371">
      <w:pPr>
        <w:autoSpaceDE/>
        <w:autoSpaceDN/>
        <w:adjustRightInd/>
        <w:spacing w:before="0" w:after="0"/>
        <w:rPr>
          <w:b/>
        </w:rPr>
      </w:pPr>
      <w:r>
        <w:rPr>
          <w:b/>
        </w:rPr>
        <w:br w:type="page"/>
      </w:r>
    </w:p>
    <w:p w14:paraId="4D3C49A4" w14:textId="2205A797" w:rsidR="00F524A4" w:rsidRPr="00F524A4" w:rsidRDefault="003406FB" w:rsidP="00F524A4">
      <w:pPr>
        <w:rPr>
          <w:highlight w:val="yellow"/>
        </w:rPr>
      </w:pPr>
      <w:r w:rsidRPr="00B15389">
        <w:rPr>
          <w:b/>
        </w:rPr>
        <w:lastRenderedPageBreak/>
        <w:t>Table S2.</w:t>
      </w:r>
      <w:r w:rsidR="00613932" w:rsidRPr="00B15389">
        <w:t xml:space="preserve"> </w:t>
      </w:r>
      <w:r w:rsidR="00B15389" w:rsidRPr="00D535A6">
        <w:t>Results of a sensitivity analysis defining treatment non-completion as receipt of &lt;</w:t>
      </w:r>
      <w:r w:rsidR="00B15389">
        <w:t>10</w:t>
      </w:r>
      <w:r w:rsidR="00B15389" w:rsidRPr="00D535A6">
        <w:t xml:space="preserve">0% of prescribed doses of therapy within 12 months of the first dose.  </w:t>
      </w:r>
      <w:r w:rsidR="00B15389">
        <w:rPr>
          <w:color w:val="000000"/>
        </w:rPr>
        <w:t xml:space="preserve">Risk ratios (RRs) by demographic and clinical characteristic for non-completion of treatment among patients starting treatment for latent tuberculosis infection in Iqaluit, Nunavut between January 2012 and March 2016.  </w:t>
      </w:r>
      <w:r w:rsidR="00376375" w:rsidRPr="00326E25">
        <w:rPr>
          <w:color w:val="000000"/>
        </w:rPr>
        <w:t xml:space="preserve">RRs </w:t>
      </w:r>
      <w:r w:rsidR="00376375">
        <w:rPr>
          <w:color w:val="000000"/>
        </w:rPr>
        <w:t>marked with an asterisk (*)</w:t>
      </w:r>
      <w:r w:rsidR="00376375" w:rsidRPr="00326E25">
        <w:rPr>
          <w:color w:val="000000"/>
        </w:rPr>
        <w:t xml:space="preserve"> are statistically significant.</w:t>
      </w:r>
      <w:r w:rsidR="00B15389">
        <w:rPr>
          <w:color w:val="000000"/>
        </w:rPr>
        <w:t xml:space="preserve"> CI = confidence interval. n = 208 patients</w:t>
      </w:r>
      <w:r w:rsidR="00B15389">
        <w:rPr>
          <w:color w:val="000000"/>
          <w:vertAlign w:val="superscript"/>
        </w:rPr>
        <w:t>1</w:t>
      </w:r>
      <w:r w:rsidR="00B15389">
        <w:rPr>
          <w:color w:val="000000"/>
        </w:rPr>
        <w:t>.</w:t>
      </w:r>
    </w:p>
    <w:p w14:paraId="5BAFE1BD" w14:textId="77777777" w:rsidR="00B15389" w:rsidRDefault="00B15389" w:rsidP="00B15389">
      <w:pPr>
        <w:rPr>
          <w:color w:val="000000"/>
        </w:rPr>
      </w:pPr>
    </w:p>
    <w:tbl>
      <w:tblPr>
        <w:tblW w:w="0" w:type="auto"/>
        <w:tblInd w:w="-118" w:type="dxa"/>
        <w:tblBorders>
          <w:top w:val="nil"/>
          <w:left w:val="nil"/>
          <w:right w:val="nil"/>
        </w:tblBorders>
        <w:tblLayout w:type="fixed"/>
        <w:tblLook w:val="0000" w:firstRow="0" w:lastRow="0" w:firstColumn="0" w:lastColumn="0" w:noHBand="0" w:noVBand="0"/>
      </w:tblPr>
      <w:tblGrid>
        <w:gridCol w:w="2802"/>
        <w:gridCol w:w="2938"/>
        <w:gridCol w:w="3080"/>
      </w:tblGrid>
      <w:tr w:rsidR="00B15389" w14:paraId="30FADE91" w14:textId="77777777" w:rsidTr="00816123">
        <w:tc>
          <w:tcPr>
            <w:tcW w:w="28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573F0B2" w14:textId="77777777" w:rsidR="00B15389" w:rsidRDefault="00B15389" w:rsidP="00816123">
            <w:pPr>
              <w:spacing w:before="0" w:after="0"/>
              <w:jc w:val="center"/>
              <w:rPr>
                <w:rFonts w:ascii="Helvetica" w:hAnsi="Helvetica" w:cs="Helvetica"/>
                <w:kern w:val="1"/>
              </w:rPr>
            </w:pPr>
            <w:r>
              <w:rPr>
                <w:color w:val="000000"/>
              </w:rPr>
              <w:t>Potential Risk factor</w:t>
            </w:r>
          </w:p>
        </w:tc>
        <w:tc>
          <w:tcPr>
            <w:tcW w:w="29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E598C2" w14:textId="77777777" w:rsidR="00B15389" w:rsidRDefault="00B15389" w:rsidP="00816123">
            <w:pPr>
              <w:spacing w:before="0" w:after="0"/>
              <w:jc w:val="center"/>
              <w:rPr>
                <w:rFonts w:ascii="Helvetica" w:hAnsi="Helvetica" w:cs="Helvetica"/>
                <w:kern w:val="1"/>
              </w:rPr>
            </w:pPr>
            <w:r>
              <w:rPr>
                <w:color w:val="000000"/>
              </w:rPr>
              <w:t>Unadjusted risk ratio (95% CI)</w:t>
            </w: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22217E1" w14:textId="77777777" w:rsidR="00B15389" w:rsidRDefault="00B15389" w:rsidP="00816123">
            <w:pPr>
              <w:spacing w:before="0" w:after="0"/>
              <w:jc w:val="center"/>
              <w:rPr>
                <w:rFonts w:ascii="Helvetica" w:hAnsi="Helvetica" w:cs="Helvetica"/>
                <w:kern w:val="1"/>
              </w:rPr>
            </w:pPr>
            <w:r>
              <w:rPr>
                <w:color w:val="000000"/>
              </w:rPr>
              <w:t>Adjusted risk ratio (95% CI)</w:t>
            </w:r>
          </w:p>
        </w:tc>
      </w:tr>
      <w:tr w:rsidR="00B15389" w14:paraId="7761AD85" w14:textId="77777777" w:rsidTr="00816123">
        <w:tblPrEx>
          <w:tblBorders>
            <w:top w:val="none" w:sz="0" w:space="0" w:color="auto"/>
          </w:tblBorders>
        </w:tblPrEx>
        <w:tc>
          <w:tcPr>
            <w:tcW w:w="28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33933A0" w14:textId="77777777" w:rsidR="00B15389" w:rsidRDefault="00B15389" w:rsidP="0081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rFonts w:ascii="Helvetica" w:hAnsi="Helvetica" w:cs="Helvetica"/>
                <w:kern w:val="1"/>
              </w:rPr>
            </w:pPr>
          </w:p>
        </w:tc>
        <w:tc>
          <w:tcPr>
            <w:tcW w:w="29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47E3785" w14:textId="77777777" w:rsidR="00B15389" w:rsidRPr="000E4CDC" w:rsidRDefault="00B15389" w:rsidP="0081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kern w:val="1"/>
              </w:rPr>
            </w:pP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924E492" w14:textId="77777777" w:rsidR="00B15389" w:rsidRPr="000E4CDC" w:rsidRDefault="00B15389" w:rsidP="0081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kern w:val="1"/>
              </w:rPr>
            </w:pPr>
          </w:p>
        </w:tc>
      </w:tr>
      <w:tr w:rsidR="00B15389" w14:paraId="4157DB12" w14:textId="77777777" w:rsidTr="00816123">
        <w:tblPrEx>
          <w:tblBorders>
            <w:top w:val="none" w:sz="0" w:space="0" w:color="auto"/>
          </w:tblBorders>
        </w:tblPrEx>
        <w:tc>
          <w:tcPr>
            <w:tcW w:w="28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94ACA83" w14:textId="77777777" w:rsidR="00B15389" w:rsidRDefault="00B15389" w:rsidP="00816123">
            <w:pPr>
              <w:spacing w:before="0" w:after="0"/>
              <w:rPr>
                <w:rFonts w:ascii="Helvetica" w:hAnsi="Helvetica" w:cs="Helvetica"/>
                <w:kern w:val="1"/>
              </w:rPr>
            </w:pPr>
            <w:r>
              <w:rPr>
                <w:color w:val="000000"/>
              </w:rPr>
              <w:t>Age, years (per 5-year increase)</w:t>
            </w:r>
          </w:p>
        </w:tc>
        <w:tc>
          <w:tcPr>
            <w:tcW w:w="29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54805E4" w14:textId="5D52D564" w:rsidR="00B15389" w:rsidRPr="00BD1BC4" w:rsidRDefault="00BD1BC4" w:rsidP="00816123">
            <w:pPr>
              <w:spacing w:before="0" w:after="0"/>
              <w:jc w:val="center"/>
              <w:rPr>
                <w:kern w:val="1"/>
              </w:rPr>
            </w:pPr>
            <w:r w:rsidRPr="00BD1BC4">
              <w:rPr>
                <w:kern w:val="1"/>
              </w:rPr>
              <w:t>1.03 (0.99-1.08)</w:t>
            </w: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716D0DE" w14:textId="5302B963" w:rsidR="00B15389" w:rsidRPr="00204E1F" w:rsidRDefault="00B15389" w:rsidP="00816123">
            <w:pPr>
              <w:spacing w:before="0" w:after="0"/>
              <w:jc w:val="center"/>
              <w:rPr>
                <w:kern w:val="1"/>
              </w:rPr>
            </w:pPr>
            <w:r w:rsidRPr="00204E1F">
              <w:rPr>
                <w:kern w:val="1"/>
              </w:rPr>
              <w:t>1.</w:t>
            </w:r>
            <w:r w:rsidR="00204E1F" w:rsidRPr="00204E1F">
              <w:rPr>
                <w:kern w:val="1"/>
              </w:rPr>
              <w:t>04</w:t>
            </w:r>
            <w:r w:rsidRPr="00204E1F">
              <w:rPr>
                <w:kern w:val="1"/>
              </w:rPr>
              <w:t xml:space="preserve"> (</w:t>
            </w:r>
            <w:r w:rsidR="00204E1F" w:rsidRPr="00204E1F">
              <w:rPr>
                <w:kern w:val="1"/>
              </w:rPr>
              <w:t>0.98</w:t>
            </w:r>
            <w:r w:rsidRPr="00204E1F">
              <w:rPr>
                <w:kern w:val="1"/>
              </w:rPr>
              <w:t>-1.</w:t>
            </w:r>
            <w:r w:rsidR="00204E1F" w:rsidRPr="00204E1F">
              <w:rPr>
                <w:kern w:val="1"/>
              </w:rPr>
              <w:t>10</w:t>
            </w:r>
            <w:r w:rsidRPr="00204E1F">
              <w:rPr>
                <w:kern w:val="1"/>
              </w:rPr>
              <w:t>)</w:t>
            </w:r>
          </w:p>
        </w:tc>
      </w:tr>
      <w:tr w:rsidR="00B15389" w14:paraId="74AB3EB4" w14:textId="77777777" w:rsidTr="00816123">
        <w:tblPrEx>
          <w:tblBorders>
            <w:top w:val="none" w:sz="0" w:space="0" w:color="auto"/>
          </w:tblBorders>
        </w:tblPrEx>
        <w:tc>
          <w:tcPr>
            <w:tcW w:w="28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27C1648" w14:textId="77777777" w:rsidR="00B15389" w:rsidRDefault="00B15389" w:rsidP="0081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rFonts w:ascii="Helvetica" w:hAnsi="Helvetica" w:cs="Helvetica"/>
                <w:kern w:val="1"/>
              </w:rPr>
            </w:pPr>
          </w:p>
        </w:tc>
        <w:tc>
          <w:tcPr>
            <w:tcW w:w="29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D6FB2B4" w14:textId="77777777" w:rsidR="00B15389" w:rsidRPr="000E4CDC" w:rsidRDefault="00B15389" w:rsidP="0081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kern w:val="1"/>
              </w:rPr>
            </w:pP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1278878" w14:textId="77777777" w:rsidR="00B15389" w:rsidRPr="000E4CDC" w:rsidRDefault="00B15389" w:rsidP="0081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kern w:val="1"/>
              </w:rPr>
            </w:pPr>
          </w:p>
        </w:tc>
      </w:tr>
      <w:tr w:rsidR="00B15389" w14:paraId="722DD67B" w14:textId="77777777" w:rsidTr="00816123">
        <w:tblPrEx>
          <w:tblBorders>
            <w:top w:val="none" w:sz="0" w:space="0" w:color="auto"/>
          </w:tblBorders>
        </w:tblPrEx>
        <w:tc>
          <w:tcPr>
            <w:tcW w:w="28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8917ACC" w14:textId="77777777" w:rsidR="00B15389" w:rsidRDefault="00B15389" w:rsidP="00816123">
            <w:pPr>
              <w:spacing w:before="0" w:after="0"/>
              <w:rPr>
                <w:rFonts w:ascii="Helvetica" w:hAnsi="Helvetica" w:cs="Helvetica"/>
                <w:kern w:val="1"/>
              </w:rPr>
            </w:pPr>
            <w:r>
              <w:rPr>
                <w:color w:val="000000"/>
              </w:rPr>
              <w:t>Sex</w:t>
            </w:r>
          </w:p>
        </w:tc>
        <w:tc>
          <w:tcPr>
            <w:tcW w:w="29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020C43E" w14:textId="77777777" w:rsidR="00B15389" w:rsidRPr="000E4CDC" w:rsidRDefault="00B15389" w:rsidP="0081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kern w:val="1"/>
              </w:rPr>
            </w:pP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4155A15" w14:textId="77777777" w:rsidR="00B15389" w:rsidRPr="000E4CDC" w:rsidRDefault="00B15389" w:rsidP="0081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kern w:val="1"/>
              </w:rPr>
            </w:pPr>
          </w:p>
        </w:tc>
      </w:tr>
      <w:tr w:rsidR="00B15389" w14:paraId="20FBCC0C" w14:textId="77777777" w:rsidTr="00816123">
        <w:tblPrEx>
          <w:tblBorders>
            <w:top w:val="none" w:sz="0" w:space="0" w:color="auto"/>
          </w:tblBorders>
        </w:tblPrEx>
        <w:tc>
          <w:tcPr>
            <w:tcW w:w="28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38A1A74" w14:textId="77777777" w:rsidR="00B15389" w:rsidRDefault="00B15389" w:rsidP="00816123">
            <w:pPr>
              <w:spacing w:before="0" w:after="0"/>
              <w:jc w:val="right"/>
              <w:rPr>
                <w:rFonts w:ascii="Helvetica" w:hAnsi="Helvetica" w:cs="Helvetica"/>
                <w:kern w:val="1"/>
              </w:rPr>
            </w:pPr>
            <w:r>
              <w:rPr>
                <w:color w:val="000000"/>
              </w:rPr>
              <w:t xml:space="preserve"> Male</w:t>
            </w:r>
          </w:p>
        </w:tc>
        <w:tc>
          <w:tcPr>
            <w:tcW w:w="29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425B207" w14:textId="77777777" w:rsidR="00B15389" w:rsidRPr="000E4CDC" w:rsidRDefault="00B15389" w:rsidP="00816123">
            <w:pPr>
              <w:spacing w:before="0" w:after="0"/>
              <w:jc w:val="center"/>
              <w:rPr>
                <w:kern w:val="1"/>
              </w:rPr>
            </w:pPr>
            <w:r>
              <w:rPr>
                <w:kern w:val="1"/>
              </w:rPr>
              <w:t>Reference</w:t>
            </w: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52B80DE" w14:textId="77777777" w:rsidR="00B15389" w:rsidRPr="000E4CDC" w:rsidRDefault="00B15389" w:rsidP="00816123">
            <w:pPr>
              <w:spacing w:before="0" w:after="0"/>
              <w:jc w:val="center"/>
              <w:rPr>
                <w:kern w:val="1"/>
              </w:rPr>
            </w:pPr>
            <w:r>
              <w:rPr>
                <w:kern w:val="1"/>
              </w:rPr>
              <w:t>Reference</w:t>
            </w:r>
          </w:p>
        </w:tc>
      </w:tr>
      <w:tr w:rsidR="00B15389" w14:paraId="51F68E0B" w14:textId="77777777" w:rsidTr="00816123">
        <w:tblPrEx>
          <w:tblBorders>
            <w:top w:val="none" w:sz="0" w:space="0" w:color="auto"/>
          </w:tblBorders>
        </w:tblPrEx>
        <w:tc>
          <w:tcPr>
            <w:tcW w:w="28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6CFA486" w14:textId="77777777" w:rsidR="00B15389" w:rsidRDefault="00B15389" w:rsidP="00816123">
            <w:pPr>
              <w:spacing w:before="0" w:after="0"/>
              <w:jc w:val="right"/>
              <w:rPr>
                <w:rFonts w:ascii="Helvetica" w:hAnsi="Helvetica" w:cs="Helvetica"/>
                <w:kern w:val="1"/>
              </w:rPr>
            </w:pPr>
            <w:r>
              <w:rPr>
                <w:color w:val="000000"/>
              </w:rPr>
              <w:t>Female</w:t>
            </w:r>
          </w:p>
        </w:tc>
        <w:tc>
          <w:tcPr>
            <w:tcW w:w="29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6E7A36A" w14:textId="41F59025" w:rsidR="00B15389" w:rsidRPr="000E4CDC" w:rsidRDefault="00B15389" w:rsidP="00816123">
            <w:pPr>
              <w:spacing w:before="0" w:after="0"/>
              <w:jc w:val="center"/>
              <w:rPr>
                <w:kern w:val="1"/>
              </w:rPr>
            </w:pPr>
            <w:r>
              <w:rPr>
                <w:kern w:val="1"/>
              </w:rPr>
              <w:t>1.</w:t>
            </w:r>
            <w:r w:rsidR="00FB7445">
              <w:rPr>
                <w:kern w:val="1"/>
              </w:rPr>
              <w:t>2</w:t>
            </w:r>
            <w:r>
              <w:rPr>
                <w:kern w:val="1"/>
              </w:rPr>
              <w:t>4 (0</w:t>
            </w:r>
            <w:r w:rsidR="00E70DB5">
              <w:rPr>
                <w:kern w:val="1"/>
              </w:rPr>
              <w:t>.</w:t>
            </w:r>
            <w:r w:rsidR="00FB7445">
              <w:rPr>
                <w:kern w:val="1"/>
              </w:rPr>
              <w:t>9</w:t>
            </w:r>
            <w:r w:rsidR="00E70DB5">
              <w:rPr>
                <w:kern w:val="1"/>
              </w:rPr>
              <w:t>1</w:t>
            </w:r>
            <w:r>
              <w:rPr>
                <w:kern w:val="1"/>
              </w:rPr>
              <w:t>-1.</w:t>
            </w:r>
            <w:r w:rsidR="00FB7445">
              <w:rPr>
                <w:kern w:val="1"/>
              </w:rPr>
              <w:t>70</w:t>
            </w:r>
            <w:r>
              <w:rPr>
                <w:kern w:val="1"/>
              </w:rPr>
              <w:t>)</w:t>
            </w: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F74E15D" w14:textId="7EEE31EE" w:rsidR="00B15389" w:rsidRPr="000E4CDC" w:rsidRDefault="00B15389" w:rsidP="00816123">
            <w:pPr>
              <w:spacing w:before="0" w:after="0"/>
              <w:jc w:val="center"/>
              <w:rPr>
                <w:kern w:val="1"/>
              </w:rPr>
            </w:pPr>
            <w:r>
              <w:rPr>
                <w:kern w:val="1"/>
              </w:rPr>
              <w:t>1.</w:t>
            </w:r>
            <w:r w:rsidR="001530BA">
              <w:rPr>
                <w:kern w:val="1"/>
              </w:rPr>
              <w:t>25</w:t>
            </w:r>
            <w:r>
              <w:rPr>
                <w:kern w:val="1"/>
              </w:rPr>
              <w:t xml:space="preserve"> (0.</w:t>
            </w:r>
            <w:r w:rsidR="001530BA">
              <w:rPr>
                <w:kern w:val="1"/>
              </w:rPr>
              <w:t>90</w:t>
            </w:r>
            <w:r>
              <w:rPr>
                <w:kern w:val="1"/>
              </w:rPr>
              <w:t>-1.</w:t>
            </w:r>
            <w:r w:rsidR="001530BA">
              <w:rPr>
                <w:kern w:val="1"/>
              </w:rPr>
              <w:t>74</w:t>
            </w:r>
            <w:r>
              <w:rPr>
                <w:kern w:val="1"/>
              </w:rPr>
              <w:t>)</w:t>
            </w:r>
          </w:p>
        </w:tc>
      </w:tr>
      <w:tr w:rsidR="00B15389" w14:paraId="6EF5E0DA" w14:textId="77777777" w:rsidTr="00816123">
        <w:tblPrEx>
          <w:tblBorders>
            <w:top w:val="none" w:sz="0" w:space="0" w:color="auto"/>
          </w:tblBorders>
        </w:tblPrEx>
        <w:tc>
          <w:tcPr>
            <w:tcW w:w="28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B40CFE" w14:textId="77777777" w:rsidR="00B15389" w:rsidRDefault="00B15389" w:rsidP="0081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rFonts w:ascii="Helvetica" w:hAnsi="Helvetica" w:cs="Helvetica"/>
                <w:kern w:val="1"/>
              </w:rPr>
            </w:pPr>
          </w:p>
        </w:tc>
        <w:tc>
          <w:tcPr>
            <w:tcW w:w="29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86353AC" w14:textId="77777777" w:rsidR="00B15389" w:rsidRPr="000E4CDC" w:rsidRDefault="00B15389" w:rsidP="0081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kern w:val="1"/>
              </w:rPr>
            </w:pP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58DE0CD" w14:textId="77777777" w:rsidR="00B15389" w:rsidRPr="000E4CDC" w:rsidRDefault="00B15389" w:rsidP="0081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kern w:val="1"/>
              </w:rPr>
            </w:pPr>
          </w:p>
        </w:tc>
      </w:tr>
      <w:tr w:rsidR="00B15389" w14:paraId="037FB6EE" w14:textId="77777777" w:rsidTr="00816123">
        <w:tblPrEx>
          <w:tblBorders>
            <w:top w:val="none" w:sz="0" w:space="0" w:color="auto"/>
          </w:tblBorders>
        </w:tblPrEx>
        <w:tc>
          <w:tcPr>
            <w:tcW w:w="28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9BFF6DD" w14:textId="77777777" w:rsidR="00B15389" w:rsidRDefault="00B15389" w:rsidP="00816123">
            <w:pPr>
              <w:spacing w:before="0" w:after="0"/>
              <w:rPr>
                <w:rFonts w:ascii="Helvetica" w:hAnsi="Helvetica" w:cs="Helvetica"/>
                <w:kern w:val="1"/>
              </w:rPr>
            </w:pPr>
            <w:r>
              <w:rPr>
                <w:color w:val="000000"/>
              </w:rPr>
              <w:t>Ethnicity</w:t>
            </w:r>
          </w:p>
        </w:tc>
        <w:tc>
          <w:tcPr>
            <w:tcW w:w="29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46E7D3E" w14:textId="77777777" w:rsidR="00B15389" w:rsidRPr="000E4CDC" w:rsidRDefault="00B15389" w:rsidP="0081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kern w:val="1"/>
              </w:rPr>
            </w:pP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DC757CB" w14:textId="77777777" w:rsidR="00B15389" w:rsidRPr="000E4CDC" w:rsidRDefault="00B15389" w:rsidP="0081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kern w:val="1"/>
              </w:rPr>
            </w:pPr>
          </w:p>
        </w:tc>
      </w:tr>
      <w:tr w:rsidR="00B15389" w14:paraId="778341FE" w14:textId="77777777" w:rsidTr="00816123">
        <w:tblPrEx>
          <w:tblBorders>
            <w:top w:val="none" w:sz="0" w:space="0" w:color="auto"/>
          </w:tblBorders>
        </w:tblPrEx>
        <w:tc>
          <w:tcPr>
            <w:tcW w:w="28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5997411" w14:textId="77777777" w:rsidR="00B15389" w:rsidRDefault="00B15389" w:rsidP="00816123">
            <w:pPr>
              <w:spacing w:before="0" w:after="0"/>
              <w:jc w:val="right"/>
              <w:rPr>
                <w:rFonts w:ascii="Helvetica" w:hAnsi="Helvetica" w:cs="Helvetica"/>
                <w:kern w:val="1"/>
              </w:rPr>
            </w:pPr>
            <w:r>
              <w:rPr>
                <w:color w:val="000000"/>
              </w:rPr>
              <w:t>Inuit</w:t>
            </w:r>
          </w:p>
        </w:tc>
        <w:tc>
          <w:tcPr>
            <w:tcW w:w="29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B06A56F" w14:textId="77777777" w:rsidR="00B15389" w:rsidRPr="000E4CDC" w:rsidRDefault="00B15389" w:rsidP="00816123">
            <w:pPr>
              <w:spacing w:before="0" w:after="0"/>
              <w:jc w:val="center"/>
              <w:rPr>
                <w:kern w:val="1"/>
              </w:rPr>
            </w:pPr>
            <w:r>
              <w:rPr>
                <w:kern w:val="1"/>
              </w:rPr>
              <w:t>Reference</w:t>
            </w: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9059DCB" w14:textId="77777777" w:rsidR="00B15389" w:rsidRPr="000E4CDC" w:rsidRDefault="00B15389" w:rsidP="00816123">
            <w:pPr>
              <w:spacing w:before="0" w:after="0"/>
              <w:jc w:val="center"/>
              <w:rPr>
                <w:kern w:val="1"/>
              </w:rPr>
            </w:pPr>
            <w:r>
              <w:rPr>
                <w:kern w:val="1"/>
              </w:rPr>
              <w:t>Reference</w:t>
            </w:r>
          </w:p>
        </w:tc>
      </w:tr>
      <w:tr w:rsidR="00B15389" w14:paraId="37E55A6A" w14:textId="77777777" w:rsidTr="00816123">
        <w:tblPrEx>
          <w:tblBorders>
            <w:top w:val="none" w:sz="0" w:space="0" w:color="auto"/>
          </w:tblBorders>
        </w:tblPrEx>
        <w:tc>
          <w:tcPr>
            <w:tcW w:w="28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187B7E5" w14:textId="77777777" w:rsidR="00B15389" w:rsidRDefault="00B15389" w:rsidP="00816123">
            <w:pPr>
              <w:spacing w:before="0" w:after="0"/>
              <w:jc w:val="right"/>
              <w:rPr>
                <w:rFonts w:ascii="Helvetica" w:hAnsi="Helvetica" w:cs="Helvetica"/>
                <w:kern w:val="1"/>
              </w:rPr>
            </w:pPr>
            <w:r>
              <w:rPr>
                <w:color w:val="000000"/>
              </w:rPr>
              <w:t>Non-Inuit</w:t>
            </w:r>
          </w:p>
        </w:tc>
        <w:tc>
          <w:tcPr>
            <w:tcW w:w="29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EA6812A" w14:textId="77777777" w:rsidR="00B15389" w:rsidRPr="000E4CDC" w:rsidRDefault="00B15389" w:rsidP="00816123">
            <w:pPr>
              <w:spacing w:before="0" w:after="0"/>
              <w:jc w:val="center"/>
              <w:rPr>
                <w:kern w:val="1"/>
              </w:rPr>
            </w:pPr>
            <w:r>
              <w:rPr>
                <w:kern w:val="1"/>
              </w:rPr>
              <w:t>1.50 (0.78-2.86)</w:t>
            </w: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4B61235" w14:textId="7E682F15" w:rsidR="00B15389" w:rsidRPr="000E4CDC" w:rsidRDefault="00B15389" w:rsidP="00816123">
            <w:pPr>
              <w:spacing w:before="0" w:after="0"/>
              <w:jc w:val="center"/>
              <w:rPr>
                <w:kern w:val="1"/>
              </w:rPr>
            </w:pPr>
            <w:r>
              <w:rPr>
                <w:kern w:val="1"/>
              </w:rPr>
              <w:t>0.</w:t>
            </w:r>
            <w:r w:rsidR="00204E1F">
              <w:rPr>
                <w:kern w:val="1"/>
              </w:rPr>
              <w:t>76</w:t>
            </w:r>
            <w:r>
              <w:rPr>
                <w:kern w:val="1"/>
              </w:rPr>
              <w:t xml:space="preserve"> (0.</w:t>
            </w:r>
            <w:r w:rsidR="00204E1F">
              <w:rPr>
                <w:kern w:val="1"/>
              </w:rPr>
              <w:t>45</w:t>
            </w:r>
            <w:r>
              <w:rPr>
                <w:kern w:val="1"/>
              </w:rPr>
              <w:t>-1.</w:t>
            </w:r>
            <w:r w:rsidR="00204E1F">
              <w:rPr>
                <w:kern w:val="1"/>
              </w:rPr>
              <w:t>30</w:t>
            </w:r>
            <w:r>
              <w:rPr>
                <w:kern w:val="1"/>
              </w:rPr>
              <w:t>)</w:t>
            </w:r>
          </w:p>
        </w:tc>
      </w:tr>
      <w:tr w:rsidR="00B15389" w14:paraId="4D672A7D" w14:textId="77777777" w:rsidTr="00816123">
        <w:tblPrEx>
          <w:tblBorders>
            <w:top w:val="none" w:sz="0" w:space="0" w:color="auto"/>
          </w:tblBorders>
        </w:tblPrEx>
        <w:tc>
          <w:tcPr>
            <w:tcW w:w="28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4CA6235" w14:textId="77777777" w:rsidR="00B15389" w:rsidRDefault="00B15389" w:rsidP="0081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rFonts w:ascii="Helvetica" w:hAnsi="Helvetica" w:cs="Helvetica"/>
                <w:kern w:val="1"/>
              </w:rPr>
            </w:pPr>
          </w:p>
        </w:tc>
        <w:tc>
          <w:tcPr>
            <w:tcW w:w="29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32672F5" w14:textId="77777777" w:rsidR="00B15389" w:rsidRPr="000E4CDC" w:rsidRDefault="00B15389" w:rsidP="0081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kern w:val="1"/>
              </w:rPr>
            </w:pP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514E377" w14:textId="77777777" w:rsidR="00B15389" w:rsidRPr="000E4CDC" w:rsidRDefault="00B15389" w:rsidP="0081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kern w:val="1"/>
              </w:rPr>
            </w:pPr>
          </w:p>
        </w:tc>
      </w:tr>
      <w:tr w:rsidR="00B15389" w14:paraId="542D443D" w14:textId="77777777" w:rsidTr="00816123">
        <w:tblPrEx>
          <w:tblBorders>
            <w:top w:val="none" w:sz="0" w:space="0" w:color="auto"/>
          </w:tblBorders>
        </w:tblPrEx>
        <w:tc>
          <w:tcPr>
            <w:tcW w:w="28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9D5EA96" w14:textId="77777777" w:rsidR="00B15389" w:rsidRDefault="00B15389" w:rsidP="00816123">
            <w:pPr>
              <w:spacing w:before="0" w:after="0"/>
              <w:rPr>
                <w:rFonts w:ascii="Helvetica" w:hAnsi="Helvetica" w:cs="Helvetica"/>
                <w:kern w:val="1"/>
              </w:rPr>
            </w:pPr>
            <w:r>
              <w:rPr>
                <w:color w:val="000000"/>
              </w:rPr>
              <w:t>Indication for TST</w:t>
            </w:r>
          </w:p>
        </w:tc>
        <w:tc>
          <w:tcPr>
            <w:tcW w:w="29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E95228E" w14:textId="77777777" w:rsidR="00B15389" w:rsidRPr="000E4CDC" w:rsidRDefault="00B15389" w:rsidP="0081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kern w:val="1"/>
              </w:rPr>
            </w:pP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A5B85EA" w14:textId="77777777" w:rsidR="00B15389" w:rsidRPr="000E4CDC" w:rsidRDefault="00B15389" w:rsidP="0081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kern w:val="1"/>
              </w:rPr>
            </w:pPr>
          </w:p>
        </w:tc>
      </w:tr>
      <w:tr w:rsidR="00F524A4" w14:paraId="3254B330" w14:textId="77777777" w:rsidTr="00816123">
        <w:tblPrEx>
          <w:tblBorders>
            <w:top w:val="none" w:sz="0" w:space="0" w:color="auto"/>
          </w:tblBorders>
        </w:tblPrEx>
        <w:tc>
          <w:tcPr>
            <w:tcW w:w="28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79FB704" w14:textId="74C0E747" w:rsidR="00F524A4" w:rsidRDefault="00F524A4" w:rsidP="00F524A4">
            <w:pPr>
              <w:spacing w:before="0" w:after="0"/>
              <w:jc w:val="right"/>
              <w:rPr>
                <w:rFonts w:ascii="Helvetica" w:hAnsi="Helvetica" w:cs="Helvetica"/>
                <w:kern w:val="1"/>
              </w:rPr>
            </w:pPr>
            <w:r w:rsidRPr="00734970">
              <w:rPr>
                <w:kern w:val="1"/>
              </w:rPr>
              <w:t>TB exposure</w:t>
            </w:r>
          </w:p>
        </w:tc>
        <w:tc>
          <w:tcPr>
            <w:tcW w:w="29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53D1301" w14:textId="77777777" w:rsidR="00F524A4" w:rsidRPr="000E4CDC" w:rsidRDefault="00F524A4" w:rsidP="00F524A4">
            <w:pPr>
              <w:spacing w:before="0" w:after="0"/>
              <w:jc w:val="center"/>
              <w:rPr>
                <w:kern w:val="1"/>
              </w:rPr>
            </w:pPr>
            <w:r>
              <w:rPr>
                <w:kern w:val="1"/>
              </w:rPr>
              <w:t>Reference</w:t>
            </w: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30F058C" w14:textId="77777777" w:rsidR="00F524A4" w:rsidRPr="000E4CDC" w:rsidRDefault="00F524A4" w:rsidP="00F524A4">
            <w:pPr>
              <w:spacing w:before="0" w:after="0"/>
              <w:jc w:val="center"/>
              <w:rPr>
                <w:kern w:val="1"/>
              </w:rPr>
            </w:pPr>
            <w:r>
              <w:rPr>
                <w:kern w:val="1"/>
              </w:rPr>
              <w:t>Reference</w:t>
            </w:r>
          </w:p>
        </w:tc>
      </w:tr>
      <w:tr w:rsidR="00F524A4" w14:paraId="4714E920" w14:textId="77777777" w:rsidTr="00816123">
        <w:tblPrEx>
          <w:tblBorders>
            <w:top w:val="none" w:sz="0" w:space="0" w:color="auto"/>
          </w:tblBorders>
        </w:tblPrEx>
        <w:tc>
          <w:tcPr>
            <w:tcW w:w="28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66AFE6B" w14:textId="6354E5E2" w:rsidR="00F524A4" w:rsidRDefault="00F524A4" w:rsidP="00F524A4">
            <w:pPr>
              <w:spacing w:before="0" w:after="0"/>
              <w:jc w:val="right"/>
              <w:rPr>
                <w:rFonts w:ascii="Helvetica" w:hAnsi="Helvetica" w:cs="Helvetica"/>
                <w:kern w:val="1"/>
              </w:rPr>
            </w:pPr>
            <w:r w:rsidRPr="00734970">
              <w:rPr>
                <w:color w:val="000000"/>
              </w:rPr>
              <w:t>Employment screening</w:t>
            </w:r>
          </w:p>
        </w:tc>
        <w:tc>
          <w:tcPr>
            <w:tcW w:w="29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1AF41BE" w14:textId="0DB479A7" w:rsidR="00F524A4" w:rsidRPr="000E4CDC" w:rsidRDefault="00F524A4" w:rsidP="00F524A4">
            <w:pPr>
              <w:spacing w:before="0" w:after="0"/>
              <w:jc w:val="center"/>
              <w:rPr>
                <w:kern w:val="1"/>
              </w:rPr>
            </w:pPr>
            <w:r>
              <w:rPr>
                <w:kern w:val="1"/>
              </w:rPr>
              <w:t>1.24 (0.78-1.95)</w:t>
            </w: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B79B4AB" w14:textId="18B23047" w:rsidR="00F524A4" w:rsidRPr="000E4CDC" w:rsidRDefault="00F524A4" w:rsidP="00F524A4">
            <w:pPr>
              <w:spacing w:before="0" w:after="0"/>
              <w:jc w:val="center"/>
              <w:rPr>
                <w:kern w:val="1"/>
              </w:rPr>
            </w:pPr>
            <w:r>
              <w:rPr>
                <w:kern w:val="1"/>
              </w:rPr>
              <w:t>1.29 (0.81-2.05)</w:t>
            </w:r>
          </w:p>
        </w:tc>
      </w:tr>
      <w:tr w:rsidR="00F524A4" w14:paraId="278D06C4" w14:textId="77777777" w:rsidTr="00816123">
        <w:tblPrEx>
          <w:tblBorders>
            <w:top w:val="none" w:sz="0" w:space="0" w:color="auto"/>
          </w:tblBorders>
        </w:tblPrEx>
        <w:tc>
          <w:tcPr>
            <w:tcW w:w="28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8405BC7" w14:textId="72597CB5" w:rsidR="00F524A4" w:rsidRDefault="00F524A4" w:rsidP="00F524A4">
            <w:pPr>
              <w:spacing w:before="0" w:after="0"/>
              <w:jc w:val="right"/>
              <w:rPr>
                <w:rFonts w:ascii="Helvetica" w:hAnsi="Helvetica" w:cs="Helvetica"/>
                <w:kern w:val="1"/>
              </w:rPr>
            </w:pPr>
            <w:r w:rsidRPr="00734970">
              <w:rPr>
                <w:color w:val="000000"/>
              </w:rPr>
              <w:t>School screening</w:t>
            </w:r>
          </w:p>
        </w:tc>
        <w:tc>
          <w:tcPr>
            <w:tcW w:w="29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0D8B08" w14:textId="5A77CB49" w:rsidR="00F524A4" w:rsidRPr="000E4CDC" w:rsidRDefault="00F524A4" w:rsidP="00F524A4">
            <w:pPr>
              <w:spacing w:before="0" w:after="0"/>
              <w:jc w:val="center"/>
              <w:rPr>
                <w:kern w:val="1"/>
              </w:rPr>
            </w:pPr>
            <w:r>
              <w:rPr>
                <w:kern w:val="1"/>
              </w:rPr>
              <w:t>0.55 (0.20-1.54)</w:t>
            </w: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A9B6C0D" w14:textId="09C6D1EE" w:rsidR="00F524A4" w:rsidRPr="000E4CDC" w:rsidRDefault="00F524A4" w:rsidP="00F524A4">
            <w:pPr>
              <w:spacing w:before="0" w:after="0"/>
              <w:jc w:val="center"/>
              <w:rPr>
                <w:kern w:val="1"/>
              </w:rPr>
            </w:pPr>
            <w:r>
              <w:rPr>
                <w:kern w:val="1"/>
              </w:rPr>
              <w:t>0.86 (0.33-2.27)</w:t>
            </w:r>
          </w:p>
        </w:tc>
      </w:tr>
      <w:tr w:rsidR="00F524A4" w14:paraId="63D60B67" w14:textId="77777777" w:rsidTr="00816123">
        <w:tblPrEx>
          <w:tblBorders>
            <w:top w:val="none" w:sz="0" w:space="0" w:color="auto"/>
          </w:tblBorders>
        </w:tblPrEx>
        <w:tc>
          <w:tcPr>
            <w:tcW w:w="28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8495116" w14:textId="49FC4A06" w:rsidR="00F524A4" w:rsidRDefault="00F524A4" w:rsidP="00F524A4">
            <w:pPr>
              <w:spacing w:before="0" w:after="0"/>
              <w:jc w:val="right"/>
              <w:rPr>
                <w:rFonts w:ascii="Helvetica" w:hAnsi="Helvetica" w:cs="Helvetica"/>
                <w:kern w:val="1"/>
              </w:rPr>
            </w:pPr>
            <w:r w:rsidRPr="00734970">
              <w:rPr>
                <w:color w:val="000000"/>
              </w:rPr>
              <w:t>Self or physician referral</w:t>
            </w:r>
          </w:p>
        </w:tc>
        <w:tc>
          <w:tcPr>
            <w:tcW w:w="29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FB8A88F" w14:textId="14BBB173" w:rsidR="00F524A4" w:rsidRPr="000E4CDC" w:rsidRDefault="00F524A4" w:rsidP="00F524A4">
            <w:pPr>
              <w:spacing w:before="0" w:after="0"/>
              <w:jc w:val="center"/>
              <w:rPr>
                <w:kern w:val="1"/>
              </w:rPr>
            </w:pPr>
            <w:r>
              <w:rPr>
                <w:kern w:val="1"/>
              </w:rPr>
              <w:t>1.10 (0.75-1.59)</w:t>
            </w: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A27618C" w14:textId="661326FE" w:rsidR="00F524A4" w:rsidRPr="000E4CDC" w:rsidRDefault="00F524A4" w:rsidP="00F524A4">
            <w:pPr>
              <w:spacing w:before="0" w:after="0"/>
              <w:jc w:val="center"/>
              <w:rPr>
                <w:kern w:val="1"/>
              </w:rPr>
            </w:pPr>
            <w:r>
              <w:rPr>
                <w:kern w:val="1"/>
              </w:rPr>
              <w:t>0.88 (0.53-1.46)</w:t>
            </w:r>
          </w:p>
        </w:tc>
      </w:tr>
      <w:tr w:rsidR="00B15389" w14:paraId="6E511BD6" w14:textId="77777777" w:rsidTr="00816123">
        <w:tblPrEx>
          <w:tblBorders>
            <w:top w:val="none" w:sz="0" w:space="0" w:color="auto"/>
          </w:tblBorders>
        </w:tblPrEx>
        <w:tc>
          <w:tcPr>
            <w:tcW w:w="28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5805C91" w14:textId="77777777" w:rsidR="00B15389" w:rsidRDefault="00B15389" w:rsidP="0081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rFonts w:ascii="Helvetica" w:hAnsi="Helvetica" w:cs="Helvetica"/>
                <w:kern w:val="1"/>
              </w:rPr>
            </w:pPr>
          </w:p>
        </w:tc>
        <w:tc>
          <w:tcPr>
            <w:tcW w:w="29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86BDA9A" w14:textId="77777777" w:rsidR="00B15389" w:rsidRPr="000E4CDC" w:rsidRDefault="00B15389" w:rsidP="0081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kern w:val="1"/>
              </w:rPr>
            </w:pP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CAE1B10" w14:textId="77777777" w:rsidR="00B15389" w:rsidRPr="000E4CDC" w:rsidRDefault="00B15389" w:rsidP="0081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kern w:val="1"/>
              </w:rPr>
            </w:pPr>
          </w:p>
        </w:tc>
      </w:tr>
      <w:tr w:rsidR="00B15389" w14:paraId="1DED4114" w14:textId="77777777" w:rsidTr="00816123">
        <w:tblPrEx>
          <w:tblBorders>
            <w:top w:val="none" w:sz="0" w:space="0" w:color="auto"/>
          </w:tblBorders>
        </w:tblPrEx>
        <w:tc>
          <w:tcPr>
            <w:tcW w:w="28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8A5D7A7" w14:textId="77777777" w:rsidR="00B15389" w:rsidRDefault="00B15389" w:rsidP="00816123">
            <w:pPr>
              <w:spacing w:before="0" w:after="0"/>
              <w:rPr>
                <w:rFonts w:ascii="Helvetica" w:hAnsi="Helvetica" w:cs="Helvetica"/>
                <w:kern w:val="1"/>
              </w:rPr>
            </w:pPr>
            <w:r>
              <w:rPr>
                <w:color w:val="000000"/>
              </w:rPr>
              <w:t>Year of assessment</w:t>
            </w:r>
          </w:p>
        </w:tc>
        <w:tc>
          <w:tcPr>
            <w:tcW w:w="29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D4F05B2" w14:textId="77777777" w:rsidR="00B15389" w:rsidRPr="000E4CDC" w:rsidRDefault="00B15389" w:rsidP="0081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kern w:val="1"/>
              </w:rPr>
            </w:pP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B9A6A4F" w14:textId="77777777" w:rsidR="00B15389" w:rsidRPr="000E4CDC" w:rsidRDefault="00B15389" w:rsidP="008161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rPr>
                <w:kern w:val="1"/>
              </w:rPr>
            </w:pPr>
          </w:p>
        </w:tc>
      </w:tr>
      <w:tr w:rsidR="00B15389" w14:paraId="0DBF9D3A" w14:textId="77777777" w:rsidTr="00816123">
        <w:tblPrEx>
          <w:tblBorders>
            <w:top w:val="none" w:sz="0" w:space="0" w:color="auto"/>
          </w:tblBorders>
        </w:tblPrEx>
        <w:tc>
          <w:tcPr>
            <w:tcW w:w="28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1E650CB" w14:textId="77777777" w:rsidR="00B15389" w:rsidRDefault="00B15389" w:rsidP="00816123">
            <w:pPr>
              <w:spacing w:before="0" w:after="0"/>
              <w:jc w:val="right"/>
              <w:rPr>
                <w:rFonts w:ascii="Helvetica" w:hAnsi="Helvetica" w:cs="Helvetica"/>
                <w:kern w:val="1"/>
              </w:rPr>
            </w:pPr>
            <w:r>
              <w:rPr>
                <w:color w:val="000000"/>
              </w:rPr>
              <w:t>2012</w:t>
            </w:r>
          </w:p>
        </w:tc>
        <w:tc>
          <w:tcPr>
            <w:tcW w:w="29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BB63BE2" w14:textId="77777777" w:rsidR="00B15389" w:rsidRPr="000E4CDC" w:rsidRDefault="00B15389" w:rsidP="00816123">
            <w:pPr>
              <w:spacing w:before="0" w:after="0"/>
              <w:jc w:val="center"/>
              <w:rPr>
                <w:kern w:val="1"/>
              </w:rPr>
            </w:pPr>
            <w:r w:rsidRPr="000E4CDC">
              <w:rPr>
                <w:color w:val="000000"/>
              </w:rPr>
              <w:t>Reference</w:t>
            </w: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9243986" w14:textId="77777777" w:rsidR="00B15389" w:rsidRPr="000E4CDC" w:rsidRDefault="00B15389" w:rsidP="00816123">
            <w:pPr>
              <w:spacing w:before="0" w:after="0"/>
              <w:jc w:val="center"/>
              <w:rPr>
                <w:kern w:val="1"/>
              </w:rPr>
            </w:pPr>
            <w:r w:rsidRPr="000E4CDC">
              <w:rPr>
                <w:color w:val="000000"/>
              </w:rPr>
              <w:t>-</w:t>
            </w:r>
          </w:p>
        </w:tc>
      </w:tr>
      <w:tr w:rsidR="00B15389" w14:paraId="72ECA648" w14:textId="77777777" w:rsidTr="00816123">
        <w:tblPrEx>
          <w:tblBorders>
            <w:top w:val="none" w:sz="0" w:space="0" w:color="auto"/>
          </w:tblBorders>
        </w:tblPrEx>
        <w:tc>
          <w:tcPr>
            <w:tcW w:w="28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AFF81DB" w14:textId="77777777" w:rsidR="00B15389" w:rsidRDefault="00B15389" w:rsidP="00816123">
            <w:pPr>
              <w:spacing w:before="0" w:after="0"/>
              <w:jc w:val="right"/>
              <w:rPr>
                <w:rFonts w:ascii="Helvetica" w:hAnsi="Helvetica" w:cs="Helvetica"/>
                <w:kern w:val="1"/>
              </w:rPr>
            </w:pPr>
            <w:r>
              <w:rPr>
                <w:color w:val="000000"/>
              </w:rPr>
              <w:t>2013</w:t>
            </w:r>
          </w:p>
        </w:tc>
        <w:tc>
          <w:tcPr>
            <w:tcW w:w="29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725627D" w14:textId="6B73FC32" w:rsidR="00B15389" w:rsidRPr="000E4CDC" w:rsidRDefault="00BD1BC4" w:rsidP="00816123">
            <w:pPr>
              <w:spacing w:before="0" w:after="0"/>
              <w:jc w:val="center"/>
              <w:rPr>
                <w:kern w:val="1"/>
              </w:rPr>
            </w:pPr>
            <w:r>
              <w:rPr>
                <w:kern w:val="1"/>
              </w:rPr>
              <w:t>1.01</w:t>
            </w:r>
            <w:r w:rsidR="00B15389">
              <w:rPr>
                <w:kern w:val="1"/>
              </w:rPr>
              <w:t xml:space="preserve"> (0.</w:t>
            </w:r>
            <w:r>
              <w:rPr>
                <w:kern w:val="1"/>
              </w:rPr>
              <w:t>78</w:t>
            </w:r>
            <w:r w:rsidR="00B15389">
              <w:rPr>
                <w:kern w:val="1"/>
              </w:rPr>
              <w:t>-1.</w:t>
            </w:r>
            <w:r>
              <w:rPr>
                <w:kern w:val="1"/>
              </w:rPr>
              <w:t>31</w:t>
            </w:r>
            <w:r w:rsidR="00B15389">
              <w:rPr>
                <w:kern w:val="1"/>
              </w:rPr>
              <w:t>)</w:t>
            </w: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040042A" w14:textId="77777777" w:rsidR="00B15389" w:rsidRPr="000E4CDC" w:rsidRDefault="00B15389" w:rsidP="00816123">
            <w:pPr>
              <w:spacing w:before="0" w:after="0"/>
              <w:jc w:val="center"/>
              <w:rPr>
                <w:kern w:val="1"/>
              </w:rPr>
            </w:pPr>
            <w:r w:rsidRPr="000E4CDC">
              <w:rPr>
                <w:color w:val="000000"/>
              </w:rPr>
              <w:t>-</w:t>
            </w:r>
          </w:p>
        </w:tc>
      </w:tr>
      <w:tr w:rsidR="00B15389" w14:paraId="17DA1FB5" w14:textId="77777777" w:rsidTr="00816123">
        <w:tblPrEx>
          <w:tblBorders>
            <w:top w:val="none" w:sz="0" w:space="0" w:color="auto"/>
          </w:tblBorders>
        </w:tblPrEx>
        <w:tc>
          <w:tcPr>
            <w:tcW w:w="28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BB40EFD" w14:textId="77777777" w:rsidR="00B15389" w:rsidRDefault="00B15389" w:rsidP="00816123">
            <w:pPr>
              <w:spacing w:before="0" w:after="0"/>
              <w:jc w:val="right"/>
              <w:rPr>
                <w:rFonts w:ascii="Helvetica" w:hAnsi="Helvetica" w:cs="Helvetica"/>
                <w:kern w:val="1"/>
              </w:rPr>
            </w:pPr>
            <w:r>
              <w:rPr>
                <w:color w:val="000000"/>
              </w:rPr>
              <w:t>2014</w:t>
            </w:r>
          </w:p>
        </w:tc>
        <w:tc>
          <w:tcPr>
            <w:tcW w:w="29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5B00369" w14:textId="740FEB6F" w:rsidR="00B15389" w:rsidRPr="000E4CDC" w:rsidRDefault="00B15389" w:rsidP="00816123">
            <w:pPr>
              <w:spacing w:before="0" w:after="0"/>
              <w:jc w:val="center"/>
              <w:rPr>
                <w:kern w:val="1"/>
              </w:rPr>
            </w:pPr>
            <w:r>
              <w:rPr>
                <w:kern w:val="1"/>
              </w:rPr>
              <w:t>1.0</w:t>
            </w:r>
            <w:r w:rsidR="00F31639">
              <w:rPr>
                <w:kern w:val="1"/>
              </w:rPr>
              <w:t>8</w:t>
            </w:r>
            <w:r>
              <w:rPr>
                <w:kern w:val="1"/>
              </w:rPr>
              <w:t xml:space="preserve"> (0.</w:t>
            </w:r>
            <w:r w:rsidR="00F31639">
              <w:rPr>
                <w:kern w:val="1"/>
              </w:rPr>
              <w:t>84</w:t>
            </w:r>
            <w:r>
              <w:rPr>
                <w:kern w:val="1"/>
              </w:rPr>
              <w:t>-1.</w:t>
            </w:r>
            <w:r w:rsidR="00F31639">
              <w:rPr>
                <w:kern w:val="1"/>
              </w:rPr>
              <w:t>40</w:t>
            </w:r>
            <w:r>
              <w:rPr>
                <w:kern w:val="1"/>
              </w:rPr>
              <w:t>)</w:t>
            </w: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C7FA498" w14:textId="77777777" w:rsidR="00B15389" w:rsidRPr="000E4CDC" w:rsidRDefault="00B15389" w:rsidP="00816123">
            <w:pPr>
              <w:spacing w:before="0" w:after="0"/>
              <w:jc w:val="center"/>
              <w:rPr>
                <w:kern w:val="1"/>
              </w:rPr>
            </w:pPr>
            <w:r w:rsidRPr="000E4CDC">
              <w:rPr>
                <w:color w:val="000000"/>
              </w:rPr>
              <w:t>-</w:t>
            </w:r>
          </w:p>
        </w:tc>
      </w:tr>
      <w:tr w:rsidR="00B15389" w14:paraId="1522E4C8" w14:textId="77777777" w:rsidTr="00816123">
        <w:tblPrEx>
          <w:tblBorders>
            <w:top w:val="none" w:sz="0" w:space="0" w:color="auto"/>
          </w:tblBorders>
        </w:tblPrEx>
        <w:tc>
          <w:tcPr>
            <w:tcW w:w="28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5FF16FB" w14:textId="77777777" w:rsidR="00B15389" w:rsidRDefault="00B15389" w:rsidP="00816123">
            <w:pPr>
              <w:spacing w:before="0" w:after="0"/>
              <w:jc w:val="right"/>
              <w:rPr>
                <w:rFonts w:ascii="Helvetica" w:hAnsi="Helvetica" w:cs="Helvetica"/>
                <w:kern w:val="1"/>
              </w:rPr>
            </w:pPr>
            <w:r>
              <w:rPr>
                <w:color w:val="000000"/>
              </w:rPr>
              <w:t>2015</w:t>
            </w:r>
          </w:p>
        </w:tc>
        <w:tc>
          <w:tcPr>
            <w:tcW w:w="29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62165D0" w14:textId="413D202E" w:rsidR="00B15389" w:rsidRPr="000E4CDC" w:rsidRDefault="00B15389" w:rsidP="00816123">
            <w:pPr>
              <w:spacing w:before="0" w:after="0"/>
              <w:jc w:val="center"/>
              <w:rPr>
                <w:kern w:val="1"/>
              </w:rPr>
            </w:pPr>
            <w:r>
              <w:rPr>
                <w:kern w:val="1"/>
              </w:rPr>
              <w:t>0.</w:t>
            </w:r>
            <w:r w:rsidR="00F31639">
              <w:rPr>
                <w:kern w:val="1"/>
              </w:rPr>
              <w:t>86</w:t>
            </w:r>
            <w:r>
              <w:rPr>
                <w:kern w:val="1"/>
              </w:rPr>
              <w:t xml:space="preserve"> (0.</w:t>
            </w:r>
            <w:r w:rsidR="00F31639">
              <w:rPr>
                <w:kern w:val="1"/>
              </w:rPr>
              <w:t>57</w:t>
            </w:r>
            <w:r>
              <w:rPr>
                <w:kern w:val="1"/>
              </w:rPr>
              <w:t>-1.</w:t>
            </w:r>
            <w:r w:rsidR="00F31639">
              <w:rPr>
                <w:kern w:val="1"/>
              </w:rPr>
              <w:t>32</w:t>
            </w:r>
            <w:r>
              <w:rPr>
                <w:kern w:val="1"/>
              </w:rPr>
              <w:t>)</w:t>
            </w: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A4BB31C" w14:textId="77777777" w:rsidR="00B15389" w:rsidRPr="000E4CDC" w:rsidRDefault="00B15389" w:rsidP="00816123">
            <w:pPr>
              <w:spacing w:before="0" w:after="0"/>
              <w:jc w:val="center"/>
              <w:rPr>
                <w:kern w:val="1"/>
              </w:rPr>
            </w:pPr>
            <w:r w:rsidRPr="000E4CDC">
              <w:rPr>
                <w:color w:val="000000"/>
              </w:rPr>
              <w:t>-</w:t>
            </w:r>
          </w:p>
        </w:tc>
      </w:tr>
      <w:tr w:rsidR="00B15389" w14:paraId="2ED5F67A" w14:textId="77777777" w:rsidTr="00816123">
        <w:tc>
          <w:tcPr>
            <w:tcW w:w="28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6AF9B8D" w14:textId="77777777" w:rsidR="00B15389" w:rsidRDefault="00B15389" w:rsidP="00816123">
            <w:pPr>
              <w:spacing w:before="0" w:after="0"/>
              <w:jc w:val="right"/>
              <w:rPr>
                <w:rFonts w:ascii="Helvetica" w:hAnsi="Helvetica" w:cs="Helvetica"/>
                <w:kern w:val="1"/>
              </w:rPr>
            </w:pPr>
            <w:r>
              <w:rPr>
                <w:color w:val="000000"/>
              </w:rPr>
              <w:t>2016</w:t>
            </w:r>
          </w:p>
        </w:tc>
        <w:tc>
          <w:tcPr>
            <w:tcW w:w="29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9EF7AB1" w14:textId="05EE2FB7" w:rsidR="00B15389" w:rsidRPr="000E4CDC" w:rsidRDefault="00F31639" w:rsidP="00816123">
            <w:pPr>
              <w:spacing w:before="0" w:after="0"/>
              <w:jc w:val="center"/>
              <w:rPr>
                <w:kern w:val="1"/>
              </w:rPr>
            </w:pPr>
            <w:r>
              <w:rPr>
                <w:kern w:val="1"/>
              </w:rPr>
              <w:t>1.10</w:t>
            </w:r>
            <w:r w:rsidR="00B15389">
              <w:rPr>
                <w:kern w:val="1"/>
              </w:rPr>
              <w:t xml:space="preserve"> (0.68-1.</w:t>
            </w:r>
            <w:r>
              <w:rPr>
                <w:kern w:val="1"/>
              </w:rPr>
              <w:t>80</w:t>
            </w:r>
            <w:r w:rsidR="00B15389">
              <w:rPr>
                <w:kern w:val="1"/>
              </w:rPr>
              <w:t>)</w:t>
            </w:r>
          </w:p>
        </w:tc>
        <w:tc>
          <w:tcPr>
            <w:tcW w:w="3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342A58E" w14:textId="77777777" w:rsidR="00B15389" w:rsidRPr="000E4CDC" w:rsidRDefault="00B15389" w:rsidP="00816123">
            <w:pPr>
              <w:spacing w:before="0" w:after="0"/>
              <w:jc w:val="center"/>
              <w:rPr>
                <w:color w:val="000000"/>
              </w:rPr>
            </w:pPr>
            <w:r w:rsidRPr="000E4CDC">
              <w:rPr>
                <w:color w:val="000000"/>
              </w:rPr>
              <w:t>-</w:t>
            </w:r>
          </w:p>
        </w:tc>
      </w:tr>
    </w:tbl>
    <w:p w14:paraId="615D8182" w14:textId="77777777" w:rsidR="00B15389" w:rsidRDefault="00B15389" w:rsidP="00B15389">
      <w:pPr>
        <w:rPr>
          <w:color w:val="000000"/>
        </w:rPr>
      </w:pPr>
      <w:r w:rsidRPr="003E45A0">
        <w:rPr>
          <w:color w:val="000000"/>
          <w:vertAlign w:val="superscript"/>
        </w:rPr>
        <w:t>1</w:t>
      </w:r>
      <w:r w:rsidRPr="00D5751F">
        <w:rPr>
          <w:color w:val="000000"/>
        </w:rPr>
        <w:t>Among the 246 patients who started treatment, complete data were available for 207.   Data were missing regarding ethnicity in 1</w:t>
      </w:r>
      <w:r>
        <w:rPr>
          <w:color w:val="000000"/>
        </w:rPr>
        <w:t>5</w:t>
      </w:r>
      <w:r w:rsidRPr="00D5751F">
        <w:rPr>
          <w:color w:val="000000"/>
        </w:rPr>
        <w:t xml:space="preserve"> (6.</w:t>
      </w:r>
      <w:r>
        <w:rPr>
          <w:color w:val="000000"/>
        </w:rPr>
        <w:t>1</w:t>
      </w:r>
      <w:r w:rsidRPr="00D5751F">
        <w:rPr>
          <w:color w:val="000000"/>
        </w:rPr>
        <w:t>%)</w:t>
      </w:r>
      <w:r>
        <w:rPr>
          <w:color w:val="000000"/>
        </w:rPr>
        <w:t>,</w:t>
      </w:r>
      <w:r w:rsidRPr="00D5751F">
        <w:rPr>
          <w:color w:val="000000"/>
        </w:rPr>
        <w:t xml:space="preserve"> indication for TST in 14 (5.7%)</w:t>
      </w:r>
      <w:r>
        <w:rPr>
          <w:color w:val="000000"/>
        </w:rPr>
        <w:t xml:space="preserve"> and </w:t>
      </w:r>
      <w:r w:rsidRPr="00D5751F">
        <w:rPr>
          <w:color w:val="000000"/>
        </w:rPr>
        <w:t xml:space="preserve">treatment completion in 12 (3.7%).  </w:t>
      </w:r>
    </w:p>
    <w:p w14:paraId="5F3BA7CE" w14:textId="1A39CC39" w:rsidR="00F31639" w:rsidRDefault="00F31639" w:rsidP="00F31639"/>
    <w:p w14:paraId="4FF60BA0" w14:textId="120EDCDC" w:rsidR="00F31639" w:rsidRDefault="00F31639" w:rsidP="00F31639"/>
    <w:p w14:paraId="5B3E4B3D" w14:textId="77777777" w:rsidR="00B15389" w:rsidRPr="00B602F3" w:rsidRDefault="00B15389" w:rsidP="00B15389">
      <w:pPr>
        <w:rPr>
          <w:highlight w:val="yellow"/>
        </w:rPr>
      </w:pPr>
    </w:p>
    <w:p w14:paraId="4C8FFBCC" w14:textId="49F48B62" w:rsidR="009608C2" w:rsidRPr="00F25264" w:rsidRDefault="009608C2" w:rsidP="00B15389"/>
    <w:p w14:paraId="5C477B15" w14:textId="77777777" w:rsidR="00EA5371" w:rsidRDefault="00EA5371">
      <w:pPr>
        <w:autoSpaceDE/>
        <w:autoSpaceDN/>
        <w:adjustRightInd/>
        <w:spacing w:before="0" w:after="0"/>
        <w:rPr>
          <w:b/>
        </w:rPr>
      </w:pPr>
      <w:r>
        <w:rPr>
          <w:b/>
        </w:rPr>
        <w:br w:type="page"/>
      </w:r>
    </w:p>
    <w:p w14:paraId="487D8E90" w14:textId="40962CF5" w:rsidR="00A2227E" w:rsidRPr="00F25264" w:rsidRDefault="005C346E" w:rsidP="00F25264">
      <w:pPr>
        <w:spacing w:line="480" w:lineRule="auto"/>
        <w:rPr>
          <w:b/>
        </w:rPr>
      </w:pPr>
      <w:r w:rsidRPr="00F25264">
        <w:rPr>
          <w:b/>
        </w:rPr>
        <w:lastRenderedPageBreak/>
        <w:t>References</w:t>
      </w:r>
    </w:p>
    <w:p w14:paraId="4566F0FB" w14:textId="77777777" w:rsidR="005A21B2" w:rsidRPr="005A21B2" w:rsidRDefault="00EF7C96" w:rsidP="005A21B2">
      <w:pPr>
        <w:pStyle w:val="Bibliography"/>
        <w:rPr>
          <w:lang w:val="en-US"/>
        </w:rPr>
      </w:pPr>
      <w:r w:rsidRPr="00F25264">
        <w:fldChar w:fldCharType="begin"/>
      </w:r>
      <w:r w:rsidRPr="00F25264">
        <w:instrText xml:space="preserve"> ADDIN ZOTERO_BIBL {"uncited":[],"omitted":[],"custom":[]} CSL_BIBLIOGRAPHY </w:instrText>
      </w:r>
      <w:r w:rsidRPr="00F25264">
        <w:fldChar w:fldCharType="separate"/>
      </w:r>
      <w:r w:rsidR="005A21B2" w:rsidRPr="005A21B2">
        <w:rPr>
          <w:lang w:val="en-US"/>
        </w:rPr>
        <w:t xml:space="preserve">1. </w:t>
      </w:r>
      <w:r w:rsidR="005A21B2" w:rsidRPr="005A21B2">
        <w:rPr>
          <w:lang w:val="en-US"/>
        </w:rPr>
        <w:tab/>
        <w:t xml:space="preserve">Nunavut TB Control and Elimination Manual. Government of Nunavut.; 2010. </w:t>
      </w:r>
    </w:p>
    <w:p w14:paraId="1937B2CA" w14:textId="77777777" w:rsidR="005A21B2" w:rsidRPr="005A21B2" w:rsidRDefault="005A21B2" w:rsidP="005A21B2">
      <w:pPr>
        <w:pStyle w:val="Bibliography"/>
        <w:rPr>
          <w:lang w:val="en-US"/>
        </w:rPr>
      </w:pPr>
      <w:r w:rsidRPr="005A21B2">
        <w:rPr>
          <w:lang w:val="en-US"/>
        </w:rPr>
        <w:t xml:space="preserve">2. </w:t>
      </w:r>
      <w:r w:rsidRPr="005A21B2">
        <w:rPr>
          <w:lang w:val="en-US"/>
        </w:rPr>
        <w:tab/>
        <w:t>Long R. Canadian Tuberculosis Standards, 5th Edition [Internet]. 2007. Available from: http://publications.gc.ca/collections/Collection/H49-146-2000E.pdf</w:t>
      </w:r>
    </w:p>
    <w:p w14:paraId="08D2AE8D" w14:textId="77777777" w:rsidR="005A21B2" w:rsidRPr="005A21B2" w:rsidRDefault="005A21B2" w:rsidP="005A21B2">
      <w:pPr>
        <w:pStyle w:val="Bibliography"/>
        <w:rPr>
          <w:lang w:val="en-US"/>
        </w:rPr>
      </w:pPr>
      <w:r w:rsidRPr="005A21B2">
        <w:rPr>
          <w:lang w:val="en-US"/>
        </w:rPr>
        <w:t xml:space="preserve">3. </w:t>
      </w:r>
      <w:r w:rsidRPr="005A21B2">
        <w:rPr>
          <w:lang w:val="en-US"/>
        </w:rPr>
        <w:tab/>
      </w:r>
      <w:proofErr w:type="spellStart"/>
      <w:r w:rsidRPr="005A21B2">
        <w:rPr>
          <w:lang w:val="en-US"/>
        </w:rPr>
        <w:t>Alsdurf</w:t>
      </w:r>
      <w:proofErr w:type="spellEnd"/>
      <w:r w:rsidRPr="005A21B2">
        <w:rPr>
          <w:lang w:val="en-US"/>
        </w:rPr>
        <w:t xml:space="preserve"> H, Hill PC, </w:t>
      </w:r>
      <w:proofErr w:type="spellStart"/>
      <w:r w:rsidRPr="005A21B2">
        <w:rPr>
          <w:lang w:val="en-US"/>
        </w:rPr>
        <w:t>Matteelli</w:t>
      </w:r>
      <w:proofErr w:type="spellEnd"/>
      <w:r w:rsidRPr="005A21B2">
        <w:rPr>
          <w:lang w:val="en-US"/>
        </w:rPr>
        <w:t xml:space="preserve"> A, </w:t>
      </w:r>
      <w:proofErr w:type="spellStart"/>
      <w:r w:rsidRPr="005A21B2">
        <w:rPr>
          <w:lang w:val="en-US"/>
        </w:rPr>
        <w:t>Getahun</w:t>
      </w:r>
      <w:proofErr w:type="spellEnd"/>
      <w:r w:rsidRPr="005A21B2">
        <w:rPr>
          <w:lang w:val="en-US"/>
        </w:rPr>
        <w:t xml:space="preserve"> H, Menzies D. The cascade of care in diagnosis and treatment of latent tuberculosis infection: a systematic review and meta-analysis. The Lancet Infectious Diseases. 2016 Nov;16(11):1269–78. </w:t>
      </w:r>
    </w:p>
    <w:p w14:paraId="157F0F6C" w14:textId="77777777" w:rsidR="005A21B2" w:rsidRPr="005A21B2" w:rsidRDefault="005A21B2" w:rsidP="005A21B2">
      <w:pPr>
        <w:pStyle w:val="Bibliography"/>
        <w:rPr>
          <w:lang w:val="en-US"/>
        </w:rPr>
      </w:pPr>
      <w:r w:rsidRPr="005A21B2">
        <w:rPr>
          <w:lang w:val="en-US"/>
        </w:rPr>
        <w:t xml:space="preserve">4. </w:t>
      </w:r>
      <w:r w:rsidRPr="005A21B2">
        <w:rPr>
          <w:lang w:val="en-US"/>
        </w:rPr>
        <w:tab/>
        <w:t>Horsburgh CR, Goldberg S, Bethel J, Chen S, Colson PW, Hirsch-</w:t>
      </w:r>
      <w:proofErr w:type="spellStart"/>
      <w:r w:rsidRPr="005A21B2">
        <w:rPr>
          <w:lang w:val="en-US"/>
        </w:rPr>
        <w:t>Moverman</w:t>
      </w:r>
      <w:proofErr w:type="spellEnd"/>
      <w:r w:rsidRPr="005A21B2">
        <w:rPr>
          <w:lang w:val="en-US"/>
        </w:rPr>
        <w:t xml:space="preserve"> Y, et al. Latent TB infection treatment acceptance and completion in the United States and Canada. Chest. 2010 Feb;137(2):401–9. </w:t>
      </w:r>
    </w:p>
    <w:p w14:paraId="467F5E8D" w14:textId="77777777" w:rsidR="005A21B2" w:rsidRPr="005A21B2" w:rsidRDefault="005A21B2" w:rsidP="005A21B2">
      <w:pPr>
        <w:pStyle w:val="Bibliography"/>
        <w:rPr>
          <w:lang w:val="en-US"/>
        </w:rPr>
      </w:pPr>
      <w:r w:rsidRPr="005A21B2">
        <w:rPr>
          <w:lang w:val="en-US"/>
        </w:rPr>
        <w:t xml:space="preserve">5. </w:t>
      </w:r>
      <w:r w:rsidRPr="005A21B2">
        <w:rPr>
          <w:lang w:val="en-US"/>
        </w:rPr>
        <w:tab/>
        <w:t xml:space="preserve">Vachon J, Gallant V, Siu W. Tuberculosis in Canada, 2016. Canada Communicable Disease Report. 2018;44(3/4):75–81. </w:t>
      </w:r>
    </w:p>
    <w:p w14:paraId="1F5B2988" w14:textId="77777777" w:rsidR="005A21B2" w:rsidRPr="005A21B2" w:rsidRDefault="005A21B2" w:rsidP="005A21B2">
      <w:pPr>
        <w:pStyle w:val="Bibliography"/>
        <w:rPr>
          <w:lang w:val="en-US"/>
        </w:rPr>
      </w:pPr>
      <w:r w:rsidRPr="005A21B2">
        <w:rPr>
          <w:lang w:val="en-US"/>
        </w:rPr>
        <w:t xml:space="preserve">6. </w:t>
      </w:r>
      <w:r w:rsidRPr="005A21B2">
        <w:rPr>
          <w:lang w:val="en-US"/>
        </w:rPr>
        <w:tab/>
        <w:t xml:space="preserve">Kunst H, Khan KS. Age-related risk of hepatotoxicity in the treatment of latent tuberculosis infection: a systematic review. Int J </w:t>
      </w:r>
      <w:proofErr w:type="spellStart"/>
      <w:r w:rsidRPr="005A21B2">
        <w:rPr>
          <w:lang w:val="en-US"/>
        </w:rPr>
        <w:t>Tuberc</w:t>
      </w:r>
      <w:proofErr w:type="spellEnd"/>
      <w:r w:rsidRPr="005A21B2">
        <w:rPr>
          <w:lang w:val="en-US"/>
        </w:rPr>
        <w:t xml:space="preserve"> Lung Dis. 2010 Nov;14(11):1374–81. </w:t>
      </w:r>
    </w:p>
    <w:p w14:paraId="075505E0" w14:textId="77777777" w:rsidR="005A21B2" w:rsidRPr="005A21B2" w:rsidRDefault="005A21B2" w:rsidP="005A21B2">
      <w:pPr>
        <w:pStyle w:val="Bibliography"/>
        <w:rPr>
          <w:lang w:val="en-US"/>
        </w:rPr>
      </w:pPr>
      <w:r w:rsidRPr="005A21B2">
        <w:rPr>
          <w:lang w:val="en-US"/>
        </w:rPr>
        <w:t xml:space="preserve">7. </w:t>
      </w:r>
      <w:r w:rsidRPr="005A21B2">
        <w:rPr>
          <w:lang w:val="en-US"/>
        </w:rPr>
        <w:tab/>
        <w:t xml:space="preserve">Hosford JD, von </w:t>
      </w:r>
      <w:proofErr w:type="spellStart"/>
      <w:r w:rsidRPr="005A21B2">
        <w:rPr>
          <w:lang w:val="en-US"/>
        </w:rPr>
        <w:t>Fricken</w:t>
      </w:r>
      <w:proofErr w:type="spellEnd"/>
      <w:r w:rsidRPr="005A21B2">
        <w:rPr>
          <w:lang w:val="en-US"/>
        </w:rPr>
        <w:t xml:space="preserve"> ME, </w:t>
      </w:r>
      <w:proofErr w:type="spellStart"/>
      <w:r w:rsidRPr="005A21B2">
        <w:rPr>
          <w:lang w:val="en-US"/>
        </w:rPr>
        <w:t>Lauzardo</w:t>
      </w:r>
      <w:proofErr w:type="spellEnd"/>
      <w:r w:rsidRPr="005A21B2">
        <w:rPr>
          <w:lang w:val="en-US"/>
        </w:rPr>
        <w:t xml:space="preserve"> M, Chang M, Dai Y, Lyon JA, et al. Hepatotoxicity from </w:t>
      </w:r>
      <w:proofErr w:type="spellStart"/>
      <w:r w:rsidRPr="005A21B2">
        <w:rPr>
          <w:lang w:val="en-US"/>
        </w:rPr>
        <w:t>antituberculous</w:t>
      </w:r>
      <w:proofErr w:type="spellEnd"/>
      <w:r w:rsidRPr="005A21B2">
        <w:rPr>
          <w:lang w:val="en-US"/>
        </w:rPr>
        <w:t xml:space="preserve"> therapy in the elderly: a systematic review. Tuberculosis (</w:t>
      </w:r>
      <w:proofErr w:type="spellStart"/>
      <w:r w:rsidRPr="005A21B2">
        <w:rPr>
          <w:lang w:val="en-US"/>
        </w:rPr>
        <w:t>Edinb</w:t>
      </w:r>
      <w:proofErr w:type="spellEnd"/>
      <w:r w:rsidRPr="005A21B2">
        <w:rPr>
          <w:lang w:val="en-US"/>
        </w:rPr>
        <w:t xml:space="preserve">). 2015 Mar;95(2):112–22. </w:t>
      </w:r>
    </w:p>
    <w:p w14:paraId="63CF1014" w14:textId="77777777" w:rsidR="005A21B2" w:rsidRPr="005A21B2" w:rsidRDefault="005A21B2" w:rsidP="005A21B2">
      <w:pPr>
        <w:pStyle w:val="Bibliography"/>
        <w:rPr>
          <w:lang w:val="en-US"/>
        </w:rPr>
      </w:pPr>
      <w:r w:rsidRPr="005A21B2">
        <w:rPr>
          <w:lang w:val="en-US"/>
        </w:rPr>
        <w:t xml:space="preserve">8. </w:t>
      </w:r>
      <w:r w:rsidRPr="005A21B2">
        <w:rPr>
          <w:lang w:val="en-US"/>
        </w:rPr>
        <w:tab/>
        <w:t xml:space="preserve">Horton KC, MacPherson P, </w:t>
      </w:r>
      <w:proofErr w:type="spellStart"/>
      <w:r w:rsidRPr="005A21B2">
        <w:rPr>
          <w:lang w:val="en-US"/>
        </w:rPr>
        <w:t>Houben</w:t>
      </w:r>
      <w:proofErr w:type="spellEnd"/>
      <w:r w:rsidRPr="005A21B2">
        <w:rPr>
          <w:lang w:val="en-US"/>
        </w:rPr>
        <w:t xml:space="preserve"> RMGJ, White RG, Corbett EL. Sex Differences in Tuberculosis Burden and Notifications in Low- and Middle-Income Countries: A Systematic Review and Meta-analysis. </w:t>
      </w:r>
      <w:proofErr w:type="spellStart"/>
      <w:r w:rsidRPr="005A21B2">
        <w:rPr>
          <w:lang w:val="en-US"/>
        </w:rPr>
        <w:t>PLoS</w:t>
      </w:r>
      <w:proofErr w:type="spellEnd"/>
      <w:r w:rsidRPr="005A21B2">
        <w:rPr>
          <w:lang w:val="en-US"/>
        </w:rPr>
        <w:t xml:space="preserve"> Med. 2016 Sep;13(9</w:t>
      </w:r>
      <w:proofErr w:type="gramStart"/>
      <w:r w:rsidRPr="005A21B2">
        <w:rPr>
          <w:lang w:val="en-US"/>
        </w:rPr>
        <w:t>):e</w:t>
      </w:r>
      <w:proofErr w:type="gramEnd"/>
      <w:r w:rsidRPr="005A21B2">
        <w:rPr>
          <w:lang w:val="en-US"/>
        </w:rPr>
        <w:t xml:space="preserve">1002119. </w:t>
      </w:r>
    </w:p>
    <w:p w14:paraId="19A8C7D4" w14:textId="77777777" w:rsidR="005A21B2" w:rsidRPr="005A21B2" w:rsidRDefault="005A21B2" w:rsidP="005A21B2">
      <w:pPr>
        <w:pStyle w:val="Bibliography"/>
        <w:rPr>
          <w:lang w:val="en-US"/>
        </w:rPr>
      </w:pPr>
      <w:r w:rsidRPr="005A21B2">
        <w:rPr>
          <w:lang w:val="en-US"/>
        </w:rPr>
        <w:t xml:space="preserve">9. </w:t>
      </w:r>
      <w:r w:rsidRPr="005A21B2">
        <w:rPr>
          <w:lang w:val="en-US"/>
        </w:rPr>
        <w:tab/>
        <w:t xml:space="preserve">Diwan VK, Thorson A. Sex, gender, and tuberculosis. Lancet. 1999 Mar 20;353(9157):1000–1. </w:t>
      </w:r>
    </w:p>
    <w:p w14:paraId="7B06CD74" w14:textId="77777777" w:rsidR="005A21B2" w:rsidRPr="005A21B2" w:rsidRDefault="005A21B2" w:rsidP="005A21B2">
      <w:pPr>
        <w:pStyle w:val="Bibliography"/>
        <w:rPr>
          <w:lang w:val="en-US"/>
        </w:rPr>
      </w:pPr>
      <w:r w:rsidRPr="005A21B2">
        <w:rPr>
          <w:lang w:val="en-US"/>
        </w:rPr>
        <w:t xml:space="preserve">10. </w:t>
      </w:r>
      <w:r w:rsidRPr="005A21B2">
        <w:rPr>
          <w:lang w:val="en-US"/>
        </w:rPr>
        <w:tab/>
        <w:t xml:space="preserve">Alvarez GG, </w:t>
      </w:r>
      <w:proofErr w:type="spellStart"/>
      <w:r w:rsidRPr="005A21B2">
        <w:rPr>
          <w:lang w:val="en-US"/>
        </w:rPr>
        <w:t>VanDyk</w:t>
      </w:r>
      <w:proofErr w:type="spellEnd"/>
      <w:r w:rsidRPr="005A21B2">
        <w:rPr>
          <w:lang w:val="en-US"/>
        </w:rPr>
        <w:t xml:space="preserve"> DD, Aaron SD, Cameron DW, Davies N, Stephen N, et al. </w:t>
      </w:r>
      <w:proofErr w:type="spellStart"/>
      <w:r w:rsidRPr="005A21B2">
        <w:rPr>
          <w:lang w:val="en-US"/>
        </w:rPr>
        <w:t>Taima</w:t>
      </w:r>
      <w:proofErr w:type="spellEnd"/>
      <w:r w:rsidRPr="005A21B2">
        <w:rPr>
          <w:lang w:val="en-US"/>
        </w:rPr>
        <w:t xml:space="preserve"> (stop) TB: the impact of a multifaceted TB awareness and door-to-door campaign in residential areas of high risk for TB in Iqaluit, Nunavut. </w:t>
      </w:r>
      <w:proofErr w:type="spellStart"/>
      <w:r w:rsidRPr="005A21B2">
        <w:rPr>
          <w:lang w:val="en-US"/>
        </w:rPr>
        <w:t>PLoS</w:t>
      </w:r>
      <w:proofErr w:type="spellEnd"/>
      <w:r w:rsidRPr="005A21B2">
        <w:rPr>
          <w:lang w:val="en-US"/>
        </w:rPr>
        <w:t xml:space="preserve"> ONE. 2014;9(7</w:t>
      </w:r>
      <w:proofErr w:type="gramStart"/>
      <w:r w:rsidRPr="005A21B2">
        <w:rPr>
          <w:lang w:val="en-US"/>
        </w:rPr>
        <w:t>):e</w:t>
      </w:r>
      <w:proofErr w:type="gramEnd"/>
      <w:r w:rsidRPr="005A21B2">
        <w:rPr>
          <w:lang w:val="en-US"/>
        </w:rPr>
        <w:t xml:space="preserve">100975. </w:t>
      </w:r>
    </w:p>
    <w:p w14:paraId="4F04D93F" w14:textId="77777777" w:rsidR="005A21B2" w:rsidRPr="005A21B2" w:rsidRDefault="005A21B2" w:rsidP="005A21B2">
      <w:pPr>
        <w:pStyle w:val="Bibliography"/>
        <w:rPr>
          <w:lang w:val="en-US"/>
        </w:rPr>
      </w:pPr>
      <w:r w:rsidRPr="005A21B2">
        <w:rPr>
          <w:lang w:val="en-US"/>
        </w:rPr>
        <w:t xml:space="preserve">11. </w:t>
      </w:r>
      <w:r w:rsidRPr="005A21B2">
        <w:rPr>
          <w:lang w:val="en-US"/>
        </w:rPr>
        <w:tab/>
      </w:r>
      <w:proofErr w:type="spellStart"/>
      <w:r w:rsidRPr="005A21B2">
        <w:rPr>
          <w:lang w:val="en-US"/>
        </w:rPr>
        <w:t>Minich</w:t>
      </w:r>
      <w:proofErr w:type="spellEnd"/>
      <w:r w:rsidRPr="005A21B2">
        <w:rPr>
          <w:lang w:val="en-US"/>
        </w:rPr>
        <w:t xml:space="preserve"> K, </w:t>
      </w:r>
      <w:proofErr w:type="spellStart"/>
      <w:r w:rsidRPr="005A21B2">
        <w:rPr>
          <w:lang w:val="en-US"/>
        </w:rPr>
        <w:t>Saudny</w:t>
      </w:r>
      <w:proofErr w:type="spellEnd"/>
      <w:r w:rsidRPr="005A21B2">
        <w:rPr>
          <w:lang w:val="en-US"/>
        </w:rPr>
        <w:t xml:space="preserve"> H, Lennie C, Wood M, Williamson-Bathory L, Cao Z, et al. Inuit housing and homelessness: results from the International Polar Year Inuit Health Survey 2007-2008. Int J Circumpolar Health. 2011;70(5):520–31. </w:t>
      </w:r>
    </w:p>
    <w:p w14:paraId="080F1457" w14:textId="77777777" w:rsidR="005A21B2" w:rsidRPr="005A21B2" w:rsidRDefault="005A21B2" w:rsidP="005A21B2">
      <w:pPr>
        <w:pStyle w:val="Bibliography"/>
        <w:rPr>
          <w:lang w:val="en-US"/>
        </w:rPr>
      </w:pPr>
      <w:r w:rsidRPr="005A21B2">
        <w:rPr>
          <w:lang w:val="en-US"/>
        </w:rPr>
        <w:t xml:space="preserve">12. </w:t>
      </w:r>
      <w:r w:rsidRPr="005A21B2">
        <w:rPr>
          <w:lang w:val="en-US"/>
        </w:rPr>
        <w:tab/>
      </w:r>
      <w:proofErr w:type="spellStart"/>
      <w:r w:rsidRPr="005A21B2">
        <w:rPr>
          <w:lang w:val="en-US"/>
        </w:rPr>
        <w:t>Huet</w:t>
      </w:r>
      <w:proofErr w:type="spellEnd"/>
      <w:r w:rsidRPr="005A21B2">
        <w:rPr>
          <w:lang w:val="en-US"/>
        </w:rPr>
        <w:t xml:space="preserve"> C, Ford JD, Edge VL, Shirley J, King N, IHACC Research Team, et al. Food insecurity and food consumption by season in households with children in an Arctic city: a cross-sectional study. BMC Public Health. 2017 15;17(1):578. </w:t>
      </w:r>
    </w:p>
    <w:p w14:paraId="245E1ACB" w14:textId="3C5D326C" w:rsidR="005C346E" w:rsidRPr="00F25264" w:rsidRDefault="00EF7C96" w:rsidP="00F25264">
      <w:pPr>
        <w:spacing w:line="480" w:lineRule="auto"/>
      </w:pPr>
      <w:r w:rsidRPr="00F25264">
        <w:fldChar w:fldCharType="end"/>
      </w:r>
    </w:p>
    <w:sectPr w:rsidR="005C346E" w:rsidRPr="00F25264" w:rsidSect="00555F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B0A"/>
    <w:rsid w:val="0003336D"/>
    <w:rsid w:val="000457C6"/>
    <w:rsid w:val="00047484"/>
    <w:rsid w:val="00051AE1"/>
    <w:rsid w:val="00057DB3"/>
    <w:rsid w:val="00061BAC"/>
    <w:rsid w:val="0006310C"/>
    <w:rsid w:val="000634FF"/>
    <w:rsid w:val="000774E4"/>
    <w:rsid w:val="000A0AE8"/>
    <w:rsid w:val="000A12C0"/>
    <w:rsid w:val="000D0574"/>
    <w:rsid w:val="000F21EA"/>
    <w:rsid w:val="00102068"/>
    <w:rsid w:val="00102CDA"/>
    <w:rsid w:val="00112F96"/>
    <w:rsid w:val="00131061"/>
    <w:rsid w:val="00133DFC"/>
    <w:rsid w:val="001530BA"/>
    <w:rsid w:val="0015397B"/>
    <w:rsid w:val="001707EC"/>
    <w:rsid w:val="00175673"/>
    <w:rsid w:val="00181DB6"/>
    <w:rsid w:val="001848AE"/>
    <w:rsid w:val="00185C20"/>
    <w:rsid w:val="00191376"/>
    <w:rsid w:val="001A128C"/>
    <w:rsid w:val="001C0426"/>
    <w:rsid w:val="001E04B1"/>
    <w:rsid w:val="001E3A35"/>
    <w:rsid w:val="001F616E"/>
    <w:rsid w:val="00204E1F"/>
    <w:rsid w:val="00206084"/>
    <w:rsid w:val="00210FEE"/>
    <w:rsid w:val="00214048"/>
    <w:rsid w:val="00221E54"/>
    <w:rsid w:val="002242F1"/>
    <w:rsid w:val="0022519A"/>
    <w:rsid w:val="002579FC"/>
    <w:rsid w:val="002A3DB8"/>
    <w:rsid w:val="002A56FB"/>
    <w:rsid w:val="002D172E"/>
    <w:rsid w:val="002E56F4"/>
    <w:rsid w:val="002F2310"/>
    <w:rsid w:val="002F2BFD"/>
    <w:rsid w:val="0030219A"/>
    <w:rsid w:val="0030669A"/>
    <w:rsid w:val="00311542"/>
    <w:rsid w:val="00313ED5"/>
    <w:rsid w:val="003172CC"/>
    <w:rsid w:val="00320BDB"/>
    <w:rsid w:val="00325BBD"/>
    <w:rsid w:val="003406FB"/>
    <w:rsid w:val="00350C2B"/>
    <w:rsid w:val="00351DF4"/>
    <w:rsid w:val="003533FD"/>
    <w:rsid w:val="00361172"/>
    <w:rsid w:val="00361718"/>
    <w:rsid w:val="00375E1F"/>
    <w:rsid w:val="00376375"/>
    <w:rsid w:val="0038615E"/>
    <w:rsid w:val="00390A5B"/>
    <w:rsid w:val="00393A4D"/>
    <w:rsid w:val="003A1BC8"/>
    <w:rsid w:val="003A27A3"/>
    <w:rsid w:val="003B695D"/>
    <w:rsid w:val="003C3C32"/>
    <w:rsid w:val="003C5771"/>
    <w:rsid w:val="003C711E"/>
    <w:rsid w:val="003D0EC9"/>
    <w:rsid w:val="0040656D"/>
    <w:rsid w:val="00413614"/>
    <w:rsid w:val="004136DD"/>
    <w:rsid w:val="00424FA2"/>
    <w:rsid w:val="00426C21"/>
    <w:rsid w:val="00432111"/>
    <w:rsid w:val="004434EE"/>
    <w:rsid w:val="00447F8B"/>
    <w:rsid w:val="00450641"/>
    <w:rsid w:val="00475E20"/>
    <w:rsid w:val="004829D5"/>
    <w:rsid w:val="00487F89"/>
    <w:rsid w:val="00495095"/>
    <w:rsid w:val="00496272"/>
    <w:rsid w:val="004A43AC"/>
    <w:rsid w:val="004A6FFB"/>
    <w:rsid w:val="004B31FF"/>
    <w:rsid w:val="004F681B"/>
    <w:rsid w:val="00503DFF"/>
    <w:rsid w:val="00511E17"/>
    <w:rsid w:val="0051252D"/>
    <w:rsid w:val="005244BA"/>
    <w:rsid w:val="00532B0A"/>
    <w:rsid w:val="00543238"/>
    <w:rsid w:val="00545D42"/>
    <w:rsid w:val="00547044"/>
    <w:rsid w:val="00555FD0"/>
    <w:rsid w:val="00557D73"/>
    <w:rsid w:val="00560877"/>
    <w:rsid w:val="00563F26"/>
    <w:rsid w:val="00574BFE"/>
    <w:rsid w:val="0058025F"/>
    <w:rsid w:val="00590CEB"/>
    <w:rsid w:val="005A1FCE"/>
    <w:rsid w:val="005A21B2"/>
    <w:rsid w:val="005B5DD6"/>
    <w:rsid w:val="005C346E"/>
    <w:rsid w:val="005C3C3C"/>
    <w:rsid w:val="005C735F"/>
    <w:rsid w:val="005E6040"/>
    <w:rsid w:val="005E64C3"/>
    <w:rsid w:val="005F7F3A"/>
    <w:rsid w:val="00602924"/>
    <w:rsid w:val="006033A5"/>
    <w:rsid w:val="00611C31"/>
    <w:rsid w:val="00613932"/>
    <w:rsid w:val="006211FC"/>
    <w:rsid w:val="0062601F"/>
    <w:rsid w:val="00642D01"/>
    <w:rsid w:val="006503A0"/>
    <w:rsid w:val="00657ADC"/>
    <w:rsid w:val="0068385C"/>
    <w:rsid w:val="006954D2"/>
    <w:rsid w:val="006A0875"/>
    <w:rsid w:val="006A6715"/>
    <w:rsid w:val="006E106E"/>
    <w:rsid w:val="006E7569"/>
    <w:rsid w:val="006F352B"/>
    <w:rsid w:val="0072071D"/>
    <w:rsid w:val="007228D7"/>
    <w:rsid w:val="007327D1"/>
    <w:rsid w:val="00734970"/>
    <w:rsid w:val="00753BAE"/>
    <w:rsid w:val="00755CA9"/>
    <w:rsid w:val="00762CBA"/>
    <w:rsid w:val="00791654"/>
    <w:rsid w:val="00795A81"/>
    <w:rsid w:val="007A47F6"/>
    <w:rsid w:val="007B3ADC"/>
    <w:rsid w:val="007B3D04"/>
    <w:rsid w:val="007B7B50"/>
    <w:rsid w:val="007D73C5"/>
    <w:rsid w:val="007E6B37"/>
    <w:rsid w:val="00800B65"/>
    <w:rsid w:val="0081600E"/>
    <w:rsid w:val="008224B0"/>
    <w:rsid w:val="00823FAE"/>
    <w:rsid w:val="00824B15"/>
    <w:rsid w:val="008309B1"/>
    <w:rsid w:val="00836F31"/>
    <w:rsid w:val="00842400"/>
    <w:rsid w:val="00846BA5"/>
    <w:rsid w:val="008569FD"/>
    <w:rsid w:val="00860B80"/>
    <w:rsid w:val="00875507"/>
    <w:rsid w:val="0088026E"/>
    <w:rsid w:val="00886F02"/>
    <w:rsid w:val="008915B9"/>
    <w:rsid w:val="00893B40"/>
    <w:rsid w:val="008A4A16"/>
    <w:rsid w:val="008B36B4"/>
    <w:rsid w:val="008B6909"/>
    <w:rsid w:val="008E4D56"/>
    <w:rsid w:val="008F415E"/>
    <w:rsid w:val="00901844"/>
    <w:rsid w:val="00902B2F"/>
    <w:rsid w:val="009312A3"/>
    <w:rsid w:val="00936B5D"/>
    <w:rsid w:val="009608C2"/>
    <w:rsid w:val="0096235D"/>
    <w:rsid w:val="00962A97"/>
    <w:rsid w:val="009644B9"/>
    <w:rsid w:val="00987C45"/>
    <w:rsid w:val="0099160A"/>
    <w:rsid w:val="00995449"/>
    <w:rsid w:val="00996D65"/>
    <w:rsid w:val="009A215F"/>
    <w:rsid w:val="009A2570"/>
    <w:rsid w:val="009C02D7"/>
    <w:rsid w:val="009C60AB"/>
    <w:rsid w:val="009C72A2"/>
    <w:rsid w:val="009C7DC9"/>
    <w:rsid w:val="009E3C13"/>
    <w:rsid w:val="009E4B48"/>
    <w:rsid w:val="009F12EA"/>
    <w:rsid w:val="009F4924"/>
    <w:rsid w:val="00A130B3"/>
    <w:rsid w:val="00A2227E"/>
    <w:rsid w:val="00A2340F"/>
    <w:rsid w:val="00A32776"/>
    <w:rsid w:val="00A32938"/>
    <w:rsid w:val="00A33142"/>
    <w:rsid w:val="00A36461"/>
    <w:rsid w:val="00A44A22"/>
    <w:rsid w:val="00A650C8"/>
    <w:rsid w:val="00A80F93"/>
    <w:rsid w:val="00A8486D"/>
    <w:rsid w:val="00A97642"/>
    <w:rsid w:val="00AA7D06"/>
    <w:rsid w:val="00AC07A3"/>
    <w:rsid w:val="00AC4D20"/>
    <w:rsid w:val="00AC5B07"/>
    <w:rsid w:val="00AC7669"/>
    <w:rsid w:val="00AD15A0"/>
    <w:rsid w:val="00AF4BB9"/>
    <w:rsid w:val="00B00A0B"/>
    <w:rsid w:val="00B10794"/>
    <w:rsid w:val="00B15389"/>
    <w:rsid w:val="00B22740"/>
    <w:rsid w:val="00B26A6B"/>
    <w:rsid w:val="00B27B52"/>
    <w:rsid w:val="00B46ECB"/>
    <w:rsid w:val="00B52789"/>
    <w:rsid w:val="00B602F3"/>
    <w:rsid w:val="00B63449"/>
    <w:rsid w:val="00B70AD8"/>
    <w:rsid w:val="00B716D7"/>
    <w:rsid w:val="00B77739"/>
    <w:rsid w:val="00B81CA2"/>
    <w:rsid w:val="00B964EF"/>
    <w:rsid w:val="00BA512B"/>
    <w:rsid w:val="00BB7702"/>
    <w:rsid w:val="00BD1BC4"/>
    <w:rsid w:val="00BD5FB0"/>
    <w:rsid w:val="00BF17D6"/>
    <w:rsid w:val="00C108BF"/>
    <w:rsid w:val="00C12BA9"/>
    <w:rsid w:val="00C131BE"/>
    <w:rsid w:val="00C2737E"/>
    <w:rsid w:val="00C36730"/>
    <w:rsid w:val="00C5606F"/>
    <w:rsid w:val="00C77A9B"/>
    <w:rsid w:val="00C86C44"/>
    <w:rsid w:val="00C905F8"/>
    <w:rsid w:val="00C95D72"/>
    <w:rsid w:val="00CA7B0B"/>
    <w:rsid w:val="00CB5EC3"/>
    <w:rsid w:val="00CC47E7"/>
    <w:rsid w:val="00CD56F2"/>
    <w:rsid w:val="00CD75AA"/>
    <w:rsid w:val="00CD7F1D"/>
    <w:rsid w:val="00CE0D18"/>
    <w:rsid w:val="00CF64C8"/>
    <w:rsid w:val="00D0465A"/>
    <w:rsid w:val="00D11132"/>
    <w:rsid w:val="00D167F4"/>
    <w:rsid w:val="00D200BC"/>
    <w:rsid w:val="00D21691"/>
    <w:rsid w:val="00D3009A"/>
    <w:rsid w:val="00D323EC"/>
    <w:rsid w:val="00D535A6"/>
    <w:rsid w:val="00D56426"/>
    <w:rsid w:val="00D644CE"/>
    <w:rsid w:val="00D76244"/>
    <w:rsid w:val="00D77999"/>
    <w:rsid w:val="00D8515C"/>
    <w:rsid w:val="00D85F99"/>
    <w:rsid w:val="00D96331"/>
    <w:rsid w:val="00DB5B5F"/>
    <w:rsid w:val="00DC0FF1"/>
    <w:rsid w:val="00DC21F7"/>
    <w:rsid w:val="00DC560D"/>
    <w:rsid w:val="00DE40E4"/>
    <w:rsid w:val="00DF4743"/>
    <w:rsid w:val="00E131C0"/>
    <w:rsid w:val="00E1376D"/>
    <w:rsid w:val="00E1378E"/>
    <w:rsid w:val="00E2451B"/>
    <w:rsid w:val="00E30897"/>
    <w:rsid w:val="00E36F09"/>
    <w:rsid w:val="00E400A0"/>
    <w:rsid w:val="00E529EE"/>
    <w:rsid w:val="00E66596"/>
    <w:rsid w:val="00E67813"/>
    <w:rsid w:val="00E70DB5"/>
    <w:rsid w:val="00E74818"/>
    <w:rsid w:val="00E75A60"/>
    <w:rsid w:val="00E9238F"/>
    <w:rsid w:val="00EA09B5"/>
    <w:rsid w:val="00EA5371"/>
    <w:rsid w:val="00EB4233"/>
    <w:rsid w:val="00EC112C"/>
    <w:rsid w:val="00ED6EF4"/>
    <w:rsid w:val="00EF7C96"/>
    <w:rsid w:val="00F10641"/>
    <w:rsid w:val="00F107BC"/>
    <w:rsid w:val="00F25264"/>
    <w:rsid w:val="00F31639"/>
    <w:rsid w:val="00F35694"/>
    <w:rsid w:val="00F524A4"/>
    <w:rsid w:val="00F85326"/>
    <w:rsid w:val="00FB7445"/>
    <w:rsid w:val="00FD15F7"/>
    <w:rsid w:val="00FD4D85"/>
    <w:rsid w:val="00FD6184"/>
    <w:rsid w:val="00FE5FBF"/>
    <w:rsid w:val="00FF3C7B"/>
    <w:rsid w:val="00FF3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771B8"/>
  <w14:defaultImageDpi w14:val="32767"/>
  <w15:chartTrackingRefBased/>
  <w15:docId w15:val="{4DBF4A19-72BD-4B44-8713-732C5EC49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F524A4"/>
    <w:pPr>
      <w:autoSpaceDE w:val="0"/>
      <w:autoSpaceDN w:val="0"/>
      <w:adjustRightInd w:val="0"/>
      <w:spacing w:before="100" w:after="100"/>
    </w:pPr>
    <w:rPr>
      <w:rFonts w:ascii="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23FAE"/>
    <w:rPr>
      <w:sz w:val="16"/>
      <w:szCs w:val="16"/>
    </w:rPr>
  </w:style>
  <w:style w:type="paragraph" w:styleId="CommentText">
    <w:name w:val="annotation text"/>
    <w:basedOn w:val="Normal"/>
    <w:link w:val="CommentTextChar"/>
    <w:uiPriority w:val="99"/>
    <w:semiHidden/>
    <w:unhideWhenUsed/>
    <w:rsid w:val="00823FAE"/>
    <w:rPr>
      <w:sz w:val="20"/>
      <w:szCs w:val="20"/>
    </w:rPr>
  </w:style>
  <w:style w:type="character" w:customStyle="1" w:styleId="CommentTextChar">
    <w:name w:val="Comment Text Char"/>
    <w:basedOn w:val="DefaultParagraphFont"/>
    <w:link w:val="CommentText"/>
    <w:uiPriority w:val="99"/>
    <w:semiHidden/>
    <w:rsid w:val="00823FAE"/>
    <w:rPr>
      <w:sz w:val="20"/>
      <w:szCs w:val="20"/>
    </w:rPr>
  </w:style>
  <w:style w:type="paragraph" w:styleId="CommentSubject">
    <w:name w:val="annotation subject"/>
    <w:basedOn w:val="CommentText"/>
    <w:next w:val="CommentText"/>
    <w:link w:val="CommentSubjectChar"/>
    <w:uiPriority w:val="99"/>
    <w:semiHidden/>
    <w:unhideWhenUsed/>
    <w:rsid w:val="00823FAE"/>
    <w:rPr>
      <w:b/>
      <w:bCs/>
    </w:rPr>
  </w:style>
  <w:style w:type="character" w:customStyle="1" w:styleId="CommentSubjectChar">
    <w:name w:val="Comment Subject Char"/>
    <w:basedOn w:val="CommentTextChar"/>
    <w:link w:val="CommentSubject"/>
    <w:uiPriority w:val="99"/>
    <w:semiHidden/>
    <w:rsid w:val="00823FAE"/>
    <w:rPr>
      <w:b/>
      <w:bCs/>
      <w:sz w:val="20"/>
      <w:szCs w:val="20"/>
    </w:rPr>
  </w:style>
  <w:style w:type="paragraph" w:styleId="BalloonText">
    <w:name w:val="Balloon Text"/>
    <w:basedOn w:val="Normal"/>
    <w:link w:val="BalloonTextChar"/>
    <w:uiPriority w:val="99"/>
    <w:semiHidden/>
    <w:unhideWhenUsed/>
    <w:rsid w:val="00823FAE"/>
    <w:rPr>
      <w:sz w:val="18"/>
      <w:szCs w:val="18"/>
    </w:rPr>
  </w:style>
  <w:style w:type="character" w:customStyle="1" w:styleId="BalloonTextChar">
    <w:name w:val="Balloon Text Char"/>
    <w:basedOn w:val="DefaultParagraphFont"/>
    <w:link w:val="BalloonText"/>
    <w:uiPriority w:val="99"/>
    <w:semiHidden/>
    <w:rsid w:val="00823FAE"/>
    <w:rPr>
      <w:rFonts w:ascii="Times New Roman" w:hAnsi="Times New Roman" w:cs="Times New Roman"/>
      <w:sz w:val="18"/>
      <w:szCs w:val="18"/>
    </w:rPr>
  </w:style>
  <w:style w:type="paragraph" w:styleId="Bibliography">
    <w:name w:val="Bibliography"/>
    <w:basedOn w:val="Normal"/>
    <w:next w:val="Normal"/>
    <w:uiPriority w:val="37"/>
    <w:unhideWhenUsed/>
    <w:rsid w:val="00EF7C96"/>
    <w:pPr>
      <w:tabs>
        <w:tab w:val="left" w:pos="380"/>
      </w:tabs>
      <w:spacing w:after="240"/>
      <w:ind w:left="384" w:hanging="384"/>
    </w:pPr>
  </w:style>
  <w:style w:type="character" w:customStyle="1" w:styleId="titulo1">
    <w:name w:val="titulo1"/>
    <w:rsid w:val="00A130B3"/>
    <w:rPr>
      <w:lang w:val="en-US"/>
    </w:rPr>
  </w:style>
  <w:style w:type="paragraph" w:customStyle="1" w:styleId="Body">
    <w:name w:val="Body"/>
    <w:rsid w:val="00A130B3"/>
    <w:pPr>
      <w:spacing w:after="200" w:line="276" w:lineRule="auto"/>
    </w:pPr>
    <w:rPr>
      <w:rFonts w:ascii="Calibri" w:eastAsia="Calibri" w:hAnsi="Calibri" w:cs="Calibri"/>
      <w:color w:val="000000"/>
      <w:sz w:val="22"/>
      <w:szCs w:val="22"/>
      <w:u w:color="000000"/>
      <w:lang w:eastAsia="en-CA"/>
    </w:rPr>
  </w:style>
  <w:style w:type="paragraph" w:customStyle="1" w:styleId="p1">
    <w:name w:val="p1"/>
    <w:basedOn w:val="Normal"/>
    <w:rsid w:val="00A130B3"/>
    <w:rPr>
      <w:rFonts w:ascii="Helvetica" w:eastAsia="Times New Roman" w:hAnsi="Helvetica"/>
      <w:color w:val="666666"/>
      <w:sz w:val="20"/>
      <w:szCs w:val="20"/>
    </w:rPr>
  </w:style>
  <w:style w:type="table" w:styleId="TableGrid">
    <w:name w:val="Table Grid"/>
    <w:basedOn w:val="TableNormal"/>
    <w:uiPriority w:val="39"/>
    <w:rsid w:val="00D64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A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13668">
      <w:bodyDiv w:val="1"/>
      <w:marLeft w:val="0"/>
      <w:marRight w:val="0"/>
      <w:marTop w:val="0"/>
      <w:marBottom w:val="0"/>
      <w:divBdr>
        <w:top w:val="none" w:sz="0" w:space="0" w:color="auto"/>
        <w:left w:val="none" w:sz="0" w:space="0" w:color="auto"/>
        <w:bottom w:val="none" w:sz="0" w:space="0" w:color="auto"/>
        <w:right w:val="none" w:sz="0" w:space="0" w:color="auto"/>
      </w:divBdr>
    </w:div>
    <w:div w:id="1153521057">
      <w:bodyDiv w:val="1"/>
      <w:marLeft w:val="0"/>
      <w:marRight w:val="0"/>
      <w:marTop w:val="0"/>
      <w:marBottom w:val="0"/>
      <w:divBdr>
        <w:top w:val="none" w:sz="0" w:space="0" w:color="auto"/>
        <w:left w:val="none" w:sz="0" w:space="0" w:color="auto"/>
        <w:bottom w:val="none" w:sz="0" w:space="0" w:color="auto"/>
        <w:right w:val="none" w:sz="0" w:space="0" w:color="auto"/>
      </w:divBdr>
    </w:div>
    <w:div w:id="144391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6757</Words>
  <Characters>38518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Pease</dc:creator>
  <cp:keywords/>
  <dc:description/>
  <cp:lastModifiedBy>Chris Pease</cp:lastModifiedBy>
  <cp:revision>2</cp:revision>
  <dcterms:created xsi:type="dcterms:W3CDTF">2019-10-07T17:01:00Z</dcterms:created>
  <dcterms:modified xsi:type="dcterms:W3CDTF">2019-10-07T17:01:00Z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id="MwPsjrnb"/&gt;&lt;style id="http://www.zotero.org/styles/vancouver" locale="en-US" hasBibliography="1" bibliographyStyleHasBeenSet="1"/&gt;&lt;prefs&gt;&lt;pref name="fieldType" value="Field"/&gt;&lt;/prefs&gt;&lt;/data&gt;</vt:lpwstr>
  </property>
</Properties>
</file>