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8B5D6" w14:textId="01711E6B" w:rsidR="008C7E2A" w:rsidRPr="00D029EC" w:rsidRDefault="00BA6FFB" w:rsidP="00C923CD">
      <w:pPr>
        <w:suppressLineNumbers/>
        <w:spacing w:after="0" w:line="240" w:lineRule="auto"/>
        <w:jc w:val="both"/>
        <w:rPr>
          <w:b/>
          <w:i/>
          <w:sz w:val="28"/>
        </w:rPr>
      </w:pPr>
      <w:r w:rsidRPr="00D029EC">
        <w:rPr>
          <w:b/>
          <w:i/>
          <w:sz w:val="28"/>
        </w:rPr>
        <w:t>Comprendre l</w:t>
      </w:r>
      <w:r w:rsidR="003275A7" w:rsidRPr="00D029EC">
        <w:rPr>
          <w:b/>
          <w:i/>
          <w:sz w:val="28"/>
        </w:rPr>
        <w:t>’</w:t>
      </w:r>
      <w:r w:rsidRPr="00D029EC">
        <w:rPr>
          <w:b/>
          <w:i/>
          <w:sz w:val="28"/>
        </w:rPr>
        <w:t>état de la recherche sur les politiques et les systèmes de santé en Afrique occidentale et les besoins de renforcement des capacités : portée des tendances et des caractéristiques des publications à comité de lecture de 1990 à 2015</w:t>
      </w:r>
    </w:p>
    <w:p w14:paraId="60D48C5C" w14:textId="77777777" w:rsidR="008C7E2A" w:rsidRPr="00C923CD" w:rsidRDefault="008C7E2A" w:rsidP="00C923CD">
      <w:pPr>
        <w:suppressLineNumbers/>
        <w:spacing w:after="0" w:line="240" w:lineRule="auto"/>
        <w:jc w:val="both"/>
      </w:pPr>
    </w:p>
    <w:p w14:paraId="55199969" w14:textId="29285DA5" w:rsidR="008C7E2A" w:rsidRPr="00C923CD" w:rsidRDefault="008C7E2A" w:rsidP="00C923CD">
      <w:pPr>
        <w:suppressLineNumbers/>
        <w:spacing w:after="0" w:line="240" w:lineRule="auto"/>
        <w:jc w:val="both"/>
        <w:rPr>
          <w:b/>
          <w:lang w:val="es-ES"/>
        </w:rPr>
      </w:pPr>
      <w:r w:rsidRPr="00C923CD">
        <w:rPr>
          <w:b/>
          <w:lang w:val="es-ES"/>
        </w:rPr>
        <w:t>Selina Defor (1)*, Aku Kwamie (1), Irene Akua Agyepong (1)</w:t>
      </w:r>
    </w:p>
    <w:p w14:paraId="521F31E0" w14:textId="77777777" w:rsidR="008C7E2A" w:rsidRPr="00C923CD" w:rsidRDefault="008C7E2A" w:rsidP="00C923CD">
      <w:pPr>
        <w:suppressLineNumbers/>
        <w:spacing w:after="0" w:line="240" w:lineRule="auto"/>
        <w:jc w:val="both"/>
      </w:pPr>
      <w:r w:rsidRPr="00C923CD">
        <w:t>*Auteure-ressource</w:t>
      </w:r>
    </w:p>
    <w:p w14:paraId="11C94B53" w14:textId="77777777" w:rsidR="008C7E2A" w:rsidRPr="00C923CD" w:rsidRDefault="008C7E2A" w:rsidP="00C923CD">
      <w:pPr>
        <w:suppressLineNumbers/>
        <w:spacing w:after="0" w:line="240" w:lineRule="auto"/>
        <w:jc w:val="both"/>
      </w:pPr>
      <w:r w:rsidRPr="00C923CD">
        <w:t>(1) Service de santé du Ghana, Division de la recherche et du développement</w:t>
      </w:r>
    </w:p>
    <w:p w14:paraId="725B66AC" w14:textId="77777777" w:rsidR="008C7E2A" w:rsidRPr="00C923CD" w:rsidRDefault="008C7E2A" w:rsidP="00C923CD">
      <w:pPr>
        <w:suppressLineNumbers/>
        <w:spacing w:after="0" w:line="240" w:lineRule="auto"/>
        <w:jc w:val="both"/>
      </w:pPr>
    </w:p>
    <w:p w14:paraId="377EC52D" w14:textId="77777777" w:rsidR="008C7E2A" w:rsidRPr="00C923CD" w:rsidRDefault="008C7E2A" w:rsidP="00C923CD">
      <w:pPr>
        <w:suppressLineNumbers/>
        <w:spacing w:after="0" w:line="240" w:lineRule="auto"/>
        <w:jc w:val="both"/>
        <w:rPr>
          <w:b/>
        </w:rPr>
      </w:pPr>
    </w:p>
    <w:p w14:paraId="155F3062" w14:textId="77777777" w:rsidR="008C7E2A" w:rsidRPr="00C923CD" w:rsidRDefault="008C7E2A" w:rsidP="00C923CD">
      <w:pPr>
        <w:suppressLineNumbers/>
        <w:spacing w:after="0" w:line="240" w:lineRule="auto"/>
        <w:jc w:val="both"/>
        <w:rPr>
          <w:b/>
        </w:rPr>
      </w:pPr>
    </w:p>
    <w:p w14:paraId="642C0910" w14:textId="77777777" w:rsidR="008C7E2A" w:rsidRPr="00C923CD" w:rsidRDefault="008C7E2A" w:rsidP="00C923CD">
      <w:pPr>
        <w:suppressLineNumbers/>
        <w:spacing w:after="0" w:line="240" w:lineRule="auto"/>
        <w:jc w:val="both"/>
        <w:outlineLvl w:val="0"/>
        <w:rPr>
          <w:rFonts w:cs="Times New Roman"/>
          <w:b/>
        </w:rPr>
      </w:pPr>
      <w:r w:rsidRPr="00C923CD">
        <w:rPr>
          <w:b/>
        </w:rPr>
        <w:t>Résumé</w:t>
      </w:r>
    </w:p>
    <w:p w14:paraId="08649D15" w14:textId="77777777" w:rsidR="008C7E2A" w:rsidRPr="00C923CD" w:rsidRDefault="008C7E2A" w:rsidP="00C923CD">
      <w:pPr>
        <w:suppressLineNumbers/>
        <w:spacing w:after="0" w:line="240" w:lineRule="auto"/>
        <w:jc w:val="both"/>
        <w:outlineLvl w:val="0"/>
        <w:rPr>
          <w:rFonts w:cs="Times New Roman"/>
          <w:b/>
        </w:rPr>
      </w:pPr>
      <w:r w:rsidRPr="00C923CD">
        <w:rPr>
          <w:b/>
        </w:rPr>
        <w:t>Contexte :</w:t>
      </w:r>
    </w:p>
    <w:p w14:paraId="16EAE22F" w14:textId="5246C65C" w:rsidR="008C7E2A" w:rsidRPr="00C923CD" w:rsidRDefault="008C7E2A" w:rsidP="00C923CD">
      <w:pPr>
        <w:suppressLineNumbers/>
        <w:spacing w:after="0" w:line="240" w:lineRule="auto"/>
        <w:jc w:val="both"/>
        <w:rPr>
          <w:rFonts w:cs="Times New Roman"/>
        </w:rPr>
      </w:pPr>
      <w:r w:rsidRPr="00C923CD">
        <w:t>Le besoin de données probantes gérées et produites localement pour orienter la prise de décision sur les politiques et les systèmes de santé et leur mise en oeuvre en Afrique occidentale reste urgent et la recherche sur les politiques et les systèmes de santé (RPSS) est un domaine ayant un grand potentiel pour relever les nombreux défis intransigeants en matière de santé de la sous-région. Cet article présente une analyse des tendances et des caractéristiques des publications à comité de lecture portant sur la RPSS à l</w:t>
      </w:r>
      <w:r w:rsidR="003275A7" w:rsidRPr="00C923CD">
        <w:t>’</w:t>
      </w:r>
      <w:r w:rsidRPr="00C923CD">
        <w:t>échelle de la Communauté économique des États de l</w:t>
      </w:r>
      <w:r w:rsidR="003275A7" w:rsidRPr="00C923CD">
        <w:t>’</w:t>
      </w:r>
      <w:r w:rsidRPr="00C923CD">
        <w:t>Afrique de l</w:t>
      </w:r>
      <w:r w:rsidR="003275A7" w:rsidRPr="00C923CD">
        <w:t>’</w:t>
      </w:r>
      <w:r w:rsidRPr="00C923CD">
        <w:t>Ouest (CEDEAO), afin d</w:t>
      </w:r>
      <w:r w:rsidR="003275A7" w:rsidRPr="00C923CD">
        <w:t>’</w:t>
      </w:r>
      <w:r w:rsidRPr="00C923CD">
        <w:t>aider à comprendre les tendances et les caractéristiques des publications de RPSS et le degré d</w:t>
      </w:r>
      <w:r w:rsidR="003275A7" w:rsidRPr="00C923CD">
        <w:t>’</w:t>
      </w:r>
      <w:r w:rsidRPr="00C923CD">
        <w:t>implication de chercheurs ouest-africains dans la production de données probantes de RPSS dans la sous-région Notre objectif était d</w:t>
      </w:r>
      <w:r w:rsidR="003275A7" w:rsidRPr="00C923CD">
        <w:t>’</w:t>
      </w:r>
      <w:r w:rsidRPr="00C923CD">
        <w:t>utiliser les résultats pour façonner l</w:t>
      </w:r>
      <w:r w:rsidR="003275A7" w:rsidRPr="00C923CD">
        <w:t>’</w:t>
      </w:r>
      <w:r w:rsidRPr="00C923CD">
        <w:t>élaboration d</w:t>
      </w:r>
      <w:r w:rsidR="003275A7" w:rsidRPr="00C923CD">
        <w:t>’</w:t>
      </w:r>
      <w:r w:rsidRPr="00C923CD">
        <w:t>une stratégie sous-régionale afin de renforcer la RPSS et son utilisation pour orienter l</w:t>
      </w:r>
      <w:r w:rsidR="003275A7" w:rsidRPr="00C923CD">
        <w:t>’</w:t>
      </w:r>
      <w:r w:rsidRPr="00C923CD">
        <w:t>élaboration et l</w:t>
      </w:r>
      <w:r w:rsidR="003275A7" w:rsidRPr="00C923CD">
        <w:t>’</w:t>
      </w:r>
      <w:r w:rsidRPr="00C923CD">
        <w:t>amélioration des résultats sur la santé.</w:t>
      </w:r>
    </w:p>
    <w:p w14:paraId="0C9D5C42" w14:textId="77777777" w:rsidR="00C923CD" w:rsidRDefault="00C923CD" w:rsidP="00C923CD">
      <w:pPr>
        <w:suppressLineNumbers/>
        <w:spacing w:after="0" w:line="240" w:lineRule="auto"/>
        <w:jc w:val="both"/>
        <w:outlineLvl w:val="0"/>
        <w:rPr>
          <w:b/>
        </w:rPr>
      </w:pPr>
    </w:p>
    <w:p w14:paraId="4BF3D75A" w14:textId="39293522" w:rsidR="008C7E2A" w:rsidRPr="00C923CD" w:rsidRDefault="008C7E2A" w:rsidP="00C923CD">
      <w:pPr>
        <w:suppressLineNumbers/>
        <w:spacing w:after="0" w:line="240" w:lineRule="auto"/>
        <w:jc w:val="both"/>
        <w:outlineLvl w:val="0"/>
        <w:rPr>
          <w:rFonts w:cs="Times New Roman"/>
          <w:b/>
        </w:rPr>
      </w:pPr>
      <w:r w:rsidRPr="00C923CD">
        <w:rPr>
          <w:b/>
        </w:rPr>
        <w:t>Méthod</w:t>
      </w:r>
      <w:r w:rsidR="004F7F27" w:rsidRPr="00C923CD">
        <w:rPr>
          <w:b/>
        </w:rPr>
        <w:t>ologi</w:t>
      </w:r>
      <w:r w:rsidRPr="00C923CD">
        <w:rPr>
          <w:b/>
        </w:rPr>
        <w:t>es :</w:t>
      </w:r>
    </w:p>
    <w:p w14:paraId="64996CF6" w14:textId="0374038D" w:rsidR="008C7E2A" w:rsidRPr="00C923CD" w:rsidRDefault="008C7E2A" w:rsidP="00C923CD">
      <w:pPr>
        <w:suppressLineNumbers/>
        <w:spacing w:after="0" w:line="240" w:lineRule="auto"/>
        <w:jc w:val="both"/>
        <w:rPr>
          <w:rFonts w:eastAsia="Times New Roman" w:cs="Times New Roman"/>
        </w:rPr>
      </w:pPr>
      <w:r w:rsidRPr="00C923CD">
        <w:t>Un examen de la portée a été effectué sur une période de 25 ans de janvier 1990 à septembre 2015</w:t>
      </w:r>
      <w:r w:rsidR="007A6BD8" w:rsidRPr="00C923CD">
        <w:t xml:space="preserve">. </w:t>
      </w:r>
      <w:r w:rsidRPr="00C923CD">
        <w:t>Des recherches dans la documentation ont été menées en anglais et en français en utilisant Google Scholar, PubMed Central et CAIRN.INFO</w:t>
      </w:r>
      <w:r w:rsidR="007A6BD8" w:rsidRPr="00C923CD">
        <w:t xml:space="preserve">. </w:t>
      </w:r>
    </w:p>
    <w:p w14:paraId="0BE9173D" w14:textId="77777777" w:rsidR="00C923CD" w:rsidRDefault="00C923CD" w:rsidP="00C923CD">
      <w:pPr>
        <w:suppressLineNumbers/>
        <w:spacing w:after="0" w:line="240" w:lineRule="auto"/>
        <w:jc w:val="both"/>
        <w:outlineLvl w:val="0"/>
        <w:rPr>
          <w:b/>
        </w:rPr>
      </w:pPr>
    </w:p>
    <w:p w14:paraId="6CF60E54" w14:textId="77777777" w:rsidR="008C7E2A" w:rsidRPr="00C923CD" w:rsidRDefault="008C7E2A" w:rsidP="00C923CD">
      <w:pPr>
        <w:suppressLineNumbers/>
        <w:spacing w:after="0" w:line="240" w:lineRule="auto"/>
        <w:jc w:val="both"/>
        <w:outlineLvl w:val="0"/>
        <w:rPr>
          <w:rFonts w:cs="Times New Roman"/>
          <w:b/>
        </w:rPr>
      </w:pPr>
      <w:r w:rsidRPr="00C923CD">
        <w:rPr>
          <w:b/>
        </w:rPr>
        <w:t>Résultats :</w:t>
      </w:r>
    </w:p>
    <w:p w14:paraId="36909B1C" w14:textId="638F2CCB" w:rsidR="008C7E2A" w:rsidRPr="00C923CD" w:rsidRDefault="008C7E2A" w:rsidP="00C923CD">
      <w:pPr>
        <w:suppressLineNumbers/>
        <w:spacing w:after="0" w:line="240" w:lineRule="auto"/>
        <w:jc w:val="both"/>
        <w:rPr>
          <w:rFonts w:cs="Times New Roman"/>
        </w:rPr>
      </w:pPr>
      <w:r w:rsidRPr="00C923CD">
        <w:t>Au total, 246 articles ont fait l</w:t>
      </w:r>
      <w:r w:rsidR="003275A7" w:rsidRPr="00C923CD">
        <w:t>’</w:t>
      </w:r>
      <w:r w:rsidRPr="00C923CD">
        <w:t>objet d</w:t>
      </w:r>
      <w:r w:rsidR="003275A7" w:rsidRPr="00C923CD">
        <w:t>’</w:t>
      </w:r>
      <w:r w:rsidRPr="00C923CD">
        <w:t>une analyse statistique sur les 258 qui ont été téléchargés</w:t>
      </w:r>
      <w:r w:rsidR="007A6BD8" w:rsidRPr="00C923CD">
        <w:t xml:space="preserve">. </w:t>
      </w:r>
      <w:r w:rsidRPr="00C923CD">
        <w:t>Cinquante-quatre pour cent de ces articles étaient principalement rédigés par des auteurs ouest-africains. Les deux tiers des articles provenaient de trois des quinze pays de la CEDEAO, spécifiquement le Nigéria (28,86 %), le Burkina Faso (21,54 %) et le Ghana (17,07 %). La plupart des auteurs étaient basés dans des établissements universitaires et la participation d</w:t>
      </w:r>
      <w:r w:rsidR="003275A7" w:rsidRPr="00C923CD">
        <w:t>’</w:t>
      </w:r>
      <w:r w:rsidRPr="00C923CD">
        <w:t>auteurs de ministères de la Santé, d</w:t>
      </w:r>
      <w:r w:rsidR="003275A7" w:rsidRPr="00C923CD">
        <w:t>’</w:t>
      </w:r>
      <w:r w:rsidRPr="00C923CD">
        <w:t>hôpitaux et d</w:t>
      </w:r>
      <w:r w:rsidR="003275A7" w:rsidRPr="00C923CD">
        <w:t>’</w:t>
      </w:r>
      <w:r w:rsidRPr="00C923CD">
        <w:t>ONG était limitée. L</w:t>
      </w:r>
      <w:r w:rsidR="003275A7" w:rsidRPr="00C923CD">
        <w:t>’</w:t>
      </w:r>
      <w:r w:rsidRPr="00C923CD">
        <w:t>anglais était la langue prédominante des publications même pour les articles provenant de l</w:t>
      </w:r>
      <w:r w:rsidR="003275A7" w:rsidRPr="00C923CD">
        <w:t>’</w:t>
      </w:r>
      <w:r w:rsidRPr="00C923CD">
        <w:t>Afrique occidentale francophone. Le nombre de publications a augmenté progressivement au cours de la période examinée.</w:t>
      </w:r>
    </w:p>
    <w:p w14:paraId="649B5EE8" w14:textId="77777777" w:rsidR="008C7E2A" w:rsidRPr="00C923CD" w:rsidRDefault="008C7E2A" w:rsidP="00C923CD">
      <w:pPr>
        <w:suppressLineNumbers/>
        <w:spacing w:after="0" w:line="240" w:lineRule="auto"/>
        <w:jc w:val="both"/>
        <w:rPr>
          <w:rFonts w:eastAsia="Times New Roman" w:cs="Times New Roman"/>
          <w:b/>
        </w:rPr>
      </w:pPr>
    </w:p>
    <w:p w14:paraId="3794CD0A" w14:textId="77777777" w:rsidR="008C7E2A" w:rsidRPr="00C923CD" w:rsidRDefault="008C7E2A" w:rsidP="00C923CD">
      <w:pPr>
        <w:suppressLineNumbers/>
        <w:spacing w:after="0" w:line="240" w:lineRule="auto"/>
        <w:jc w:val="both"/>
        <w:outlineLvl w:val="0"/>
        <w:rPr>
          <w:rFonts w:eastAsia="Times New Roman" w:cs="Times New Roman"/>
          <w:b/>
        </w:rPr>
      </w:pPr>
      <w:r w:rsidRPr="00C923CD">
        <w:rPr>
          <w:b/>
        </w:rPr>
        <w:t>Conclusion :</w:t>
      </w:r>
    </w:p>
    <w:p w14:paraId="628ABB8B" w14:textId="2AC23E22" w:rsidR="008C7E2A" w:rsidRPr="00C923CD" w:rsidRDefault="008C7E2A" w:rsidP="00C923CD">
      <w:pPr>
        <w:suppressLineNumbers/>
        <w:spacing w:after="0" w:line="240" w:lineRule="auto"/>
        <w:jc w:val="both"/>
        <w:rPr>
          <w:rFonts w:eastAsia="Times New Roman" w:cs="Times New Roman"/>
        </w:rPr>
      </w:pPr>
      <w:r w:rsidRPr="00C923CD">
        <w:t>Malgré des améliorations régulières, l</w:t>
      </w:r>
      <w:r w:rsidR="003275A7" w:rsidRPr="00C923CD">
        <w:t>’</w:t>
      </w:r>
      <w:r w:rsidRPr="00C923CD">
        <w:t>Afrique occidentale reste une région pauvre en matière de publications à comité de lecture de RPSS</w:t>
      </w:r>
      <w:r w:rsidR="007A6BD8" w:rsidRPr="00C923CD">
        <w:t xml:space="preserve">. </w:t>
      </w:r>
      <w:r w:rsidRPr="00C923CD">
        <w:t>Dans cette faiblesse générale, il existe des écarts entre les pays</w:t>
      </w:r>
      <w:r w:rsidR="007A6BD8" w:rsidRPr="00C923CD">
        <w:t xml:space="preserve">. </w:t>
      </w:r>
      <w:r w:rsidRPr="00C923CD">
        <w:t>Le fait que seule une poignée de pays représente près de 70 % du nombre total de publications en Afrique occidentale témoigne des grandes disparités en capacités individuelles, institutionnelles et contextuelles pour la production de données probant</w:t>
      </w:r>
      <w:bookmarkStart w:id="0" w:name="_GoBack"/>
      <w:bookmarkEnd w:id="0"/>
      <w:r w:rsidRPr="00C923CD">
        <w:t>es de RPSS. Combler l</w:t>
      </w:r>
      <w:r w:rsidR="003275A7" w:rsidRPr="00C923CD">
        <w:t>’</w:t>
      </w:r>
      <w:r w:rsidRPr="00C923CD">
        <w:t>écart entre les établissements principaux (universités et centres de recherche) et la communauté de praticiens (ministères, hôpitaux, ONG) est indispensable pour assurer une utilisation pratique des données probantes de la RPSS. Des investissements sont toujours nécessaires en matière de renforcement des capacités de RPSS en Afrique occidentale</w:t>
      </w:r>
      <w:r w:rsidR="007A6BD8" w:rsidRPr="00C923CD">
        <w:t xml:space="preserve">. </w:t>
      </w:r>
    </w:p>
    <w:p w14:paraId="7F49A533" w14:textId="77777777" w:rsidR="008C7E2A" w:rsidRPr="00C923CD" w:rsidRDefault="008C7E2A" w:rsidP="00C923CD">
      <w:pPr>
        <w:suppressLineNumbers/>
        <w:spacing w:after="0" w:line="240" w:lineRule="auto"/>
        <w:jc w:val="both"/>
        <w:outlineLvl w:val="0"/>
        <w:rPr>
          <w:b/>
        </w:rPr>
      </w:pPr>
    </w:p>
    <w:p w14:paraId="6BD501FD" w14:textId="35CCACAF" w:rsidR="008C7E2A" w:rsidRPr="00C923CD" w:rsidRDefault="00BC27E7" w:rsidP="00C923CD">
      <w:pPr>
        <w:suppressLineNumbers/>
        <w:spacing w:after="0" w:line="240" w:lineRule="auto"/>
        <w:jc w:val="both"/>
        <w:outlineLvl w:val="0"/>
        <w:rPr>
          <w:b/>
        </w:rPr>
      </w:pPr>
      <w:r w:rsidRPr="00C923CD">
        <w:rPr>
          <w:b/>
        </w:rPr>
        <w:lastRenderedPageBreak/>
        <w:t>Introduction</w:t>
      </w:r>
    </w:p>
    <w:p w14:paraId="65BA4370" w14:textId="0328BAEC" w:rsidR="008C7E2A" w:rsidRPr="00C923CD" w:rsidRDefault="008C7E2A" w:rsidP="00C923CD">
      <w:pPr>
        <w:suppressLineNumbers/>
        <w:spacing w:after="0" w:line="240" w:lineRule="auto"/>
        <w:jc w:val="both"/>
        <w:rPr>
          <w:rFonts w:cs="FTRVJW+Sabon-Roman"/>
        </w:rPr>
      </w:pPr>
      <w:r w:rsidRPr="00C923CD">
        <w:t>Le besoin urgent de s</w:t>
      </w:r>
      <w:r w:rsidR="003275A7" w:rsidRPr="00C923CD">
        <w:t>’</w:t>
      </w:r>
      <w:r w:rsidRPr="00C923CD">
        <w:t>occuper des systèmes de santé faibles et fragiles pour atteindre de meilleurs résultats en santé a été au centre du programme mondial en matière de santé depuis plus de dix ans maintenant. Pourtant, la réussite des objectifs du Millénaire pour le développement (OMD) en Afrique occidentale a été sérieusement entravée par la faiblesse des systèmes de santé et qui fonctionnent mal, entre autres défis[</w:t>
      </w:r>
      <w:r w:rsidRPr="00C923CD">
        <w:rPr>
          <w:rStyle w:val="EndnoteReference"/>
          <w:lang w:val="en-GB"/>
        </w:rPr>
        <w:endnoteReference w:id="1"/>
      </w:r>
      <w:r w:rsidRPr="00C923CD">
        <w:t>]. Les systèmes de santé ont été définis comme étant composés de tous les acteurs, organismes, établissements et ressources dont l</w:t>
      </w:r>
      <w:r w:rsidR="003275A7" w:rsidRPr="00C923CD">
        <w:t>’</w:t>
      </w:r>
      <w:r w:rsidRPr="00C923CD">
        <w:t>objectif principal est d</w:t>
      </w:r>
      <w:r w:rsidR="003275A7" w:rsidRPr="00C923CD">
        <w:t>’</w:t>
      </w:r>
      <w:r w:rsidRPr="00C923CD">
        <w:t>améliorer la santé</w:t>
      </w:r>
      <w:r w:rsidR="007A08E5" w:rsidRPr="00C923CD">
        <w:t xml:space="preserve"> </w:t>
      </w:r>
      <w:r w:rsidRPr="00C923CD">
        <w:t>[</w:t>
      </w:r>
      <w:r w:rsidRPr="00C923CD">
        <w:rPr>
          <w:rStyle w:val="EndnoteReference"/>
          <w:rFonts w:cs="FTRVJW+Sabon-Roman"/>
          <w:lang w:val="en-GB"/>
        </w:rPr>
        <w:endnoteReference w:id="2"/>
      </w:r>
      <w:r w:rsidRPr="00C923CD">
        <w:rPr>
          <w:vertAlign w:val="superscript"/>
        </w:rPr>
        <w:t>,</w:t>
      </w:r>
      <w:r w:rsidRPr="00C923CD">
        <w:rPr>
          <w:rStyle w:val="EndnoteReference"/>
          <w:rFonts w:cs="FTRVJW+Sabon-Roman"/>
          <w:lang w:val="en-GB"/>
        </w:rPr>
        <w:endnoteReference w:id="3"/>
      </w:r>
      <w:r w:rsidRPr="00C923CD">
        <w:t>]. Excepté cet objectif défini, le système de santé a d</w:t>
      </w:r>
      <w:r w:rsidR="003275A7" w:rsidRPr="00C923CD">
        <w:t>’</w:t>
      </w:r>
      <w:r w:rsidRPr="00C923CD">
        <w:t>autres buts intrinsèques : 1) être attentif à la population qu</w:t>
      </w:r>
      <w:r w:rsidR="003275A7" w:rsidRPr="00C923CD">
        <w:t>’</w:t>
      </w:r>
      <w:r w:rsidRPr="00C923CD">
        <w:t>il sert (cette attention est déterminée par la manière dont les personnes sont traitées et l</w:t>
      </w:r>
      <w:r w:rsidR="003275A7" w:rsidRPr="00C923CD">
        <w:t>’</w:t>
      </w:r>
      <w:r w:rsidRPr="00C923CD">
        <w:t>environnement dans lequel elles le sont); 2) assurer une répartition juste du fardeau financier du paiement en matière de santé.</w:t>
      </w:r>
    </w:p>
    <w:p w14:paraId="4A52BBD7" w14:textId="77777777" w:rsidR="00C923CD" w:rsidRDefault="00C923CD" w:rsidP="00C923CD">
      <w:pPr>
        <w:suppressLineNumbers/>
        <w:spacing w:after="0" w:line="240" w:lineRule="auto"/>
        <w:jc w:val="both"/>
      </w:pPr>
    </w:p>
    <w:p w14:paraId="35BA1BB2" w14:textId="68B224B2" w:rsidR="008C7E2A" w:rsidRPr="00C923CD" w:rsidRDefault="008C7E2A" w:rsidP="00C923CD">
      <w:pPr>
        <w:suppressLineNumbers/>
        <w:spacing w:after="0" w:line="240" w:lineRule="auto"/>
        <w:jc w:val="both"/>
        <w:rPr>
          <w:rFonts w:cs="CbrsgtAdvTT86d47313"/>
        </w:rPr>
      </w:pPr>
      <w:r w:rsidRPr="00C923CD">
        <w:t>Les systèmes de santé ont été décrits comme étant des systèmes adaptatifs complexes (SAC) étant donné qu</w:t>
      </w:r>
      <w:r w:rsidR="003275A7" w:rsidRPr="00C923CD">
        <w:t>’</w:t>
      </w:r>
      <w:r w:rsidRPr="00C923CD">
        <w:t>ils s</w:t>
      </w:r>
      <w:r w:rsidR="003275A7" w:rsidRPr="00C923CD">
        <w:t>’</w:t>
      </w:r>
      <w:r w:rsidRPr="00C923CD">
        <w:t>ajustent constamment de manière dynamique et imprévisible aux changements dans le système lui-même ou dans le contexte plus large dans lequel ils fonctionnent</w:t>
      </w:r>
      <w:r w:rsidR="000F7FC1" w:rsidRPr="00C923CD">
        <w:t xml:space="preserve"> </w:t>
      </w:r>
      <w:r w:rsidRPr="00C923CD">
        <w:t>[</w:t>
      </w:r>
      <w:r w:rsidRPr="00C923CD">
        <w:rPr>
          <w:rStyle w:val="EndnoteReference"/>
          <w:rFonts w:cs="AdvPED1282"/>
          <w:lang w:val="en-GB"/>
        </w:rPr>
        <w:endnoteReference w:id="4"/>
      </w:r>
      <w:r w:rsidRPr="00C923CD">
        <w:t>]. Ce dynamisme souligne le fait qu</w:t>
      </w:r>
      <w:r w:rsidR="003275A7" w:rsidRPr="00C923CD">
        <w:t>’</w:t>
      </w:r>
      <w:r w:rsidRPr="00C923CD">
        <w:t>un système de santé prédéfini qui renforce les plans risque de devenir inefficace après un certain temps, et nécessite ainsi la production régulière de données probantes pour orienter l</w:t>
      </w:r>
      <w:r w:rsidR="003275A7" w:rsidRPr="00C923CD">
        <w:t>’</w:t>
      </w:r>
      <w:r w:rsidRPr="00C923CD">
        <w:t>élaboration de systèmes de santé nationaux et locaux. De plus, plusieurs études ont également souligné le fait que les données probantes émanant de la recherche peuvent améliorer l</w:t>
      </w:r>
      <w:r w:rsidR="003275A7" w:rsidRPr="00C923CD">
        <w:t>’</w:t>
      </w:r>
      <w:r w:rsidRPr="00C923CD">
        <w:t>élaboration de politiques en matière de santé en ce qui concerne l</w:t>
      </w:r>
      <w:r w:rsidR="003275A7" w:rsidRPr="00C923CD">
        <w:t>’</w:t>
      </w:r>
      <w:r w:rsidRPr="00C923CD">
        <w:t>identification des enjeux pour le programme de politique, la prise de décision relative aux politiques, l</w:t>
      </w:r>
      <w:r w:rsidR="003275A7" w:rsidRPr="00C923CD">
        <w:t>’</w:t>
      </w:r>
      <w:r w:rsidRPr="00C923CD">
        <w:t>évaluation des résultats des politiques, et ultimement l</w:t>
      </w:r>
      <w:r w:rsidR="003275A7" w:rsidRPr="00C923CD">
        <w:t>’</w:t>
      </w:r>
      <w:r w:rsidRPr="00C923CD">
        <w:t>orientation des efforts de renforcement des systèmes de santé</w:t>
      </w:r>
      <w:r w:rsidR="000F7FC1" w:rsidRPr="00C923CD">
        <w:t xml:space="preserve"> </w:t>
      </w:r>
      <w:r w:rsidRPr="00C923CD">
        <w:t>[</w:t>
      </w:r>
      <w:r w:rsidRPr="00C923CD">
        <w:rPr>
          <w:rStyle w:val="EndnoteReference"/>
          <w:lang w:val="en-GB"/>
        </w:rPr>
        <w:endnoteReference w:id="5"/>
      </w:r>
      <w:r w:rsidRPr="00C923CD">
        <w:rPr>
          <w:vertAlign w:val="superscript"/>
        </w:rPr>
        <w:t>,</w:t>
      </w:r>
      <w:r w:rsidRPr="00C923CD">
        <w:rPr>
          <w:rStyle w:val="EndnoteReference"/>
          <w:lang w:val="en-GB"/>
        </w:rPr>
        <w:endnoteReference w:id="6"/>
      </w:r>
      <w:r w:rsidRPr="00C923CD">
        <w:rPr>
          <w:vertAlign w:val="superscript"/>
        </w:rPr>
        <w:t>,</w:t>
      </w:r>
      <w:r w:rsidRPr="00C923CD">
        <w:rPr>
          <w:rStyle w:val="EndnoteReference"/>
          <w:lang w:val="en-GB"/>
        </w:rPr>
        <w:endnoteReference w:id="7"/>
      </w:r>
      <w:r w:rsidRPr="00C923CD">
        <w:rPr>
          <w:vertAlign w:val="superscript"/>
        </w:rPr>
        <w:t>,</w:t>
      </w:r>
      <w:r w:rsidRPr="00C923CD">
        <w:rPr>
          <w:rStyle w:val="EndnoteReference"/>
          <w:lang w:val="en-GB"/>
        </w:rPr>
        <w:endnoteReference w:id="8"/>
      </w:r>
      <w:r w:rsidRPr="00C923CD">
        <w:t>]. Le renforcement des systèmes de santé a été reconnu mondialement comme étant essentiel pour améliorer les résultats sur la santé, mais la base de connaissances pour appuyer cet effort dans les pays à faible revenu et les pays à revenu intermédiaire (PFR-PRI) a été plutôt restreinte.</w:t>
      </w:r>
    </w:p>
    <w:p w14:paraId="62FCF255" w14:textId="77777777" w:rsidR="00C923CD" w:rsidRDefault="00C923CD" w:rsidP="00C923CD">
      <w:pPr>
        <w:suppressLineNumbers/>
        <w:spacing w:after="0" w:line="240" w:lineRule="auto"/>
        <w:jc w:val="both"/>
      </w:pPr>
    </w:p>
    <w:p w14:paraId="3FC546BE" w14:textId="2480566D" w:rsidR="008C7E2A" w:rsidRPr="00C923CD" w:rsidRDefault="008C7E2A" w:rsidP="00C923CD">
      <w:pPr>
        <w:suppressLineNumbers/>
        <w:spacing w:after="0" w:line="240" w:lineRule="auto"/>
        <w:jc w:val="both"/>
        <w:rPr>
          <w:rFonts w:cs="AdvP49811"/>
        </w:rPr>
      </w:pPr>
      <w:r w:rsidRPr="00C923CD">
        <w:t>La recherche sur les politiques et les systèmes de santé (RPSS) est définie comme un domaine visant à comprendre et à améliorer la façon dont les sociétés s</w:t>
      </w:r>
      <w:r w:rsidR="003275A7" w:rsidRPr="00C923CD">
        <w:t>’</w:t>
      </w:r>
      <w:r w:rsidRPr="00C923CD">
        <w:t>organisent pour réussir leurs objectifs collectifs en matière de santé, et la façon dont différents acteurs interagissent dans le processus de politiques et de mise en oeuvre pour contribuer aux résultats de politique</w:t>
      </w:r>
      <w:r w:rsidR="007A08E5" w:rsidRPr="00C923CD">
        <w:t xml:space="preserve"> </w:t>
      </w:r>
      <w:r w:rsidRPr="00C923CD">
        <w:t>[</w:t>
      </w:r>
      <w:r w:rsidRPr="00C923CD">
        <w:rPr>
          <w:rStyle w:val="EndnoteReference"/>
          <w:lang w:val="en-GB"/>
        </w:rPr>
        <w:endnoteReference w:id="9"/>
      </w:r>
      <w:r w:rsidRPr="00C923CD">
        <w:t>]. La RPSS répond aux questions sur les politiques et les systèmes de santé qui ne sont pas propres à une maladie, mais qui concernent des problèmes de systèmes qui ont des répercussions sur le rendement de tout le système de santé. La RPSS répond à un large éventail de questions, du financement de la santé, à la gouvernance, et aux politiques, jusqu</w:t>
      </w:r>
      <w:r w:rsidR="003275A7" w:rsidRPr="00C923CD">
        <w:t>’</w:t>
      </w:r>
      <w:r w:rsidRPr="00C923CD">
        <w:t>aux problèmes de structuration, de planification, de gestion, de ressources humaines, de prestation de services, de référencement, et de qualité des soins dans les secteurs public et privé. Naturellement, la RPSS est un domaine multidisciplinaire qui allie l</w:t>
      </w:r>
      <w:r w:rsidR="003275A7" w:rsidRPr="00C923CD">
        <w:t>’</w:t>
      </w:r>
      <w:r w:rsidRPr="00C923CD">
        <w:t>économie, la sociologie, l</w:t>
      </w:r>
      <w:r w:rsidR="003275A7" w:rsidRPr="00C923CD">
        <w:t>’</w:t>
      </w:r>
      <w:r w:rsidRPr="00C923CD">
        <w:t>anthropologie, les sciences politiques, la santé publique et l</w:t>
      </w:r>
      <w:r w:rsidR="003275A7" w:rsidRPr="00C923CD">
        <w:t>’</w:t>
      </w:r>
      <w:r w:rsidRPr="00C923CD">
        <w:t>épidémiologie pour dresser un portrait complet de la manière dont les systèmes de santé réagissent et s</w:t>
      </w:r>
      <w:r w:rsidR="003275A7" w:rsidRPr="00C923CD">
        <w:t>’</w:t>
      </w:r>
      <w:r w:rsidRPr="00C923CD">
        <w:t>adaptent aux politiques en matière de santé et de la manière dont ces politiques sont influencées par des systèmes de santé et des facteurs déterminants plus vastes de la santé</w:t>
      </w:r>
      <w:r w:rsidR="007A6BD8" w:rsidRPr="00C923CD">
        <w:t xml:space="preserve">. </w:t>
      </w:r>
      <w:r w:rsidRPr="00C923CD">
        <w:t>La RPSS se concentre sur la politique et favorise donc le travail qui cherche explicitement à influencer les politiques</w:t>
      </w:r>
      <w:r w:rsidR="007A08E5" w:rsidRPr="00C923CD">
        <w:t xml:space="preserve"> </w:t>
      </w:r>
      <w:r w:rsidRPr="00C923CD">
        <w:t>[</w:t>
      </w:r>
      <w:r w:rsidRPr="00C923CD">
        <w:rPr>
          <w:rStyle w:val="EndnoteReference"/>
          <w:lang w:val="en-GB"/>
        </w:rPr>
        <w:endnoteReference w:id="10"/>
      </w:r>
      <w:r w:rsidRPr="00C923CD">
        <w:rPr>
          <w:vertAlign w:val="superscript"/>
        </w:rPr>
        <w:t>,</w:t>
      </w:r>
      <w:r w:rsidRPr="00C923CD">
        <w:rPr>
          <w:rStyle w:val="EndnoteReference"/>
          <w:lang w:val="en-GB"/>
        </w:rPr>
        <w:endnoteReference w:id="11"/>
      </w:r>
      <w:r w:rsidRPr="00C923CD">
        <w:t>]. Il convient de noter que l</w:t>
      </w:r>
      <w:r w:rsidR="003275A7" w:rsidRPr="00C923CD">
        <w:t>’</w:t>
      </w:r>
      <w:r w:rsidRPr="00C923CD">
        <w:t>intérêt mondial et la reconnaissance de l</w:t>
      </w:r>
      <w:r w:rsidR="003275A7" w:rsidRPr="00C923CD">
        <w:t>’</w:t>
      </w:r>
      <w:r w:rsidRPr="00C923CD">
        <w:t>importance de la RPSS ont été soulignés dans plusieurs rapports et événements des dernières années axés sur l</w:t>
      </w:r>
      <w:r w:rsidR="003275A7" w:rsidRPr="00C923CD">
        <w:t>’</w:t>
      </w:r>
      <w:r w:rsidRPr="00C923CD">
        <w:t>action</w:t>
      </w:r>
      <w:r w:rsidR="007A08E5" w:rsidRPr="00C923CD">
        <w:t xml:space="preserve"> </w:t>
      </w:r>
      <w:r w:rsidRPr="00C923CD">
        <w:t>[</w:t>
      </w:r>
      <w:r w:rsidRPr="00C923CD">
        <w:rPr>
          <w:rStyle w:val="EndnoteReference"/>
          <w:rFonts w:cs="AdvP49811"/>
          <w:lang w:val="en-GB"/>
        </w:rPr>
        <w:endnoteReference w:id="12"/>
      </w:r>
      <w:r w:rsidRPr="00C923CD">
        <w:rPr>
          <w:vertAlign w:val="superscript"/>
        </w:rPr>
        <w:t>,</w:t>
      </w:r>
      <w:r w:rsidRPr="00C923CD">
        <w:rPr>
          <w:rStyle w:val="EndnoteReference"/>
          <w:rFonts w:cs="AdvP49811"/>
          <w:lang w:val="en-GB"/>
        </w:rPr>
        <w:endnoteReference w:id="13"/>
      </w:r>
      <w:r w:rsidRPr="00C923CD">
        <w:rPr>
          <w:vertAlign w:val="superscript"/>
        </w:rPr>
        <w:t>,</w:t>
      </w:r>
      <w:r w:rsidRPr="00C923CD">
        <w:rPr>
          <w:rStyle w:val="EndnoteReference"/>
          <w:rFonts w:cs="AdvP49811"/>
          <w:lang w:val="en-GB"/>
        </w:rPr>
        <w:endnoteReference w:id="14"/>
      </w:r>
      <w:r w:rsidRPr="00C923CD">
        <w:rPr>
          <w:vertAlign w:val="superscript"/>
        </w:rPr>
        <w:t>,</w:t>
      </w:r>
      <w:r w:rsidRPr="00C923CD">
        <w:rPr>
          <w:rStyle w:val="EndnoteReference"/>
          <w:rFonts w:cs="AdvP49811"/>
          <w:lang w:val="en-GB"/>
        </w:rPr>
        <w:endnoteReference w:id="15"/>
      </w:r>
      <w:r w:rsidRPr="00C923CD">
        <w:rPr>
          <w:vertAlign w:val="superscript"/>
        </w:rPr>
        <w:t>,</w:t>
      </w:r>
      <w:r w:rsidRPr="00C923CD">
        <w:rPr>
          <w:rStyle w:val="EndnoteReference"/>
          <w:rFonts w:cs="AdvP49811"/>
          <w:lang w:val="en-GB"/>
        </w:rPr>
        <w:endnoteReference w:id="16"/>
      </w:r>
      <w:r w:rsidRPr="00C923CD">
        <w:rPr>
          <w:vertAlign w:val="superscript"/>
        </w:rPr>
        <w:t>,</w:t>
      </w:r>
      <w:r w:rsidRPr="00C923CD">
        <w:rPr>
          <w:rStyle w:val="EndnoteReference"/>
          <w:rFonts w:cs="AdvP49811"/>
          <w:lang w:val="en-GB"/>
        </w:rPr>
        <w:endnoteReference w:id="17"/>
      </w:r>
      <w:r w:rsidRPr="00C923CD">
        <w:rPr>
          <w:vertAlign w:val="superscript"/>
        </w:rPr>
        <w:t>,</w:t>
      </w:r>
      <w:r w:rsidRPr="00C923CD">
        <w:rPr>
          <w:rStyle w:val="EndnoteReference"/>
          <w:rFonts w:cs="AdvP49811"/>
          <w:lang w:val="en-GB"/>
        </w:rPr>
        <w:endnoteReference w:id="18"/>
      </w:r>
      <w:r w:rsidRPr="00C923CD">
        <w:rPr>
          <w:vertAlign w:val="superscript"/>
        </w:rPr>
        <w:t>,</w:t>
      </w:r>
      <w:r w:rsidRPr="00C923CD">
        <w:rPr>
          <w:rStyle w:val="EndnoteReference"/>
          <w:rFonts w:cs="AdvP49811"/>
          <w:lang w:val="en-GB"/>
        </w:rPr>
        <w:endnoteReference w:id="19"/>
      </w:r>
      <w:r w:rsidRPr="00C923CD">
        <w:rPr>
          <w:vertAlign w:val="superscript"/>
        </w:rPr>
        <w:t>,</w:t>
      </w:r>
      <w:r w:rsidRPr="00C923CD">
        <w:rPr>
          <w:rStyle w:val="EndnoteReference"/>
          <w:rFonts w:cs="AdvP49811"/>
          <w:lang w:val="en-GB"/>
        </w:rPr>
        <w:endnoteReference w:id="20"/>
      </w:r>
      <w:r w:rsidRPr="00C923CD">
        <w:rPr>
          <w:vertAlign w:val="superscript"/>
        </w:rPr>
        <w:t>,</w:t>
      </w:r>
      <w:r w:rsidRPr="00C923CD">
        <w:rPr>
          <w:rStyle w:val="EndnoteReference"/>
          <w:rFonts w:cs="AdvP49811"/>
          <w:lang w:val="en-GB"/>
        </w:rPr>
        <w:endnoteReference w:id="21"/>
      </w:r>
      <w:r w:rsidRPr="00C923CD">
        <w:rPr>
          <w:vertAlign w:val="superscript"/>
        </w:rPr>
        <w:t>,</w:t>
      </w:r>
      <w:r w:rsidRPr="00C923CD">
        <w:rPr>
          <w:rStyle w:val="EndnoteReference"/>
          <w:rFonts w:cs="AdvP49811"/>
          <w:lang w:val="en-GB"/>
        </w:rPr>
        <w:endnoteReference w:id="22"/>
      </w:r>
      <w:r w:rsidRPr="00C923CD">
        <w:rPr>
          <w:vertAlign w:val="superscript"/>
        </w:rPr>
        <w:t>,</w:t>
      </w:r>
      <w:r w:rsidRPr="00C923CD">
        <w:rPr>
          <w:rStyle w:val="EndnoteReference"/>
          <w:rFonts w:cs="AdvP49811"/>
          <w:lang w:val="en-GB"/>
        </w:rPr>
        <w:endnoteReference w:id="23"/>
      </w:r>
      <w:r w:rsidRPr="00C923CD">
        <w:rPr>
          <w:vertAlign w:val="superscript"/>
        </w:rPr>
        <w:t>,</w:t>
      </w:r>
      <w:r w:rsidRPr="00C923CD">
        <w:rPr>
          <w:rStyle w:val="EndnoteReference"/>
          <w:rFonts w:cs="AdvP49811"/>
          <w:lang w:val="en-GB"/>
        </w:rPr>
        <w:endnoteReference w:id="24"/>
      </w:r>
      <w:r w:rsidRPr="00C923CD">
        <w:t>]. Selon certains auteurs, l</w:t>
      </w:r>
      <w:r w:rsidR="003275A7" w:rsidRPr="00C923CD">
        <w:t>’</w:t>
      </w:r>
      <w:r w:rsidRPr="00C923CD">
        <w:t>engagement envers la RPSS et son application se reflètent dans la montée récente de l</w:t>
      </w:r>
      <w:r w:rsidR="003275A7" w:rsidRPr="00C923CD">
        <w:t>’</w:t>
      </w:r>
      <w:r w:rsidRPr="00C923CD">
        <w:t>investissement international dans le domaine</w:t>
      </w:r>
      <w:r w:rsidR="007A08E5" w:rsidRPr="00C923CD">
        <w:t xml:space="preserve"> </w:t>
      </w:r>
      <w:r w:rsidRPr="00C923CD">
        <w:t>[</w:t>
      </w:r>
      <w:r w:rsidRPr="00C923CD">
        <w:rPr>
          <w:rStyle w:val="EndnoteReference"/>
          <w:rFonts w:cs="AdvP49811"/>
          <w:lang w:val="en-GB"/>
        </w:rPr>
        <w:endnoteReference w:id="25"/>
      </w:r>
      <w:r w:rsidRPr="00C923CD">
        <w:t>]. Pendant ce temps, plusieurs autres études ont souligné à maintes reprises l</w:t>
      </w:r>
      <w:r w:rsidR="003275A7" w:rsidRPr="00C923CD">
        <w:t>’</w:t>
      </w:r>
      <w:r w:rsidRPr="00C923CD">
        <w:t>écart persistant entre les pays à revenu élevé</w:t>
      </w:r>
      <w:r w:rsidR="000066E5" w:rsidRPr="00C923CD">
        <w:t xml:space="preserve"> (PRE)</w:t>
      </w:r>
      <w:r w:rsidRPr="00C923CD">
        <w:t xml:space="preserve"> et les PFR-PRI en matière de production et d</w:t>
      </w:r>
      <w:r w:rsidR="003275A7" w:rsidRPr="00C923CD">
        <w:t>’</w:t>
      </w:r>
      <w:r w:rsidRPr="00C923CD">
        <w:t>utilisation de RPSS</w:t>
      </w:r>
      <w:r w:rsidR="007A08E5" w:rsidRPr="00C923CD">
        <w:t xml:space="preserve"> </w:t>
      </w:r>
      <w:r w:rsidRPr="00C923CD">
        <w:t>[</w:t>
      </w:r>
      <w:r w:rsidRPr="00C923CD">
        <w:rPr>
          <w:rStyle w:val="EndnoteReference"/>
          <w:rFonts w:cs="AdvP49811"/>
          <w:lang w:val="en-GB"/>
        </w:rPr>
        <w:endnoteReference w:id="26"/>
      </w:r>
      <w:r w:rsidRPr="00C923CD">
        <w:rPr>
          <w:vertAlign w:val="superscript"/>
        </w:rPr>
        <w:t>,</w:t>
      </w:r>
      <w:r w:rsidRPr="00C923CD">
        <w:rPr>
          <w:rStyle w:val="EndnoteReference"/>
          <w:rFonts w:cs="AdvP49811"/>
          <w:lang w:val="en-GB"/>
        </w:rPr>
        <w:endnoteReference w:id="27"/>
      </w:r>
      <w:r w:rsidRPr="00C923CD">
        <w:rPr>
          <w:vertAlign w:val="superscript"/>
        </w:rPr>
        <w:t>,</w:t>
      </w:r>
      <w:r w:rsidRPr="00C923CD">
        <w:rPr>
          <w:rStyle w:val="EndnoteReference"/>
          <w:rFonts w:cs="AdvP49811"/>
          <w:lang w:val="en-GB"/>
        </w:rPr>
        <w:endnoteReference w:id="28"/>
      </w:r>
      <w:r w:rsidRPr="00C923CD">
        <w:t>]. Cette situation a incité certains auteurs à remettre en question l</w:t>
      </w:r>
      <w:r w:rsidR="003275A7" w:rsidRPr="00C923CD">
        <w:t>’</w:t>
      </w:r>
      <w:r w:rsidRPr="00C923CD">
        <w:t>effet d</w:t>
      </w:r>
      <w:r w:rsidR="003275A7" w:rsidRPr="00C923CD">
        <w:t>’</w:t>
      </w:r>
      <w:r w:rsidRPr="00C923CD">
        <w:t>entraînement de toutes les mesures mondiales à l</w:t>
      </w:r>
      <w:r w:rsidR="003275A7" w:rsidRPr="00C923CD">
        <w:t>’</w:t>
      </w:r>
      <w:r w:rsidRPr="00C923CD">
        <w:t>appui du développement de RPSS dans les PFR-PRI</w:t>
      </w:r>
      <w:r w:rsidR="007A08E5" w:rsidRPr="00C923CD">
        <w:t xml:space="preserve"> </w:t>
      </w:r>
      <w:r w:rsidRPr="00C923CD">
        <w:t>[</w:t>
      </w:r>
      <w:r w:rsidRPr="00C923CD">
        <w:rPr>
          <w:rStyle w:val="EndnoteReference"/>
          <w:rFonts w:cs="AdvP49811"/>
          <w:lang w:val="en-GB"/>
        </w:rPr>
        <w:endnoteReference w:id="29"/>
      </w:r>
      <w:r w:rsidRPr="00C923CD">
        <w:rPr>
          <w:vertAlign w:val="superscript"/>
        </w:rPr>
        <w:t>,</w:t>
      </w:r>
      <w:r w:rsidRPr="00C923CD">
        <w:rPr>
          <w:rStyle w:val="EndnoteReference"/>
          <w:rFonts w:cs="AdvP49811"/>
          <w:lang w:val="en-GB"/>
        </w:rPr>
        <w:endnoteReference w:id="30"/>
      </w:r>
      <w:r w:rsidRPr="00C923CD">
        <w:rPr>
          <w:vertAlign w:val="superscript"/>
        </w:rPr>
        <w:t>,</w:t>
      </w:r>
      <w:r w:rsidRPr="00C923CD">
        <w:rPr>
          <w:rStyle w:val="EndnoteReference"/>
          <w:rFonts w:cs="AdvP49811"/>
          <w:lang w:val="en-GB"/>
        </w:rPr>
        <w:endnoteReference w:id="31"/>
      </w:r>
      <w:r w:rsidRPr="00C923CD">
        <w:t>].</w:t>
      </w:r>
    </w:p>
    <w:p w14:paraId="1CE98ECF" w14:textId="77777777" w:rsidR="00C923CD" w:rsidRDefault="00C923CD" w:rsidP="00C923CD">
      <w:pPr>
        <w:suppressLineNumbers/>
        <w:autoSpaceDE w:val="0"/>
        <w:autoSpaceDN w:val="0"/>
        <w:adjustRightInd w:val="0"/>
        <w:spacing w:after="0" w:line="240" w:lineRule="auto"/>
        <w:jc w:val="both"/>
      </w:pPr>
    </w:p>
    <w:p w14:paraId="0BF46FB4" w14:textId="0D8EA88C" w:rsidR="008C7E2A" w:rsidRPr="00C923CD" w:rsidRDefault="008C7E2A" w:rsidP="00C923CD">
      <w:pPr>
        <w:suppressLineNumbers/>
        <w:autoSpaceDE w:val="0"/>
        <w:autoSpaceDN w:val="0"/>
        <w:adjustRightInd w:val="0"/>
        <w:spacing w:after="0" w:line="240" w:lineRule="auto"/>
        <w:jc w:val="both"/>
        <w:rPr>
          <w:rFonts w:cs="Cambria"/>
        </w:rPr>
      </w:pPr>
      <w:r w:rsidRPr="00C923CD">
        <w:t>L</w:t>
      </w:r>
      <w:r w:rsidR="003275A7" w:rsidRPr="00C923CD">
        <w:t>’</w:t>
      </w:r>
      <w:r w:rsidRPr="00C923CD">
        <w:t>Afrique occidentale, dont la population est estimée à environ 350 millions de personnes, comprend 15 pays (le Bénin, le Burkina Faso, le Cabo Verde, la Côte d</w:t>
      </w:r>
      <w:r w:rsidR="003275A7" w:rsidRPr="00C923CD">
        <w:t>’</w:t>
      </w:r>
      <w:r w:rsidRPr="00C923CD">
        <w:t>Ivoire, la Gambie, le Ghana, la Guinée, la Guinée-Bissau, le Libéria, le Mali, le Nigéria, le Niger, la Sierra Leone, le Sénégal, le Togo) qui sont tous classés comme étant des pays à faible revenu ou à revenu intermédiaire</w:t>
      </w:r>
      <w:r w:rsidR="007A08E5" w:rsidRPr="00C923CD">
        <w:t xml:space="preserve"> </w:t>
      </w:r>
      <w:r w:rsidRPr="00C923CD">
        <w:t>[</w:t>
      </w:r>
      <w:r w:rsidRPr="00C923CD">
        <w:rPr>
          <w:rStyle w:val="EndnoteReference"/>
          <w:rFonts w:cs="Cambria"/>
          <w:lang w:val="en-GB"/>
        </w:rPr>
        <w:endnoteReference w:id="32"/>
      </w:r>
      <w:r w:rsidRPr="00C923CD">
        <w:t>]. La sous-région accueille une immense diversité de personnes, du point de vue des cultures, des langues et des religions. Les complexités de la sous-région sont superposées à la diversité traditionnelle ethnique, religieuse et linguistique qui sont exacerbées davantage par l</w:t>
      </w:r>
      <w:r w:rsidR="003275A7" w:rsidRPr="00C923CD">
        <w:t>’</w:t>
      </w:r>
      <w:r w:rsidRPr="00C923CD">
        <w:t>héritage colonial de la fragmentation de la sous-région selon la langue officielle en pays anglophone, francophone et lusophone</w:t>
      </w:r>
      <w:r w:rsidR="007A6BD8" w:rsidRPr="00C923CD">
        <w:t xml:space="preserve">. </w:t>
      </w:r>
    </w:p>
    <w:p w14:paraId="3B6DF72D" w14:textId="77777777" w:rsidR="008C7E2A" w:rsidRPr="00C923CD" w:rsidRDefault="008C7E2A" w:rsidP="00C923CD">
      <w:pPr>
        <w:suppressLineNumbers/>
        <w:autoSpaceDE w:val="0"/>
        <w:autoSpaceDN w:val="0"/>
        <w:adjustRightInd w:val="0"/>
        <w:spacing w:after="0" w:line="240" w:lineRule="auto"/>
        <w:jc w:val="both"/>
        <w:rPr>
          <w:rFonts w:cs="Cambria"/>
        </w:rPr>
      </w:pPr>
    </w:p>
    <w:p w14:paraId="04B04853" w14:textId="1ECFE9C5" w:rsidR="008C7E2A" w:rsidRPr="00C923CD" w:rsidRDefault="008C7E2A" w:rsidP="00C923CD">
      <w:pPr>
        <w:suppressLineNumbers/>
        <w:autoSpaceDE w:val="0"/>
        <w:autoSpaceDN w:val="0"/>
        <w:adjustRightInd w:val="0"/>
        <w:spacing w:after="0" w:line="240" w:lineRule="auto"/>
        <w:jc w:val="both"/>
        <w:rPr>
          <w:rFonts w:cs="Cambria"/>
        </w:rPr>
      </w:pPr>
      <w:r w:rsidRPr="00C923CD">
        <w:t>Comparées à d</w:t>
      </w:r>
      <w:r w:rsidR="003275A7" w:rsidRPr="00C923CD">
        <w:t>’</w:t>
      </w:r>
      <w:r w:rsidRPr="00C923CD">
        <w:t>autres régions, les publications de RPSS en Afrique occidentale ont été nettement insuffisantes[</w:t>
      </w:r>
      <w:r w:rsidRPr="00C923CD">
        <w:rPr>
          <w:rStyle w:val="EndnoteReference"/>
          <w:rFonts w:cs="Cambria"/>
          <w:lang w:val="en-GB"/>
        </w:rPr>
        <w:endnoteReference w:id="33"/>
      </w:r>
      <w:r w:rsidRPr="00C923CD">
        <w:t>]. La faible production de recherches en santé dans la sous-région a été attribuée non seulement à des capacités limitées en recherche et aux faibles capacités de formation</w:t>
      </w:r>
      <w:r w:rsidR="007A08E5" w:rsidRPr="00C923CD">
        <w:t xml:space="preserve"> </w:t>
      </w:r>
      <w:r w:rsidRPr="00C923CD">
        <w:t>[</w:t>
      </w:r>
      <w:r w:rsidRPr="00C923CD">
        <w:rPr>
          <w:rStyle w:val="EndnoteReference"/>
          <w:rFonts w:cs="Cambria"/>
          <w:lang w:val="en-GB"/>
        </w:rPr>
        <w:endnoteReference w:id="34"/>
      </w:r>
      <w:r w:rsidRPr="00C923CD">
        <w:rPr>
          <w:vertAlign w:val="superscript"/>
        </w:rPr>
        <w:t>,</w:t>
      </w:r>
      <w:r w:rsidRPr="00C923CD">
        <w:rPr>
          <w:rStyle w:val="EndnoteReference"/>
          <w:rFonts w:cs="Cambria"/>
          <w:lang w:val="en-GB"/>
        </w:rPr>
        <w:endnoteReference w:id="35"/>
      </w:r>
      <w:r w:rsidRPr="00C923CD">
        <w:t>], mais également aux faibles capacités quant à la mobilisation des ressources, de même que la capacité limitée de développer des collaborations de recherche parmi les pays de la sous-région</w:t>
      </w:r>
      <w:r w:rsidR="007A08E5" w:rsidRPr="00C923CD">
        <w:t xml:space="preserve"> </w:t>
      </w:r>
      <w:r w:rsidRPr="00C923CD">
        <w:t>[</w:t>
      </w:r>
      <w:r w:rsidRPr="00C923CD">
        <w:rPr>
          <w:rStyle w:val="EndnoteReference"/>
          <w:rFonts w:cs="Cambria"/>
          <w:lang w:val="en-GB"/>
        </w:rPr>
        <w:endnoteReference w:id="36"/>
      </w:r>
      <w:r w:rsidRPr="00C923CD">
        <w:rPr>
          <w:vertAlign w:val="superscript"/>
        </w:rPr>
        <w:t>,</w:t>
      </w:r>
      <w:r w:rsidRPr="00C923CD">
        <w:rPr>
          <w:rStyle w:val="EndnoteReference"/>
          <w:rFonts w:cs="Cambria"/>
          <w:lang w:val="en-GB"/>
        </w:rPr>
        <w:endnoteReference w:id="37"/>
      </w:r>
      <w:r w:rsidRPr="00C923CD">
        <w:t>]. Même si la RPSS a le potentiel de relever la plupart des défis intransigeants de la région, son état en Afrique occidentale n</w:t>
      </w:r>
      <w:r w:rsidR="003275A7" w:rsidRPr="00C923CD">
        <w:t>’</w:t>
      </w:r>
      <w:r w:rsidRPr="00C923CD">
        <w:t>a pas été systématiquement étudié.</w:t>
      </w:r>
    </w:p>
    <w:p w14:paraId="79D35CDC" w14:textId="77777777" w:rsidR="008C7E2A" w:rsidRPr="00C923CD" w:rsidRDefault="008C7E2A" w:rsidP="00C923CD">
      <w:pPr>
        <w:suppressLineNumbers/>
        <w:autoSpaceDE w:val="0"/>
        <w:autoSpaceDN w:val="0"/>
        <w:adjustRightInd w:val="0"/>
        <w:spacing w:after="0" w:line="240" w:lineRule="auto"/>
        <w:jc w:val="both"/>
        <w:rPr>
          <w:rFonts w:cs="AdvP49811"/>
        </w:rPr>
      </w:pPr>
    </w:p>
    <w:p w14:paraId="3C9E536A" w14:textId="7C1D46A3" w:rsidR="008C7E2A" w:rsidRPr="00C923CD" w:rsidRDefault="008C7E2A" w:rsidP="00C923CD">
      <w:pPr>
        <w:suppressLineNumbers/>
        <w:spacing w:after="0" w:line="240" w:lineRule="auto"/>
        <w:jc w:val="both"/>
        <w:rPr>
          <w:rFonts w:cs="Times New Roman"/>
        </w:rPr>
      </w:pPr>
      <w:r w:rsidRPr="00C923CD">
        <w:t>Cette recherche visait donc à parcourir le paysage et à décrire les caractéristiques et les tendances des publications anglophones et francophones de RPSS à l</w:t>
      </w:r>
      <w:r w:rsidR="003275A7" w:rsidRPr="00C923CD">
        <w:t>’</w:t>
      </w:r>
      <w:r w:rsidRPr="00C923CD">
        <w:t>échelle des pays de la CEDEAO de 1990 à 2015. Nos objectifs précis étaient de décrire les tendances, les établissements, les personnes et les réseaux qui effectuent de la RPSS, et le degré d</w:t>
      </w:r>
      <w:r w:rsidR="003275A7" w:rsidRPr="00C923CD">
        <w:t>’</w:t>
      </w:r>
      <w:r w:rsidRPr="00C923CD">
        <w:t>implication de chercheurs sous conduite ouest-africaine dans la production de données probantes en RPSS dans la sous-région. Le but était d</w:t>
      </w:r>
      <w:r w:rsidR="003275A7" w:rsidRPr="00C923CD">
        <w:t>’</w:t>
      </w:r>
      <w:r w:rsidRPr="00C923CD">
        <w:t>utiliser les résultats afin d</w:t>
      </w:r>
      <w:r w:rsidR="003275A7" w:rsidRPr="00C923CD">
        <w:t>’</w:t>
      </w:r>
      <w:r w:rsidRPr="00C923CD">
        <w:t>orienter l</w:t>
      </w:r>
      <w:r w:rsidR="003275A7" w:rsidRPr="00C923CD">
        <w:t>’</w:t>
      </w:r>
      <w:r w:rsidRPr="00C923CD">
        <w:t>élaboration de stratégies pour renforcer la capacité de RPSS, menée et utilisée pour le renforcement des systèmes de santé et l</w:t>
      </w:r>
      <w:r w:rsidR="003275A7" w:rsidRPr="00C923CD">
        <w:t>’</w:t>
      </w:r>
      <w:r w:rsidRPr="00C923CD">
        <w:t>amélioration des résultats sur la santé au sein de la CEDEAO, y compris la mise en place de réseaux de RPSS</w:t>
      </w:r>
      <w:r w:rsidR="007A6BD8" w:rsidRPr="00C923CD">
        <w:t xml:space="preserve">. </w:t>
      </w:r>
      <w:r w:rsidRPr="00C923CD">
        <w:t>Cet article met l</w:t>
      </w:r>
      <w:r w:rsidR="003275A7" w:rsidRPr="00C923CD">
        <w:t>’</w:t>
      </w:r>
      <w:r w:rsidRPr="00C923CD">
        <w:t>accent sur l</w:t>
      </w:r>
      <w:r w:rsidR="003275A7" w:rsidRPr="00C923CD">
        <w:t>’</w:t>
      </w:r>
      <w:r w:rsidRPr="00C923CD">
        <w:t>analyse des établissements et des tendances, et nous ne présentons pas l</w:t>
      </w:r>
      <w:r w:rsidR="003275A7" w:rsidRPr="00C923CD">
        <w:t>’</w:t>
      </w:r>
      <w:r w:rsidRPr="00C923CD">
        <w:t xml:space="preserve">analyse des personnes et des réseaux. </w:t>
      </w:r>
    </w:p>
    <w:p w14:paraId="20F2EE24" w14:textId="77777777" w:rsidR="008C7E2A" w:rsidRPr="00C923CD" w:rsidRDefault="008C7E2A" w:rsidP="00C923CD">
      <w:pPr>
        <w:suppressLineNumbers/>
        <w:spacing w:after="0" w:line="240" w:lineRule="auto"/>
        <w:jc w:val="both"/>
      </w:pPr>
    </w:p>
    <w:p w14:paraId="22A68C62" w14:textId="012AD572" w:rsidR="008C7E2A" w:rsidRPr="00C923CD" w:rsidRDefault="00BC27E7" w:rsidP="00C923CD">
      <w:pPr>
        <w:suppressLineNumbers/>
        <w:spacing w:after="0" w:line="240" w:lineRule="auto"/>
        <w:jc w:val="both"/>
        <w:outlineLvl w:val="0"/>
        <w:rPr>
          <w:b/>
          <w:vanish/>
          <w:specVanish/>
        </w:rPr>
      </w:pPr>
      <w:r w:rsidRPr="00C923CD">
        <w:rPr>
          <w:b/>
        </w:rPr>
        <w:t>Méthod</w:t>
      </w:r>
      <w:r w:rsidR="000F7FC1" w:rsidRPr="00C923CD">
        <w:rPr>
          <w:b/>
        </w:rPr>
        <w:t>ologi</w:t>
      </w:r>
      <w:r w:rsidRPr="00C923CD">
        <w:rPr>
          <w:b/>
        </w:rPr>
        <w:t>es</w:t>
      </w:r>
    </w:p>
    <w:p w14:paraId="376ED71E" w14:textId="77777777" w:rsidR="00EF69A4" w:rsidRPr="00C923CD" w:rsidRDefault="000F7FC1" w:rsidP="00C923CD">
      <w:pPr>
        <w:suppressLineNumbers/>
        <w:spacing w:after="0" w:line="240" w:lineRule="auto"/>
        <w:jc w:val="both"/>
      </w:pPr>
      <w:r w:rsidRPr="00C923CD">
        <w:t xml:space="preserve"> </w:t>
      </w:r>
    </w:p>
    <w:p w14:paraId="6A645302" w14:textId="18C9DE8F" w:rsidR="000957DF" w:rsidRPr="00C923CD" w:rsidRDefault="000957DF" w:rsidP="00C923CD">
      <w:pPr>
        <w:suppressLineNumbers/>
        <w:spacing w:after="0" w:line="240" w:lineRule="auto"/>
        <w:jc w:val="both"/>
        <w:rPr>
          <w:rFonts w:eastAsia="Times New Roman" w:cs="Times New Roman"/>
        </w:rPr>
      </w:pPr>
      <w:r w:rsidRPr="00C923CD">
        <w:t>Notre méthodologie était un examen de la portée des publications à comité de lecture sur une période de près de 25 ans allant de janvier 1990 à septembre 2015. Les fondements théoriques sous-jacents à cette approche étaient fondés sur le cadre méthodologique en six étapes élaboré par Hilary Arksey et Lisa O</w:t>
      </w:r>
      <w:r w:rsidR="003275A7" w:rsidRPr="00C923CD">
        <w:t>’</w:t>
      </w:r>
      <w:r w:rsidRPr="00C923CD">
        <w:t>Malley qui définit un examen de la portée comme une « technique pour caractériser la documentation pertinente dans le domaine d</w:t>
      </w:r>
      <w:r w:rsidR="003275A7" w:rsidRPr="00C923CD">
        <w:t>’</w:t>
      </w:r>
      <w:r w:rsidRPr="00C923CD">
        <w:t>intérêt ». Selon ces auteures, l</w:t>
      </w:r>
      <w:r w:rsidR="003275A7" w:rsidRPr="00C923CD">
        <w:t>’</w:t>
      </w:r>
      <w:r w:rsidRPr="00C923CD">
        <w:t>examen de la portée est effectué par : 1) l</w:t>
      </w:r>
      <w:r w:rsidR="003275A7" w:rsidRPr="00C923CD">
        <w:t>’</w:t>
      </w:r>
      <w:r w:rsidRPr="00C923CD">
        <w:t>identification de la question de recherche, 2) la recherche des études pertinentes, 3) la sélection des études, 4) le déchiffrement des données, 5) la col</w:t>
      </w:r>
      <w:r w:rsidR="00EF69A4" w:rsidRPr="00C923CD">
        <w:t xml:space="preserve">lecte, la synthèse et le compte </w:t>
      </w:r>
      <w:r w:rsidRPr="00C923CD">
        <w:t>rendu des résultats, 6) la consultation avec les intervenants pour éclairer ou valider les résultats</w:t>
      </w:r>
      <w:r w:rsidR="007A08E5" w:rsidRPr="00C923CD">
        <w:t xml:space="preserve"> </w:t>
      </w:r>
      <w:r w:rsidRPr="00C923CD">
        <w:t>[</w:t>
      </w:r>
      <w:r w:rsidRPr="00C923CD">
        <w:rPr>
          <w:rStyle w:val="EndnoteReference"/>
          <w:rFonts w:eastAsia="Times New Roman" w:cs="Times New Roman"/>
          <w:lang w:val="en-GB"/>
        </w:rPr>
        <w:endnoteReference w:id="38"/>
      </w:r>
      <w:r w:rsidRPr="00C923CD">
        <w:t>]. La méthode est décrite en tant qu</w:t>
      </w:r>
      <w:r w:rsidR="003275A7" w:rsidRPr="00C923CD">
        <w:t>’</w:t>
      </w:r>
      <w:r w:rsidRPr="00C923CD">
        <w:t>approche de synthèse des connaissances qui répond à une question exploratoire de recherche visant à schématiser les données probantes et les écarts en matière de recherche liée à un domaine donné par une recherche, une sélection et une synthèse systématiques des connaissances existantes</w:t>
      </w:r>
      <w:r w:rsidR="007A08E5" w:rsidRPr="00C923CD">
        <w:t xml:space="preserve"> </w:t>
      </w:r>
      <w:r w:rsidRPr="00C923CD">
        <w:t>[</w:t>
      </w:r>
      <w:r w:rsidRPr="00C923CD">
        <w:rPr>
          <w:rStyle w:val="EndnoteReference"/>
          <w:rFonts w:eastAsia="Times New Roman" w:cs="Times New Roman"/>
          <w:lang w:val="en-GB"/>
        </w:rPr>
        <w:endnoteReference w:id="39"/>
      </w:r>
      <w:r w:rsidRPr="00C923CD">
        <w:t>]. L</w:t>
      </w:r>
      <w:r w:rsidR="003275A7" w:rsidRPr="00C923CD">
        <w:t>’</w:t>
      </w:r>
      <w:r w:rsidRPr="00C923CD">
        <w:t>examen visait à déterminer et à recueillir les publications à comité de lecture de RPSS sur l</w:t>
      </w:r>
      <w:r w:rsidR="003275A7" w:rsidRPr="00C923CD">
        <w:t>’</w:t>
      </w:r>
      <w:r w:rsidRPr="00C923CD">
        <w:t>Afrique occidentale pour : comprendre les caractéristiques des publications de RPSS anglophones et francophones afin de cibler les personnes et les établissements qui effectuent de la RPSS, et pour vérifier le degré d</w:t>
      </w:r>
      <w:r w:rsidR="003275A7" w:rsidRPr="00C923CD">
        <w:t>’</w:t>
      </w:r>
      <w:r w:rsidRPr="00C923CD">
        <w:t>implication de chercheurs sous conduite ouest-africaine dans la production régionale de données probantes en RPSS</w:t>
      </w:r>
      <w:r w:rsidR="00EF69A4" w:rsidRPr="00C923CD">
        <w:t>.</w:t>
      </w:r>
      <w:r w:rsidRPr="00C923CD">
        <w:t xml:space="preserve"> Par conséquent, l</w:t>
      </w:r>
      <w:r w:rsidR="003275A7" w:rsidRPr="00C923CD">
        <w:t>’</w:t>
      </w:r>
      <w:r w:rsidRPr="00C923CD">
        <w:t>examen de la portée a été considéré comme pertinent pour une étude dont le but est de caractériser la portée</w:t>
      </w:r>
      <w:r w:rsidR="007A08E5" w:rsidRPr="00C923CD">
        <w:t xml:space="preserve"> </w:t>
      </w:r>
      <w:r w:rsidRPr="00C923CD">
        <w:t>[</w:t>
      </w:r>
      <w:r w:rsidRPr="00C923CD">
        <w:rPr>
          <w:rStyle w:val="EndnoteReference"/>
          <w:rFonts w:eastAsia="Times New Roman" w:cs="Times New Roman"/>
          <w:lang w:val="en-GB"/>
        </w:rPr>
        <w:endnoteReference w:id="40"/>
      </w:r>
      <w:r w:rsidRPr="00C923CD">
        <w:t xml:space="preserve">] plutôt que la profondeur des données probantes dans le domaine de la RPSS en Afrique occidentale. </w:t>
      </w:r>
    </w:p>
    <w:p w14:paraId="47184C34" w14:textId="77777777" w:rsidR="00C923CD" w:rsidRDefault="00C923CD" w:rsidP="00C923CD">
      <w:pPr>
        <w:suppressLineNumbers/>
        <w:spacing w:after="0" w:line="240" w:lineRule="auto"/>
        <w:jc w:val="both"/>
        <w:rPr>
          <w:b/>
          <w:u w:val="single"/>
        </w:rPr>
      </w:pPr>
    </w:p>
    <w:p w14:paraId="25D1518A" w14:textId="77777777" w:rsidR="000957DF" w:rsidRPr="00C923CD" w:rsidRDefault="000B4DBB" w:rsidP="00C923CD">
      <w:pPr>
        <w:suppressLineNumbers/>
        <w:spacing w:after="0" w:line="240" w:lineRule="auto"/>
        <w:jc w:val="both"/>
        <w:rPr>
          <w:b/>
          <w:u w:val="single"/>
        </w:rPr>
      </w:pPr>
      <w:r w:rsidRPr="00C923CD">
        <w:rPr>
          <w:b/>
          <w:u w:val="single"/>
        </w:rPr>
        <w:t>Chercher et sélectionner les études pertinentes</w:t>
      </w:r>
    </w:p>
    <w:p w14:paraId="6A31DE7E" w14:textId="4E854AFA" w:rsidR="0019477C" w:rsidRPr="00C923CD" w:rsidRDefault="008C7E2A" w:rsidP="00C923CD">
      <w:pPr>
        <w:suppressLineNumbers/>
        <w:spacing w:after="0" w:line="240" w:lineRule="auto"/>
        <w:jc w:val="both"/>
      </w:pPr>
      <w:r w:rsidRPr="00C923CD">
        <w:t>Des recherches dans la documentation ont été menées en anglais et en français en utilisant Google Scholar, PubMed Central et CAIRN.INFO. Les critères d</w:t>
      </w:r>
      <w:r w:rsidR="003275A7" w:rsidRPr="00C923CD">
        <w:t>’</w:t>
      </w:r>
      <w:r w:rsidRPr="00C923CD">
        <w:t>inclusion utilisés étaient des publications à comité de lecture de travaux effectués dans n</w:t>
      </w:r>
      <w:r w:rsidR="003275A7" w:rsidRPr="00C923CD">
        <w:t>’</w:t>
      </w:r>
      <w:r w:rsidRPr="00C923CD">
        <w:t>importe lequel des quinze États membres de la CEDEAO, publiées en anglais ou en français, dont les objectifs ou les mots clés comprenaient explicitement la mention de systèmes de santé d</w:t>
      </w:r>
      <w:r w:rsidR="003275A7" w:rsidRPr="00C923CD">
        <w:t>’</w:t>
      </w:r>
      <w:r w:rsidRPr="00C923CD">
        <w:t>un ou de plus d</w:t>
      </w:r>
      <w:r w:rsidR="003275A7" w:rsidRPr="00C923CD">
        <w:t>’</w:t>
      </w:r>
      <w:r w:rsidRPr="00C923CD">
        <w:t>un élément constitutif des systèmes de santé établis de l</w:t>
      </w:r>
      <w:r w:rsidR="003275A7" w:rsidRPr="00C923CD">
        <w:t>’</w:t>
      </w:r>
      <w:r w:rsidRPr="00C923CD">
        <w:t>OMS</w:t>
      </w:r>
      <w:r w:rsidR="007A6BD8" w:rsidRPr="00C923CD">
        <w:t xml:space="preserve">. </w:t>
      </w:r>
      <w:r w:rsidRPr="00C923CD">
        <w:t>À l</w:t>
      </w:r>
      <w:r w:rsidR="003275A7" w:rsidRPr="00C923CD">
        <w:t>’</w:t>
      </w:r>
      <w:r w:rsidRPr="00C923CD">
        <w:t>exception de Cabo Verde et de la Guinée-Bissau, qui sont lusophones, les treize autres pays de la CEDEAO sont anglophones ou francophones</w:t>
      </w:r>
      <w:r w:rsidR="007A6BD8" w:rsidRPr="00C923CD">
        <w:t xml:space="preserve">. </w:t>
      </w:r>
      <w:r w:rsidRPr="00C923CD">
        <w:t>Cependant, nous n</w:t>
      </w:r>
      <w:r w:rsidR="003275A7" w:rsidRPr="00C923CD">
        <w:t>’</w:t>
      </w:r>
      <w:r w:rsidRPr="00C923CD">
        <w:t>avions pas l</w:t>
      </w:r>
      <w:r w:rsidR="003275A7" w:rsidRPr="00C923CD">
        <w:t>’</w:t>
      </w:r>
      <w:r w:rsidRPr="00C923CD">
        <w:t xml:space="preserve">expertise pour examiner la documentation en portugais. </w:t>
      </w:r>
    </w:p>
    <w:p w14:paraId="0A3038CA" w14:textId="77777777" w:rsidR="00C923CD" w:rsidRDefault="00C923CD" w:rsidP="00C923CD">
      <w:pPr>
        <w:suppressLineNumbers/>
        <w:spacing w:after="0" w:line="240" w:lineRule="auto"/>
        <w:jc w:val="both"/>
      </w:pPr>
    </w:p>
    <w:p w14:paraId="16316CEE" w14:textId="7F66658F" w:rsidR="00DE43B0" w:rsidRPr="00C923CD" w:rsidRDefault="008C7E2A" w:rsidP="00C923CD">
      <w:pPr>
        <w:suppressLineNumbers/>
        <w:spacing w:after="0" w:line="240" w:lineRule="auto"/>
        <w:jc w:val="both"/>
        <w:rPr>
          <w:rFonts w:eastAsia="Times New Roman" w:cs="Times New Roman"/>
        </w:rPr>
      </w:pPr>
      <w:r w:rsidRPr="00C923CD">
        <w:t>En anglais, les termes de recherche utilisés étaient initialement limités à « health systems » ET « nom du pays de la CEDEAO », à « Health Policy Systems Research » ET « West Africa » ou « nom du pays de la CEDEAO » et à « health policy » ET « nom du pays de la CEDEAO » Plus tard, ils ont été élargis pour comprendre « Health Care Financing » ET « West African country », « Health Service delivery » ET « West African country », « Health Leadership » OU « Governance » ET « West African country », « Health Information Systems » ET « West African country », « Health Care » ET « Human resource » ET « West African country ». En français, les termes de recherche utilisés étaient : Prestations services + soin de santé + Afrique de l</w:t>
      </w:r>
      <w:r w:rsidR="003275A7" w:rsidRPr="00C923CD">
        <w:t>’</w:t>
      </w:r>
      <w:r w:rsidRPr="00C923CD">
        <w:t>Ouest/un pays de l</w:t>
      </w:r>
      <w:r w:rsidR="003275A7" w:rsidRPr="00C923CD">
        <w:t>’</w:t>
      </w:r>
      <w:r w:rsidRPr="00C923CD">
        <w:t>Afrique de l</w:t>
      </w:r>
      <w:r w:rsidR="003275A7" w:rsidRPr="00C923CD">
        <w:t>’</w:t>
      </w:r>
      <w:r w:rsidRPr="00C923CD">
        <w:t>Ouest, Accès +soin + Afrique de l</w:t>
      </w:r>
      <w:r w:rsidR="003275A7" w:rsidRPr="00C923CD">
        <w:t>’</w:t>
      </w:r>
      <w:r w:rsidRPr="00C923CD">
        <w:t>Ouest, Accès +soin + un pays de l</w:t>
      </w:r>
      <w:r w:rsidR="003275A7" w:rsidRPr="00C923CD">
        <w:t>’</w:t>
      </w:r>
      <w:r w:rsidRPr="00C923CD">
        <w:t>Afrique de l</w:t>
      </w:r>
      <w:r w:rsidR="003275A7" w:rsidRPr="00C923CD">
        <w:t>’</w:t>
      </w:r>
      <w:r w:rsidRPr="00C923CD">
        <w:t>Ouest</w:t>
      </w:r>
      <w:r w:rsidR="007A6BD8" w:rsidRPr="00C923CD">
        <w:t xml:space="preserve">, </w:t>
      </w:r>
      <w:r w:rsidRPr="00C923CD">
        <w:t>Personnels de santé + Afrique de l</w:t>
      </w:r>
      <w:r w:rsidR="003275A7" w:rsidRPr="00C923CD">
        <w:t>’</w:t>
      </w:r>
      <w:r w:rsidRPr="00C923CD">
        <w:t>Ouest/un pays de l</w:t>
      </w:r>
      <w:r w:rsidR="003275A7" w:rsidRPr="00C923CD">
        <w:t>’</w:t>
      </w:r>
      <w:r w:rsidRPr="00C923CD">
        <w:t>Afrique de l</w:t>
      </w:r>
      <w:r w:rsidR="003275A7" w:rsidRPr="00C923CD">
        <w:t>’</w:t>
      </w:r>
      <w:r w:rsidRPr="00C923CD">
        <w:t>Ouest, Politiques pharmaceutique</w:t>
      </w:r>
      <w:r w:rsidR="009C2F7E" w:rsidRPr="00C923CD">
        <w:t xml:space="preserve">s </w:t>
      </w:r>
      <w:r w:rsidRPr="00C923CD">
        <w:t>+Afrique de l</w:t>
      </w:r>
      <w:r w:rsidR="003275A7" w:rsidRPr="00C923CD">
        <w:t>’</w:t>
      </w:r>
      <w:r w:rsidRPr="00C923CD">
        <w:t>Ouest /un pays de l</w:t>
      </w:r>
      <w:r w:rsidR="003275A7" w:rsidRPr="00C923CD">
        <w:t>’</w:t>
      </w:r>
      <w:r w:rsidRPr="00C923CD">
        <w:t>Afrique de l</w:t>
      </w:r>
      <w:r w:rsidR="003275A7" w:rsidRPr="00C923CD">
        <w:t>’</w:t>
      </w:r>
      <w:r w:rsidRPr="00C923CD">
        <w:t>Ouest, système d</w:t>
      </w:r>
      <w:r w:rsidR="003275A7" w:rsidRPr="00C923CD">
        <w:t>’</w:t>
      </w:r>
      <w:r w:rsidRPr="00C923CD">
        <w:t>information santé +Afrique de l</w:t>
      </w:r>
      <w:r w:rsidR="003275A7" w:rsidRPr="00C923CD">
        <w:t>’</w:t>
      </w:r>
      <w:r w:rsidRPr="00C923CD">
        <w:t>Ouest/un pays de l</w:t>
      </w:r>
      <w:r w:rsidR="003275A7" w:rsidRPr="00C923CD">
        <w:t>’</w:t>
      </w:r>
      <w:r w:rsidRPr="00C923CD">
        <w:t>Afrique de l</w:t>
      </w:r>
      <w:r w:rsidR="003275A7" w:rsidRPr="00C923CD">
        <w:t>’</w:t>
      </w:r>
      <w:r w:rsidRPr="00C923CD">
        <w:t>Ouest.</w:t>
      </w:r>
    </w:p>
    <w:p w14:paraId="76FF6550" w14:textId="77777777" w:rsidR="00C923CD" w:rsidRDefault="00C923CD" w:rsidP="00C923CD">
      <w:pPr>
        <w:suppressLineNumbers/>
        <w:spacing w:after="0" w:line="240" w:lineRule="auto"/>
        <w:rPr>
          <w:b/>
        </w:rPr>
      </w:pPr>
    </w:p>
    <w:p w14:paraId="012CA22F" w14:textId="7A696D7C" w:rsidR="000B1406" w:rsidRPr="00C923CD" w:rsidRDefault="000B1406" w:rsidP="00C923CD">
      <w:pPr>
        <w:suppressLineNumbers/>
        <w:spacing w:after="0" w:line="240" w:lineRule="auto"/>
        <w:rPr>
          <w:b/>
        </w:rPr>
      </w:pPr>
      <w:r w:rsidRPr="00C923CD">
        <w:rPr>
          <w:b/>
        </w:rPr>
        <w:t>Figure 1 : Organigramme de l</w:t>
      </w:r>
      <w:r w:rsidR="003275A7" w:rsidRPr="00C923CD">
        <w:rPr>
          <w:b/>
        </w:rPr>
        <w:t>’</w:t>
      </w:r>
      <w:r w:rsidRPr="00C923CD">
        <w:rPr>
          <w:b/>
        </w:rPr>
        <w:t>inclusion</w:t>
      </w:r>
    </w:p>
    <w:p w14:paraId="28568FA3" w14:textId="49E9BA57" w:rsidR="000B1406" w:rsidRPr="00C923CD" w:rsidRDefault="000B1406" w:rsidP="00C923CD">
      <w:pPr>
        <w:suppressLineNumbers/>
        <w:spacing w:after="0" w:line="240" w:lineRule="auto"/>
      </w:pPr>
      <w:r w:rsidRPr="00C923CD">
        <w:t>La figure ci-dessous illustre l</w:t>
      </w:r>
      <w:r w:rsidR="003275A7" w:rsidRPr="00C923CD">
        <w:t>’</w:t>
      </w:r>
      <w:r w:rsidRPr="00C923CD">
        <w:t>organigramme de l</w:t>
      </w:r>
      <w:r w:rsidR="003275A7" w:rsidRPr="00C923CD">
        <w:t>’</w:t>
      </w:r>
      <w:r w:rsidRPr="00C923CD">
        <w:t>inclusion des articles de l</w:t>
      </w:r>
      <w:r w:rsidR="003275A7" w:rsidRPr="00C923CD">
        <w:t>’</w:t>
      </w:r>
      <w:r w:rsidRPr="00C923CD">
        <w:t xml:space="preserve">examen de la portée. </w:t>
      </w:r>
    </w:p>
    <w:p w14:paraId="6863363A" w14:textId="17F664E6" w:rsidR="008E7F14" w:rsidRDefault="008E7F14" w:rsidP="008E7F14">
      <w:r>
        <w:rPr>
          <w:noProof/>
          <w:lang w:val="en-CA" w:eastAsia="en-CA"/>
        </w:rPr>
        <mc:AlternateContent>
          <mc:Choice Requires="wps">
            <w:drawing>
              <wp:anchor distT="0" distB="0" distL="114300" distR="114300" simplePos="0" relativeHeight="251659264" behindDoc="0" locked="0" layoutInCell="1" allowOverlap="1" wp14:anchorId="5DE61A3C" wp14:editId="625953F2">
                <wp:simplePos x="0" y="0"/>
                <wp:positionH relativeFrom="column">
                  <wp:posOffset>139065</wp:posOffset>
                </wp:positionH>
                <wp:positionV relativeFrom="paragraph">
                  <wp:posOffset>168275</wp:posOffset>
                </wp:positionV>
                <wp:extent cx="2889250" cy="461010"/>
                <wp:effectExtent l="0" t="0" r="25400" b="15240"/>
                <wp:wrapNone/>
                <wp:docPr id="26" name="Text Box 26"/>
                <wp:cNvGraphicFramePr/>
                <a:graphic xmlns:a="http://schemas.openxmlformats.org/drawingml/2006/main">
                  <a:graphicData uri="http://schemas.microsoft.com/office/word/2010/wordprocessingShape">
                    <wps:wsp>
                      <wps:cNvSpPr txBox="1"/>
                      <wps:spPr>
                        <a:xfrm>
                          <a:off x="0" y="0"/>
                          <a:ext cx="2889250" cy="460375"/>
                        </a:xfrm>
                        <a:prstGeom prst="rect">
                          <a:avLst/>
                        </a:prstGeom>
                        <a:solidFill>
                          <a:srgbClr val="5A9BD5"/>
                        </a:solidFill>
                        <a:ln w="6350">
                          <a:solidFill>
                            <a:srgbClr val="457196"/>
                          </a:solidFill>
                        </a:ln>
                      </wps:spPr>
                      <wps:txbx>
                        <w:txbxContent>
                          <w:p w14:paraId="271A27D7" w14:textId="77777777" w:rsidR="00121E13" w:rsidRDefault="00121E13" w:rsidP="008E7F14">
                            <w:pPr>
                              <w:spacing w:after="0" w:line="240" w:lineRule="auto"/>
                              <w:rPr>
                                <w:color w:val="FFFFFF" w:themeColor="background1"/>
                              </w:rPr>
                            </w:pPr>
                            <w:r>
                              <w:rPr>
                                <w:color w:val="FFFFFF" w:themeColor="background1"/>
                              </w:rPr>
                              <w:t>Nombre total d’articles récupérés de juillet 2014 à septembre 2015 = 262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E61A3C" id="_x0000_t202" coordsize="21600,21600" o:spt="202" path="m,l,21600r21600,l21600,xe">
                <v:stroke joinstyle="miter"/>
                <v:path gradientshapeok="t" o:connecttype="rect"/>
              </v:shapetype>
              <v:shape id="Text Box 26" o:spid="_x0000_s1026" type="#_x0000_t202" style="position:absolute;margin-left:10.95pt;margin-top:13.25pt;width:227.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" fillcolor="#5a9bd5" strokecolor="#457196" strokeweight=".5pt">
                <v:textbox>
                  <w:txbxContent>
                    <w:p w14:paraId="271A27D7" w14:textId="77777777" w:rsidR="00121E13" w:rsidRDefault="00121E13" w:rsidP="008E7F14">
                      <w:pPr>
                        <w:spacing w:after="0" w:line="240" w:lineRule="auto"/>
                        <w:rPr>
                          <w:color w:val="FFFFFF" w:themeColor="background1"/>
                        </w:rPr>
                      </w:pPr>
                      <w:r>
                        <w:rPr>
                          <w:color w:val="FFFFFF" w:themeColor="background1"/>
                        </w:rPr>
                        <w:t>Nombre total d’articles récupérés de juillet 2014 à septembre 2015 = 262</w:t>
                      </w: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5F89565F" wp14:editId="3CB170BE">
                <wp:simplePos x="0" y="0"/>
                <wp:positionH relativeFrom="column">
                  <wp:posOffset>138430</wp:posOffset>
                </wp:positionH>
                <wp:positionV relativeFrom="paragraph">
                  <wp:posOffset>918845</wp:posOffset>
                </wp:positionV>
                <wp:extent cx="2889250" cy="461010"/>
                <wp:effectExtent l="0" t="0" r="25400" b="15240"/>
                <wp:wrapNone/>
                <wp:docPr id="25" name="Text Box 25"/>
                <wp:cNvGraphicFramePr/>
                <a:graphic xmlns:a="http://schemas.openxmlformats.org/drawingml/2006/main">
                  <a:graphicData uri="http://schemas.microsoft.com/office/word/2010/wordprocessingShape">
                    <wps:wsp>
                      <wps:cNvSpPr txBox="1"/>
                      <wps:spPr>
                        <a:xfrm>
                          <a:off x="0" y="0"/>
                          <a:ext cx="2889250" cy="460375"/>
                        </a:xfrm>
                        <a:prstGeom prst="rect">
                          <a:avLst/>
                        </a:prstGeom>
                        <a:solidFill>
                          <a:srgbClr val="5A9BD5"/>
                        </a:solidFill>
                        <a:ln w="6350">
                          <a:solidFill>
                            <a:srgbClr val="457196"/>
                          </a:solidFill>
                        </a:ln>
                      </wps:spPr>
                      <wps:txbx>
                        <w:txbxContent>
                          <w:p w14:paraId="317735AD" w14:textId="77777777" w:rsidR="00121E13" w:rsidRDefault="00121E13" w:rsidP="008E7F14">
                            <w:pPr>
                              <w:spacing w:after="0" w:line="240" w:lineRule="auto"/>
                              <w:jc w:val="center"/>
                              <w:rPr>
                                <w:color w:val="FFFFFF" w:themeColor="background1"/>
                              </w:rPr>
                            </w:pPr>
                            <w:r>
                              <w:rPr>
                                <w:color w:val="FFFFFF" w:themeColor="background1"/>
                              </w:rPr>
                              <w:t>Nombre d’articles exclus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89565F" id="Text Box 25" o:spid="_x0000_s1027" type="#_x0000_t202" style="position:absolute;margin-left:10.9pt;margin-top:72.35pt;width:227.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" fillcolor="#5a9bd5" strokecolor="#457196" strokeweight=".5pt">
                <v:textbox>
                  <w:txbxContent>
                    <w:p w14:paraId="317735AD" w14:textId="77777777" w:rsidR="00121E13" w:rsidRDefault="00121E13" w:rsidP="008E7F14">
                      <w:pPr>
                        <w:spacing w:after="0" w:line="240" w:lineRule="auto"/>
                        <w:jc w:val="center"/>
                        <w:rPr>
                          <w:color w:val="FFFFFF" w:themeColor="background1"/>
                        </w:rPr>
                      </w:pPr>
                      <w:r>
                        <w:rPr>
                          <w:color w:val="FFFFFF" w:themeColor="background1"/>
                        </w:rPr>
                        <w:t>Nombre d’articles exclus = 4</w:t>
                      </w:r>
                    </w:p>
                  </w:txbxContent>
                </v:textbox>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32C36DE7" wp14:editId="387F3D26">
                <wp:simplePos x="0" y="0"/>
                <wp:positionH relativeFrom="column">
                  <wp:posOffset>138430</wp:posOffset>
                </wp:positionH>
                <wp:positionV relativeFrom="paragraph">
                  <wp:posOffset>1663065</wp:posOffset>
                </wp:positionV>
                <wp:extent cx="2889250" cy="460375"/>
                <wp:effectExtent l="0" t="0" r="25400" b="15875"/>
                <wp:wrapNone/>
                <wp:docPr id="24" name="Text Box 24"/>
                <wp:cNvGraphicFramePr/>
                <a:graphic xmlns:a="http://schemas.openxmlformats.org/drawingml/2006/main">
                  <a:graphicData uri="http://schemas.microsoft.com/office/word/2010/wordprocessingShape">
                    <wps:wsp>
                      <wps:cNvSpPr txBox="1"/>
                      <wps:spPr>
                        <a:xfrm>
                          <a:off x="0" y="0"/>
                          <a:ext cx="2889250" cy="460375"/>
                        </a:xfrm>
                        <a:prstGeom prst="rect">
                          <a:avLst/>
                        </a:prstGeom>
                        <a:solidFill>
                          <a:srgbClr val="5A9BD5"/>
                        </a:solidFill>
                        <a:ln w="6350">
                          <a:solidFill>
                            <a:srgbClr val="457196"/>
                          </a:solidFill>
                        </a:ln>
                      </wps:spPr>
                      <wps:txbx>
                        <w:txbxContent>
                          <w:p w14:paraId="45530E21" w14:textId="77777777" w:rsidR="00121E13" w:rsidRDefault="00121E13" w:rsidP="008E7F14">
                            <w:pPr>
                              <w:spacing w:after="0" w:line="240" w:lineRule="auto"/>
                              <w:jc w:val="center"/>
                              <w:rPr>
                                <w:color w:val="FFFFFF" w:themeColor="background1"/>
                              </w:rPr>
                            </w:pPr>
                            <w:r>
                              <w:rPr>
                                <w:color w:val="FFFFFF" w:themeColor="background1"/>
                              </w:rPr>
                              <w:t>Nombre d’articles téléchargés = 258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2C36DE7" id="Text Box 24" o:spid="_x0000_s1028" type="#_x0000_t202" style="position:absolute;margin-left:10.9pt;margin-top:130.95pt;width:227.5pt;height: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" fillcolor="#5a9bd5" strokecolor="#457196" strokeweight=".5pt">
                <v:textbox>
                  <w:txbxContent>
                    <w:p w14:paraId="45530E21" w14:textId="77777777" w:rsidR="00121E13" w:rsidRDefault="00121E13" w:rsidP="008E7F14">
                      <w:pPr>
                        <w:spacing w:after="0" w:line="240" w:lineRule="auto"/>
                        <w:jc w:val="center"/>
                        <w:rPr>
                          <w:color w:val="FFFFFF" w:themeColor="background1"/>
                        </w:rPr>
                      </w:pPr>
                      <w:r>
                        <w:rPr>
                          <w:color w:val="FFFFFF" w:themeColor="background1"/>
                        </w:rPr>
                        <w:t>Nombre d’articles téléchargés = 258</w:t>
                      </w:r>
                    </w:p>
                  </w:txbxContent>
                </v:textbox>
              </v:shape>
            </w:pict>
          </mc:Fallback>
        </mc:AlternateContent>
      </w:r>
      <w:r>
        <w:rPr>
          <w:noProof/>
          <w:lang w:val="en-CA" w:eastAsia="en-CA"/>
        </w:rPr>
        <mc:AlternateContent>
          <mc:Choice Requires="wps">
            <w:drawing>
              <wp:anchor distT="0" distB="0" distL="114300" distR="114300" simplePos="0" relativeHeight="251662336" behindDoc="0" locked="0" layoutInCell="1" allowOverlap="1" wp14:anchorId="0E5C0645" wp14:editId="7FEEB0A5">
                <wp:simplePos x="0" y="0"/>
                <wp:positionH relativeFrom="column">
                  <wp:posOffset>138430</wp:posOffset>
                </wp:positionH>
                <wp:positionV relativeFrom="paragraph">
                  <wp:posOffset>2381250</wp:posOffset>
                </wp:positionV>
                <wp:extent cx="2889250" cy="461010"/>
                <wp:effectExtent l="0" t="0" r="25400" b="15240"/>
                <wp:wrapNone/>
                <wp:docPr id="23" name="Text Box 23"/>
                <wp:cNvGraphicFramePr/>
                <a:graphic xmlns:a="http://schemas.openxmlformats.org/drawingml/2006/main">
                  <a:graphicData uri="http://schemas.microsoft.com/office/word/2010/wordprocessingShape">
                    <wps:wsp>
                      <wps:cNvSpPr txBox="1"/>
                      <wps:spPr>
                        <a:xfrm>
                          <a:off x="0" y="0"/>
                          <a:ext cx="2889250" cy="460375"/>
                        </a:xfrm>
                        <a:prstGeom prst="rect">
                          <a:avLst/>
                        </a:prstGeom>
                        <a:solidFill>
                          <a:srgbClr val="5A9BD5"/>
                        </a:solidFill>
                        <a:ln w="6350">
                          <a:solidFill>
                            <a:srgbClr val="457196"/>
                          </a:solidFill>
                        </a:ln>
                      </wps:spPr>
                      <wps:txbx>
                        <w:txbxContent>
                          <w:p w14:paraId="1E51F17D" w14:textId="77777777" w:rsidR="00121E13" w:rsidRDefault="00121E13" w:rsidP="008E7F14">
                            <w:pPr>
                              <w:spacing w:after="0" w:line="240" w:lineRule="auto"/>
                              <w:jc w:val="center"/>
                              <w:rPr>
                                <w:color w:val="FFFFFF" w:themeColor="background1"/>
                              </w:rPr>
                            </w:pPr>
                            <w:r>
                              <w:rPr>
                                <w:color w:val="FFFFFF" w:themeColor="background1"/>
                              </w:rPr>
                              <w:t>Nombre d’articles analysés d’un point de vue statistique = 246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5C0645" id="Text Box 23" o:spid="_x0000_s1029" type="#_x0000_t202" style="position:absolute;margin-left:10.9pt;margin-top:187.5pt;width:227.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" fillcolor="#5a9bd5" strokecolor="#457196" strokeweight=".5pt">
                <v:textbox>
                  <w:txbxContent>
                    <w:p w14:paraId="1E51F17D" w14:textId="77777777" w:rsidR="00121E13" w:rsidRDefault="00121E13" w:rsidP="008E7F14">
                      <w:pPr>
                        <w:spacing w:after="0" w:line="240" w:lineRule="auto"/>
                        <w:jc w:val="center"/>
                        <w:rPr>
                          <w:color w:val="FFFFFF" w:themeColor="background1"/>
                        </w:rPr>
                      </w:pPr>
                      <w:r>
                        <w:rPr>
                          <w:color w:val="FFFFFF" w:themeColor="background1"/>
                        </w:rPr>
                        <w:t>Nombre d’articles analysés d’un point de vue statistique = 246</w:t>
                      </w:r>
                    </w:p>
                  </w:txbxContent>
                </v:textbox>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7B694640" wp14:editId="28E1455F">
                <wp:simplePos x="0" y="0"/>
                <wp:positionH relativeFrom="column">
                  <wp:posOffset>1511935</wp:posOffset>
                </wp:positionH>
                <wp:positionV relativeFrom="paragraph">
                  <wp:posOffset>643255</wp:posOffset>
                </wp:positionV>
                <wp:extent cx="0" cy="270510"/>
                <wp:effectExtent l="76200" t="0" r="57150" b="53340"/>
                <wp:wrapNone/>
                <wp:docPr id="22" name="Straight Arrow Connector 22"/>
                <wp:cNvGraphicFramePr/>
                <a:graphic xmlns:a="http://schemas.openxmlformats.org/drawingml/2006/main">
                  <a:graphicData uri="http://schemas.microsoft.com/office/word/2010/wordprocessingShape">
                    <wps:wsp>
                      <wps:cNvCnPr/>
                      <wps:spPr>
                        <a:xfrm>
                          <a:off x="0" y="0"/>
                          <a:ext cx="0" cy="270510"/>
                        </a:xfrm>
                        <a:prstGeom prst="straightConnector1">
                          <a:avLst/>
                        </a:prstGeom>
                        <a:ln>
                          <a:solidFill>
                            <a:srgbClr val="457196"/>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65A57E1" id="_x0000_t32" coordsize="21600,21600" o:spt="32" o:oned="t" path="m,l21600,21600e" filled="f">
                <v:path arrowok="t" fillok="f" o:connecttype="none"/>
                <o:lock v:ext="edit" shapetype="t"/>
              </v:shapetype>
              <v:shape id="Straight Arrow Connector 22" o:spid="_x0000_s1026" type="#_x0000_t32" style="position:absolute;margin-left:119.05pt;margin-top:50.65pt;width:0;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" strokecolor="#457196">
                <v:stroke endarrow="open" endarrowwidth="narrow" endarrowlength="short"/>
              </v:shape>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10B90681" wp14:editId="07F6E71B">
                <wp:simplePos x="0" y="0"/>
                <wp:positionH relativeFrom="column">
                  <wp:posOffset>1511300</wp:posOffset>
                </wp:positionH>
                <wp:positionV relativeFrom="paragraph">
                  <wp:posOffset>1396365</wp:posOffset>
                </wp:positionV>
                <wp:extent cx="0" cy="270510"/>
                <wp:effectExtent l="76200" t="0" r="57150" b="53340"/>
                <wp:wrapNone/>
                <wp:docPr id="21" name="Straight Arrow Connector 21"/>
                <wp:cNvGraphicFramePr/>
                <a:graphic xmlns:a="http://schemas.openxmlformats.org/drawingml/2006/main">
                  <a:graphicData uri="http://schemas.microsoft.com/office/word/2010/wordprocessingShape">
                    <wps:wsp>
                      <wps:cNvCnPr/>
                      <wps:spPr>
                        <a:xfrm>
                          <a:off x="0" y="0"/>
                          <a:ext cx="0" cy="270510"/>
                        </a:xfrm>
                        <a:prstGeom prst="straightConnector1">
                          <a:avLst/>
                        </a:prstGeom>
                        <a:ln>
                          <a:solidFill>
                            <a:srgbClr val="457196"/>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F23D42" id="Straight Arrow Connector 21" o:spid="_x0000_s1026" type="#_x0000_t32" style="position:absolute;margin-left:119pt;margin-top:109.95pt;width:0;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" strokecolor="#457196">
                <v:stroke endarrow="open" endarrowwidth="narrow" endarrowlength="short"/>
              </v:shape>
            </w:pict>
          </mc:Fallback>
        </mc:AlternateContent>
      </w:r>
      <w:r>
        <w:rPr>
          <w:noProof/>
          <w:lang w:val="en-CA" w:eastAsia="en-CA"/>
        </w:rPr>
        <mc:AlternateContent>
          <mc:Choice Requires="wps">
            <w:drawing>
              <wp:anchor distT="0" distB="0" distL="114300" distR="114300" simplePos="0" relativeHeight="251665408" behindDoc="0" locked="0" layoutInCell="1" allowOverlap="1" wp14:anchorId="253B4314" wp14:editId="472ABC56">
                <wp:simplePos x="0" y="0"/>
                <wp:positionH relativeFrom="column">
                  <wp:posOffset>1511300</wp:posOffset>
                </wp:positionH>
                <wp:positionV relativeFrom="paragraph">
                  <wp:posOffset>2113280</wp:posOffset>
                </wp:positionV>
                <wp:extent cx="0" cy="270510"/>
                <wp:effectExtent l="76200" t="0" r="57150" b="53340"/>
                <wp:wrapNone/>
                <wp:docPr id="20" name="Straight Arrow Connector 20"/>
                <wp:cNvGraphicFramePr/>
                <a:graphic xmlns:a="http://schemas.openxmlformats.org/drawingml/2006/main">
                  <a:graphicData uri="http://schemas.microsoft.com/office/word/2010/wordprocessingShape">
                    <wps:wsp>
                      <wps:cNvCnPr/>
                      <wps:spPr>
                        <a:xfrm>
                          <a:off x="0" y="0"/>
                          <a:ext cx="0" cy="270510"/>
                        </a:xfrm>
                        <a:prstGeom prst="straightConnector1">
                          <a:avLst/>
                        </a:prstGeom>
                        <a:ln>
                          <a:solidFill>
                            <a:srgbClr val="457196"/>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DDC580" id="Straight Arrow Connector 20" o:spid="_x0000_s1026" type="#_x0000_t32" style="position:absolute;margin-left:119pt;margin-top:166.4pt;width:0;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" strokecolor="#457196">
                <v:stroke endarrow="open" endarrowwidth="narrow" endarrowlength="short"/>
              </v:shap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6D89234A" wp14:editId="34B5F02F">
                <wp:simplePos x="0" y="0"/>
                <wp:positionH relativeFrom="margin">
                  <wp:posOffset>3467735</wp:posOffset>
                </wp:positionH>
                <wp:positionV relativeFrom="paragraph">
                  <wp:posOffset>551815</wp:posOffset>
                </wp:positionV>
                <wp:extent cx="2286000" cy="892175"/>
                <wp:effectExtent l="0" t="0" r="19050" b="22225"/>
                <wp:wrapNone/>
                <wp:docPr id="19" name="Text Box 19"/>
                <wp:cNvGraphicFramePr/>
                <a:graphic xmlns:a="http://schemas.openxmlformats.org/drawingml/2006/main">
                  <a:graphicData uri="http://schemas.microsoft.com/office/word/2010/wordprocessingShape">
                    <wps:wsp>
                      <wps:cNvSpPr txBox="1"/>
                      <wps:spPr>
                        <a:xfrm>
                          <a:off x="0" y="0"/>
                          <a:ext cx="2286000" cy="892175"/>
                        </a:xfrm>
                        <a:prstGeom prst="rect">
                          <a:avLst/>
                        </a:prstGeom>
                        <a:solidFill>
                          <a:srgbClr val="5A9BD5"/>
                        </a:solidFill>
                        <a:ln w="6350">
                          <a:solidFill>
                            <a:srgbClr val="457196"/>
                          </a:solidFill>
                        </a:ln>
                      </wps:spPr>
                      <wps:txbx>
                        <w:txbxContent>
                          <w:p w14:paraId="48AA18A8" w14:textId="77777777" w:rsidR="00121E13" w:rsidRDefault="00121E13" w:rsidP="008E7F14">
                            <w:pPr>
                              <w:jc w:val="center"/>
                              <w:rPr>
                                <w:color w:val="FFFFFF" w:themeColor="background1"/>
                              </w:rPr>
                            </w:pPr>
                            <w:r>
                              <w:rPr>
                                <w:color w:val="FFFFFF" w:themeColor="background1"/>
                              </w:rPr>
                              <w:t>Articles publiés avant 1990 (1977) = 1</w:t>
                            </w:r>
                          </w:p>
                          <w:p w14:paraId="4080D37A" w14:textId="77777777" w:rsidR="00121E13" w:rsidRDefault="00121E13" w:rsidP="008E7F14">
                            <w:pPr>
                              <w:jc w:val="center"/>
                              <w:rPr>
                                <w:color w:val="FFFFFF" w:themeColor="background1"/>
                              </w:rPr>
                            </w:pPr>
                            <w:r>
                              <w:rPr>
                                <w:color w:val="FFFFFF" w:themeColor="background1"/>
                              </w:rPr>
                              <w:t>Articles de nature plus clinique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9234A" id="Text Box 19" o:spid="_x0000_s1030" type="#_x0000_t202" style="position:absolute;margin-left:273.05pt;margin-top:43.45pt;width:180pt;height:7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" fillcolor="#5a9bd5" strokecolor="#457196" strokeweight=".5pt">
                <v:textbox>
                  <w:txbxContent>
                    <w:p w14:paraId="48AA18A8" w14:textId="77777777" w:rsidR="00121E13" w:rsidRDefault="00121E13" w:rsidP="008E7F14">
                      <w:pPr>
                        <w:jc w:val="center"/>
                        <w:rPr>
                          <w:color w:val="FFFFFF" w:themeColor="background1"/>
                        </w:rPr>
                      </w:pPr>
                      <w:r>
                        <w:rPr>
                          <w:color w:val="FFFFFF" w:themeColor="background1"/>
                        </w:rPr>
                        <w:t>Articles publiés avant 1990 (1977) = 1</w:t>
                      </w:r>
                    </w:p>
                    <w:p w14:paraId="4080D37A" w14:textId="77777777" w:rsidR="00121E13" w:rsidRDefault="00121E13" w:rsidP="008E7F14">
                      <w:pPr>
                        <w:jc w:val="center"/>
                        <w:rPr>
                          <w:color w:val="FFFFFF" w:themeColor="background1"/>
                        </w:rPr>
                      </w:pPr>
                      <w:r>
                        <w:rPr>
                          <w:color w:val="FFFFFF" w:themeColor="background1"/>
                        </w:rPr>
                        <w:t>Articles de nature plus clinique = 3</w:t>
                      </w:r>
                    </w:p>
                  </w:txbxContent>
                </v:textbox>
                <w10:wrap anchorx="margin"/>
              </v:shape>
            </w:pict>
          </mc:Fallback>
        </mc:AlternateContent>
      </w:r>
      <w:r>
        <w:rPr>
          <w:noProof/>
          <w:lang w:val="en-CA" w:eastAsia="en-CA"/>
        </w:rPr>
        <mc:AlternateContent>
          <mc:Choice Requires="wps">
            <w:drawing>
              <wp:anchor distT="0" distB="0" distL="114300" distR="114300" simplePos="0" relativeHeight="251667456" behindDoc="0" locked="0" layoutInCell="1" allowOverlap="1" wp14:anchorId="411BC398" wp14:editId="70B4412D">
                <wp:simplePos x="0" y="0"/>
                <wp:positionH relativeFrom="margin">
                  <wp:posOffset>3467735</wp:posOffset>
                </wp:positionH>
                <wp:positionV relativeFrom="paragraph">
                  <wp:posOffset>1656080</wp:posOffset>
                </wp:positionV>
                <wp:extent cx="2286000" cy="4572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86000" cy="457200"/>
                        </a:xfrm>
                        <a:prstGeom prst="rect">
                          <a:avLst/>
                        </a:prstGeom>
                        <a:solidFill>
                          <a:srgbClr val="5A9BD5"/>
                        </a:solidFill>
                        <a:ln w="6350">
                          <a:solidFill>
                            <a:srgbClr val="457196"/>
                          </a:solidFill>
                        </a:ln>
                      </wps:spPr>
                      <wps:txbx>
                        <w:txbxContent>
                          <w:p w14:paraId="293DBF1F" w14:textId="77777777" w:rsidR="00121E13" w:rsidRDefault="00121E13" w:rsidP="008E7F14">
                            <w:pPr>
                              <w:spacing w:after="0" w:line="240" w:lineRule="auto"/>
                              <w:jc w:val="center"/>
                              <w:rPr>
                                <w:color w:val="FFFFFF" w:themeColor="background1"/>
                              </w:rPr>
                            </w:pPr>
                            <w:r>
                              <w:rPr>
                                <w:color w:val="FFFFFF" w:themeColor="background1"/>
                              </w:rPr>
                              <w:t>12 articles rejetés pour des raisons d’erreur de saisie de données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BC398" id="Text Box 18" o:spid="_x0000_s1031" type="#_x0000_t202" style="position:absolute;margin-left:273.05pt;margin-top:130.4pt;width:180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" fillcolor="#5a9bd5" strokecolor="#457196" strokeweight=".5pt">
                <v:textbox>
                  <w:txbxContent>
                    <w:p w14:paraId="293DBF1F" w14:textId="77777777" w:rsidR="00121E13" w:rsidRDefault="00121E13" w:rsidP="008E7F14">
                      <w:pPr>
                        <w:spacing w:after="0" w:line="240" w:lineRule="auto"/>
                        <w:jc w:val="center"/>
                        <w:rPr>
                          <w:color w:val="FFFFFF" w:themeColor="background1"/>
                        </w:rPr>
                      </w:pPr>
                      <w:r>
                        <w:rPr>
                          <w:color w:val="FFFFFF" w:themeColor="background1"/>
                        </w:rPr>
                        <w:t>12 articles rejetés pour des raisons d’erreur de saisie de données</w:t>
                      </w:r>
                    </w:p>
                  </w:txbxContent>
                </v:textbox>
                <w10:wrap anchorx="margin"/>
              </v:shape>
            </w:pict>
          </mc:Fallback>
        </mc:AlternateContent>
      </w:r>
      <w:r>
        <w:rPr>
          <w:noProof/>
          <w:lang w:val="en-CA" w:eastAsia="en-CA"/>
        </w:rPr>
        <mc:AlternateContent>
          <mc:Choice Requires="wps">
            <w:drawing>
              <wp:anchor distT="0" distB="0" distL="114300" distR="114300" simplePos="0" relativeHeight="251668480" behindDoc="0" locked="0" layoutInCell="1" allowOverlap="1" wp14:anchorId="612B85D8" wp14:editId="7A57A53D">
                <wp:simplePos x="0" y="0"/>
                <wp:positionH relativeFrom="margin">
                  <wp:posOffset>3467735</wp:posOffset>
                </wp:positionH>
                <wp:positionV relativeFrom="paragraph">
                  <wp:posOffset>2380615</wp:posOffset>
                </wp:positionV>
                <wp:extent cx="1966595" cy="603250"/>
                <wp:effectExtent l="0" t="0" r="14605" b="25400"/>
                <wp:wrapNone/>
                <wp:docPr id="17" name="Text Box 17"/>
                <wp:cNvGraphicFramePr/>
                <a:graphic xmlns:a="http://schemas.openxmlformats.org/drawingml/2006/main">
                  <a:graphicData uri="http://schemas.microsoft.com/office/word/2010/wordprocessingShape">
                    <wps:wsp>
                      <wps:cNvSpPr txBox="1"/>
                      <wps:spPr>
                        <a:xfrm>
                          <a:off x="0" y="0"/>
                          <a:ext cx="1966595" cy="603250"/>
                        </a:xfrm>
                        <a:prstGeom prst="rect">
                          <a:avLst/>
                        </a:prstGeom>
                        <a:solidFill>
                          <a:srgbClr val="5A9BD5"/>
                        </a:solidFill>
                        <a:ln w="6350">
                          <a:solidFill>
                            <a:srgbClr val="457196"/>
                          </a:solidFill>
                        </a:ln>
                      </wps:spPr>
                      <wps:txbx>
                        <w:txbxContent>
                          <w:p w14:paraId="40D9CCE5" w14:textId="77777777" w:rsidR="00121E13" w:rsidRDefault="00121E13" w:rsidP="008E7F14">
                            <w:pPr>
                              <w:jc w:val="center"/>
                              <w:rPr>
                                <w:color w:val="FFFFFF" w:themeColor="background1"/>
                              </w:rPr>
                            </w:pPr>
                            <w:r>
                              <w:rPr>
                                <w:color w:val="FFFFFF" w:themeColor="background1"/>
                              </w:rPr>
                              <w:t>Articles en français = 37</w:t>
                            </w:r>
                          </w:p>
                          <w:p w14:paraId="7E9655B6" w14:textId="77777777" w:rsidR="00121E13" w:rsidRDefault="00121E13" w:rsidP="008E7F14">
                            <w:pPr>
                              <w:jc w:val="center"/>
                              <w:rPr>
                                <w:color w:val="FFFFFF" w:themeColor="background1"/>
                              </w:rPr>
                            </w:pPr>
                            <w:r>
                              <w:rPr>
                                <w:color w:val="FFFFFF" w:themeColor="background1"/>
                              </w:rPr>
                              <w:t>Articles en anglais = 209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B85D8" id="Text Box 17" o:spid="_x0000_s1032" type="#_x0000_t202" style="position:absolute;margin-left:273.05pt;margin-top:187.45pt;width:154.85pt;height: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" fillcolor="#5a9bd5" strokecolor="#457196" strokeweight=".5pt">
                <v:textbox>
                  <w:txbxContent>
                    <w:p w14:paraId="40D9CCE5" w14:textId="77777777" w:rsidR="00121E13" w:rsidRDefault="00121E13" w:rsidP="008E7F14">
                      <w:pPr>
                        <w:jc w:val="center"/>
                        <w:rPr>
                          <w:color w:val="FFFFFF" w:themeColor="background1"/>
                        </w:rPr>
                      </w:pPr>
                      <w:r>
                        <w:rPr>
                          <w:color w:val="FFFFFF" w:themeColor="background1"/>
                        </w:rPr>
                        <w:t>Articles en français = 37</w:t>
                      </w:r>
                    </w:p>
                    <w:p w14:paraId="7E9655B6" w14:textId="77777777" w:rsidR="00121E13" w:rsidRDefault="00121E13" w:rsidP="008E7F14">
                      <w:pPr>
                        <w:jc w:val="center"/>
                        <w:rPr>
                          <w:color w:val="FFFFFF" w:themeColor="background1"/>
                        </w:rPr>
                      </w:pPr>
                      <w:r>
                        <w:rPr>
                          <w:color w:val="FFFFFF" w:themeColor="background1"/>
                        </w:rPr>
                        <w:t>Articles en anglais = 209</w:t>
                      </w:r>
                    </w:p>
                  </w:txbxContent>
                </v:textbox>
                <w10:wrap anchorx="margin"/>
              </v:shape>
            </w:pict>
          </mc:Fallback>
        </mc:AlternateContent>
      </w:r>
      <w:r>
        <w:rPr>
          <w:noProof/>
          <w:lang w:val="en-CA" w:eastAsia="en-CA"/>
        </w:rPr>
        <mc:AlternateContent>
          <mc:Choice Requires="wps">
            <w:drawing>
              <wp:anchor distT="0" distB="0" distL="114300" distR="114300" simplePos="0" relativeHeight="251669504" behindDoc="0" locked="0" layoutInCell="1" allowOverlap="1" wp14:anchorId="5DBA9153" wp14:editId="01068275">
                <wp:simplePos x="0" y="0"/>
                <wp:positionH relativeFrom="column">
                  <wp:posOffset>3013710</wp:posOffset>
                </wp:positionH>
                <wp:positionV relativeFrom="paragraph">
                  <wp:posOffset>2597150</wp:posOffset>
                </wp:positionV>
                <wp:extent cx="453390" cy="0"/>
                <wp:effectExtent l="38100" t="76200" r="0" b="95250"/>
                <wp:wrapNone/>
                <wp:docPr id="16" name="Straight Arrow Connector 16"/>
                <wp:cNvGraphicFramePr/>
                <a:graphic xmlns:a="http://schemas.openxmlformats.org/drawingml/2006/main">
                  <a:graphicData uri="http://schemas.microsoft.com/office/word/2010/wordprocessingShape">
                    <wps:wsp>
                      <wps:cNvCnPr/>
                      <wps:spPr>
                        <a:xfrm flipH="1">
                          <a:off x="0" y="0"/>
                          <a:ext cx="453390" cy="0"/>
                        </a:xfrm>
                        <a:prstGeom prst="straightConnector1">
                          <a:avLst/>
                        </a:prstGeom>
                        <a:ln>
                          <a:solidFill>
                            <a:srgbClr val="457196"/>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992B99" id="Straight Arrow Connector 16" o:spid="_x0000_s1026" type="#_x0000_t32" style="position:absolute;margin-left:237.3pt;margin-top:204.5pt;width:35.7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" strokecolor="#457196">
                <v:stroke endarrow="open" endarrowwidth="narrow" endarrowlength="short"/>
              </v:shap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5965FF88" wp14:editId="067FD5CB">
                <wp:simplePos x="0" y="0"/>
                <wp:positionH relativeFrom="column">
                  <wp:posOffset>3013710</wp:posOffset>
                </wp:positionH>
                <wp:positionV relativeFrom="paragraph">
                  <wp:posOffset>1879600</wp:posOffset>
                </wp:positionV>
                <wp:extent cx="453390" cy="0"/>
                <wp:effectExtent l="0" t="76200" r="22860" b="95250"/>
                <wp:wrapNone/>
                <wp:docPr id="12" name="Straight Arrow Connector 12"/>
                <wp:cNvGraphicFramePr/>
                <a:graphic xmlns:a="http://schemas.openxmlformats.org/drawingml/2006/main">
                  <a:graphicData uri="http://schemas.microsoft.com/office/word/2010/wordprocessingShape">
                    <wps:wsp>
                      <wps:cNvCnPr/>
                      <wps:spPr>
                        <a:xfrm>
                          <a:off x="0" y="0"/>
                          <a:ext cx="453390" cy="0"/>
                        </a:xfrm>
                        <a:prstGeom prst="straightConnector1">
                          <a:avLst/>
                        </a:prstGeom>
                        <a:ln>
                          <a:solidFill>
                            <a:srgbClr val="457196"/>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05145B" id="Straight Arrow Connector 12" o:spid="_x0000_s1026" type="#_x0000_t32" style="position:absolute;margin-left:237.3pt;margin-top:148pt;width:35.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" strokecolor="#457196">
                <v:stroke endarrow="open" endarrowwidth="narrow" endarrowlength="short"/>
              </v:shape>
            </w:pict>
          </mc:Fallback>
        </mc:AlternateContent>
      </w:r>
      <w:r>
        <w:rPr>
          <w:noProof/>
          <w:lang w:val="en-CA" w:eastAsia="en-CA"/>
        </w:rPr>
        <mc:AlternateContent>
          <mc:Choice Requires="wps">
            <w:drawing>
              <wp:anchor distT="0" distB="0" distL="114300" distR="114300" simplePos="0" relativeHeight="251671552" behindDoc="0" locked="0" layoutInCell="1" allowOverlap="1" wp14:anchorId="3908F134" wp14:editId="2EF9717B">
                <wp:simplePos x="0" y="0"/>
                <wp:positionH relativeFrom="column">
                  <wp:posOffset>3013710</wp:posOffset>
                </wp:positionH>
                <wp:positionV relativeFrom="paragraph">
                  <wp:posOffset>1118235</wp:posOffset>
                </wp:positionV>
                <wp:extent cx="453390" cy="0"/>
                <wp:effectExtent l="0" t="76200" r="22860" b="95250"/>
                <wp:wrapNone/>
                <wp:docPr id="5" name="Straight Arrow Connector 5"/>
                <wp:cNvGraphicFramePr/>
                <a:graphic xmlns:a="http://schemas.openxmlformats.org/drawingml/2006/main">
                  <a:graphicData uri="http://schemas.microsoft.com/office/word/2010/wordprocessingShape">
                    <wps:wsp>
                      <wps:cNvCnPr/>
                      <wps:spPr>
                        <a:xfrm>
                          <a:off x="0" y="0"/>
                          <a:ext cx="453390" cy="0"/>
                        </a:xfrm>
                        <a:prstGeom prst="straightConnector1">
                          <a:avLst/>
                        </a:prstGeom>
                        <a:ln>
                          <a:solidFill>
                            <a:srgbClr val="457196"/>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0D24B4" id="Straight Arrow Connector 5" o:spid="_x0000_s1026" type="#_x0000_t32" style="position:absolute;margin-left:237.3pt;margin-top:88.05pt;width:35.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" strokecolor="#457196">
                <v:stroke endarrow="open" endarrowwidth="narrow" endarrowlength="short"/>
              </v:shape>
            </w:pict>
          </mc:Fallback>
        </mc:AlternateContent>
      </w:r>
    </w:p>
    <w:p w14:paraId="003F7C56" w14:textId="77777777" w:rsidR="008E7F14" w:rsidRDefault="008E7F14" w:rsidP="00C923CD">
      <w:pPr>
        <w:suppressLineNumbers/>
        <w:spacing w:after="0" w:line="240" w:lineRule="auto"/>
        <w:jc w:val="both"/>
        <w:rPr>
          <w:rFonts w:cs="Times New Roman"/>
        </w:rPr>
      </w:pPr>
    </w:p>
    <w:p w14:paraId="1E12FEBF" w14:textId="77777777" w:rsidR="008E7F14" w:rsidRDefault="008E7F14" w:rsidP="00C923CD">
      <w:pPr>
        <w:suppressLineNumbers/>
        <w:spacing w:after="0" w:line="240" w:lineRule="auto"/>
        <w:jc w:val="both"/>
        <w:rPr>
          <w:rFonts w:cs="Times New Roman"/>
        </w:rPr>
      </w:pPr>
    </w:p>
    <w:p w14:paraId="59C3B3FC" w14:textId="77777777" w:rsidR="008E7F14" w:rsidRDefault="008E7F14" w:rsidP="00C923CD">
      <w:pPr>
        <w:suppressLineNumbers/>
        <w:spacing w:after="0" w:line="240" w:lineRule="auto"/>
        <w:jc w:val="both"/>
        <w:rPr>
          <w:rFonts w:cs="Times New Roman"/>
        </w:rPr>
      </w:pPr>
    </w:p>
    <w:p w14:paraId="43DCB924" w14:textId="77777777" w:rsidR="008E7F14" w:rsidRDefault="008E7F14" w:rsidP="00C923CD">
      <w:pPr>
        <w:suppressLineNumbers/>
        <w:spacing w:after="0" w:line="240" w:lineRule="auto"/>
        <w:jc w:val="both"/>
        <w:rPr>
          <w:rFonts w:cs="Times New Roman"/>
        </w:rPr>
      </w:pPr>
    </w:p>
    <w:p w14:paraId="05B777D1" w14:textId="77777777" w:rsidR="008E7F14" w:rsidRDefault="008E7F14" w:rsidP="00C923CD">
      <w:pPr>
        <w:suppressLineNumbers/>
        <w:spacing w:after="0" w:line="240" w:lineRule="auto"/>
        <w:jc w:val="both"/>
        <w:rPr>
          <w:rFonts w:cs="Times New Roman"/>
        </w:rPr>
      </w:pPr>
    </w:p>
    <w:p w14:paraId="6A7C4951" w14:textId="77777777" w:rsidR="008E7F14" w:rsidRDefault="008E7F14" w:rsidP="00C923CD">
      <w:pPr>
        <w:suppressLineNumbers/>
        <w:spacing w:after="0" w:line="240" w:lineRule="auto"/>
        <w:jc w:val="both"/>
        <w:rPr>
          <w:rFonts w:cs="Times New Roman"/>
        </w:rPr>
      </w:pPr>
    </w:p>
    <w:p w14:paraId="3D1591B3" w14:textId="77777777" w:rsidR="008E7F14" w:rsidRDefault="008E7F14" w:rsidP="00C923CD">
      <w:pPr>
        <w:suppressLineNumbers/>
        <w:spacing w:after="0" w:line="240" w:lineRule="auto"/>
        <w:jc w:val="both"/>
        <w:rPr>
          <w:rFonts w:cs="Times New Roman"/>
        </w:rPr>
      </w:pPr>
    </w:p>
    <w:p w14:paraId="7F8361BB" w14:textId="77777777" w:rsidR="008E7F14" w:rsidRDefault="008E7F14" w:rsidP="00C923CD">
      <w:pPr>
        <w:suppressLineNumbers/>
        <w:spacing w:after="0" w:line="240" w:lineRule="auto"/>
        <w:jc w:val="both"/>
        <w:rPr>
          <w:rFonts w:cs="Times New Roman"/>
        </w:rPr>
      </w:pPr>
    </w:p>
    <w:p w14:paraId="6E493DBD" w14:textId="77777777" w:rsidR="008E7F14" w:rsidRDefault="008E7F14" w:rsidP="00C923CD">
      <w:pPr>
        <w:suppressLineNumbers/>
        <w:spacing w:after="0" w:line="240" w:lineRule="auto"/>
        <w:jc w:val="both"/>
        <w:rPr>
          <w:rFonts w:cs="Times New Roman"/>
        </w:rPr>
      </w:pPr>
    </w:p>
    <w:p w14:paraId="0AD270C7" w14:textId="77777777" w:rsidR="008E7F14" w:rsidRDefault="008E7F14" w:rsidP="00C923CD">
      <w:pPr>
        <w:suppressLineNumbers/>
        <w:spacing w:after="0" w:line="240" w:lineRule="auto"/>
        <w:jc w:val="both"/>
        <w:rPr>
          <w:rFonts w:cs="Times New Roman"/>
        </w:rPr>
      </w:pPr>
    </w:p>
    <w:p w14:paraId="463D322C" w14:textId="77777777" w:rsidR="008E7F14" w:rsidRDefault="008E7F14" w:rsidP="00C923CD">
      <w:pPr>
        <w:suppressLineNumbers/>
        <w:spacing w:after="0" w:line="240" w:lineRule="auto"/>
        <w:jc w:val="both"/>
        <w:rPr>
          <w:rFonts w:cs="Times New Roman"/>
        </w:rPr>
      </w:pPr>
    </w:p>
    <w:p w14:paraId="34BA9E72" w14:textId="77777777" w:rsidR="008E7F14" w:rsidRDefault="008E7F14" w:rsidP="00C923CD">
      <w:pPr>
        <w:suppressLineNumbers/>
        <w:spacing w:after="0" w:line="240" w:lineRule="auto"/>
        <w:jc w:val="both"/>
        <w:rPr>
          <w:rFonts w:cs="Times New Roman"/>
        </w:rPr>
      </w:pPr>
    </w:p>
    <w:p w14:paraId="765D5ACB" w14:textId="77777777" w:rsidR="008E7F14" w:rsidRDefault="008E7F14" w:rsidP="00C923CD">
      <w:pPr>
        <w:suppressLineNumbers/>
        <w:spacing w:after="0" w:line="240" w:lineRule="auto"/>
        <w:jc w:val="both"/>
        <w:rPr>
          <w:rFonts w:cs="Times New Roman"/>
        </w:rPr>
      </w:pPr>
    </w:p>
    <w:p w14:paraId="767126B6" w14:textId="77777777" w:rsidR="008E7F14" w:rsidRDefault="008E7F14" w:rsidP="00C923CD">
      <w:pPr>
        <w:suppressLineNumbers/>
        <w:spacing w:after="0" w:line="240" w:lineRule="auto"/>
        <w:jc w:val="both"/>
        <w:rPr>
          <w:rFonts w:cs="Times New Roman"/>
        </w:rPr>
      </w:pPr>
    </w:p>
    <w:p w14:paraId="6DE715D1" w14:textId="77777777" w:rsidR="008E7F14" w:rsidRDefault="008E7F14" w:rsidP="00C923CD">
      <w:pPr>
        <w:suppressLineNumbers/>
        <w:spacing w:after="0" w:line="240" w:lineRule="auto"/>
        <w:jc w:val="both"/>
        <w:rPr>
          <w:rFonts w:cs="Times New Roman"/>
        </w:rPr>
      </w:pPr>
    </w:p>
    <w:p w14:paraId="553CDCF3" w14:textId="77777777" w:rsidR="008E7F14" w:rsidRDefault="008E7F14" w:rsidP="00C923CD">
      <w:pPr>
        <w:suppressLineNumbers/>
        <w:spacing w:after="0" w:line="240" w:lineRule="auto"/>
        <w:jc w:val="both"/>
        <w:rPr>
          <w:rFonts w:cs="Times New Roman"/>
        </w:rPr>
      </w:pPr>
    </w:p>
    <w:p w14:paraId="1AF53105" w14:textId="77777777" w:rsidR="008E7F14" w:rsidRDefault="008E7F14" w:rsidP="00C923CD">
      <w:pPr>
        <w:suppressLineNumbers/>
        <w:spacing w:after="0" w:line="240" w:lineRule="auto"/>
        <w:jc w:val="both"/>
        <w:rPr>
          <w:rFonts w:cs="Times New Roman"/>
        </w:rPr>
      </w:pPr>
    </w:p>
    <w:p w14:paraId="4B663F05" w14:textId="77777777" w:rsidR="008E7F14" w:rsidRDefault="008E7F14" w:rsidP="00C923CD">
      <w:pPr>
        <w:suppressLineNumbers/>
        <w:spacing w:after="0" w:line="240" w:lineRule="auto"/>
        <w:jc w:val="both"/>
        <w:rPr>
          <w:rFonts w:cs="Times New Roman"/>
        </w:rPr>
      </w:pPr>
    </w:p>
    <w:p w14:paraId="18835260" w14:textId="245A7904" w:rsidR="000957DF" w:rsidRPr="00C923CD" w:rsidRDefault="000B4DBB" w:rsidP="00C923CD">
      <w:pPr>
        <w:suppressLineNumbers/>
        <w:spacing w:after="0" w:line="240" w:lineRule="auto"/>
        <w:jc w:val="both"/>
        <w:rPr>
          <w:rFonts w:eastAsia="Times New Roman" w:cs="Times New Roman"/>
          <w:b/>
          <w:u w:val="single"/>
        </w:rPr>
      </w:pPr>
      <w:r w:rsidRPr="00C923CD">
        <w:rPr>
          <w:b/>
          <w:u w:val="single"/>
        </w:rPr>
        <w:t>Déchiffrer les données, recueil</w:t>
      </w:r>
      <w:r w:rsidR="00EF69A4" w:rsidRPr="00C923CD">
        <w:rPr>
          <w:b/>
          <w:u w:val="single"/>
        </w:rPr>
        <w:t xml:space="preserve">lir, résumer et faire un compte </w:t>
      </w:r>
      <w:r w:rsidRPr="00C923CD">
        <w:rPr>
          <w:b/>
          <w:u w:val="single"/>
        </w:rPr>
        <w:t>rendu des résultats</w:t>
      </w:r>
    </w:p>
    <w:p w14:paraId="5D1F28BB" w14:textId="6709B02C" w:rsidR="008C7E2A" w:rsidRPr="00C923CD" w:rsidRDefault="008C7E2A" w:rsidP="00C923CD">
      <w:pPr>
        <w:suppressLineNumbers/>
        <w:spacing w:after="0" w:line="240" w:lineRule="auto"/>
        <w:jc w:val="both"/>
      </w:pPr>
      <w:r w:rsidRPr="00C923CD">
        <w:t>Tous les articles admissibles ont été téléchargés et sauvegardés dans EndNote. Les données ont été compilées et importées dans Microsoft Excel pour la validation et le chiffrage. Pour chaque publication comprise dans l</w:t>
      </w:r>
      <w:r w:rsidR="003275A7" w:rsidRPr="00C923CD">
        <w:t>’</w:t>
      </w:r>
      <w:r w:rsidRPr="00C923CD">
        <w:t>étude, nous avons extrait les variables suivantes : la langue de la publication, l</w:t>
      </w:r>
      <w:r w:rsidR="003275A7" w:rsidRPr="00C923CD">
        <w:t>’</w:t>
      </w:r>
      <w:r w:rsidRPr="00C923CD">
        <w:t>année de la publication, l</w:t>
      </w:r>
      <w:r w:rsidR="003275A7" w:rsidRPr="00C923CD">
        <w:t>’</w:t>
      </w:r>
      <w:r w:rsidRPr="00C923CD">
        <w:t>endroit de l</w:t>
      </w:r>
      <w:r w:rsidR="003275A7" w:rsidRPr="00C923CD">
        <w:t>’</w:t>
      </w:r>
      <w:r w:rsidRPr="00C923CD">
        <w:t>étude, le pays dans lequel l</w:t>
      </w:r>
      <w:r w:rsidR="003275A7" w:rsidRPr="00C923CD">
        <w:t>’</w:t>
      </w:r>
      <w:r w:rsidRPr="00C923CD">
        <w:t>établissement principal de l</w:t>
      </w:r>
      <w:r w:rsidR="003275A7" w:rsidRPr="00C923CD">
        <w:t>’</w:t>
      </w:r>
      <w:r w:rsidRPr="00C923CD">
        <w:t>auteur principal et des coauteurs était basé, le type d</w:t>
      </w:r>
      <w:r w:rsidR="003275A7" w:rsidRPr="00C923CD">
        <w:t>’</w:t>
      </w:r>
      <w:r w:rsidRPr="00C923CD">
        <w:t>établissement de l</w:t>
      </w:r>
      <w:r w:rsidR="003275A7" w:rsidRPr="00C923CD">
        <w:t>’</w:t>
      </w:r>
      <w:r w:rsidRPr="00C923CD">
        <w:t>auteur principal et des coauteurs (université, institut ou centre de recherche, hôpital, organisation non gouvernementale), et le nombre d</w:t>
      </w:r>
      <w:r w:rsidR="003275A7" w:rsidRPr="00C923CD">
        <w:t>’</w:t>
      </w:r>
      <w:r w:rsidRPr="00C923CD">
        <w:t>auteurs principaux ouest-africains</w:t>
      </w:r>
      <w:r w:rsidR="007A6BD8" w:rsidRPr="00C923CD">
        <w:t xml:space="preserve">. </w:t>
      </w:r>
      <w:r w:rsidRPr="00C923CD">
        <w:t>Nous avons effectué certaines des analyses dans Excel et exporté les données dans la version 12 de Stata pour une analyse supplémentaire</w:t>
      </w:r>
      <w:r w:rsidR="007A6BD8" w:rsidRPr="00C923CD">
        <w:t xml:space="preserve">. </w:t>
      </w:r>
    </w:p>
    <w:p w14:paraId="3EDE964A" w14:textId="77777777" w:rsidR="00C923CD" w:rsidRDefault="00C923CD" w:rsidP="00C923CD">
      <w:pPr>
        <w:suppressLineNumbers/>
        <w:spacing w:after="0" w:line="240" w:lineRule="auto"/>
        <w:jc w:val="both"/>
        <w:rPr>
          <w:b/>
          <w:u w:val="single"/>
        </w:rPr>
      </w:pPr>
    </w:p>
    <w:p w14:paraId="0F6A83BA" w14:textId="77777777" w:rsidR="008C7E2A" w:rsidRPr="00C923CD" w:rsidRDefault="000B4DBB" w:rsidP="00C923CD">
      <w:pPr>
        <w:suppressLineNumbers/>
        <w:spacing w:after="0" w:line="240" w:lineRule="auto"/>
        <w:jc w:val="both"/>
        <w:rPr>
          <w:b/>
          <w:u w:val="single"/>
        </w:rPr>
      </w:pPr>
      <w:r w:rsidRPr="00C923CD">
        <w:rPr>
          <w:b/>
          <w:u w:val="single"/>
        </w:rPr>
        <w:t>Consulter les intervenants pour éclairer ou valider les résultats</w:t>
      </w:r>
    </w:p>
    <w:p w14:paraId="044C23D5" w14:textId="4152AF7C" w:rsidR="0046321F" w:rsidRPr="00C923CD" w:rsidRDefault="00AD3716" w:rsidP="00C923CD">
      <w:pPr>
        <w:suppressLineNumbers/>
        <w:spacing w:after="0" w:line="240" w:lineRule="auto"/>
        <w:jc w:val="both"/>
      </w:pPr>
      <w:r w:rsidRPr="00C923CD">
        <w:t>La consultation avec les intervenants pour valider les résultats a été menée lors de deux réunions sous-régionales</w:t>
      </w:r>
      <w:r w:rsidR="007A6BD8" w:rsidRPr="00C923CD">
        <w:t xml:space="preserve">. </w:t>
      </w:r>
      <w:r w:rsidRPr="00C923CD">
        <w:t>La première était une réunion de consultation avec des chercheurs principaux en santé de la CEDEAO concernant la validation de plan stratégique de recherche en santé organisée par l</w:t>
      </w:r>
      <w:r w:rsidR="003275A7" w:rsidRPr="00C923CD">
        <w:t>’</w:t>
      </w:r>
      <w:r w:rsidRPr="00C923CD">
        <w:t>Organisation ouest-africaine de la santé (OOAS) à Abidjan en février 2015</w:t>
      </w:r>
      <w:r w:rsidR="007A6BD8" w:rsidRPr="00C923CD">
        <w:t xml:space="preserve">. </w:t>
      </w:r>
      <w:r w:rsidRPr="00C923CD">
        <w:t>Des chercheurs principaux d</w:t>
      </w:r>
      <w:r w:rsidR="003275A7" w:rsidRPr="00C923CD">
        <w:t>’</w:t>
      </w:r>
      <w:r w:rsidRPr="00C923CD">
        <w:t>universités, d</w:t>
      </w:r>
      <w:r w:rsidR="003275A7" w:rsidRPr="00C923CD">
        <w:t>’</w:t>
      </w:r>
      <w:r w:rsidRPr="00C923CD">
        <w:t>instituts de recherche en santé et de ministères de la Santé à l</w:t>
      </w:r>
      <w:r w:rsidR="003275A7" w:rsidRPr="00C923CD">
        <w:t>’</w:t>
      </w:r>
      <w:r w:rsidRPr="00C923CD">
        <w:t>échelle de la sous-région de la CEDEAO étaient présents à la réunion</w:t>
      </w:r>
      <w:r w:rsidR="007A6BD8" w:rsidRPr="00C923CD">
        <w:t xml:space="preserve">. </w:t>
      </w:r>
      <w:r w:rsidRPr="00C923CD">
        <w:t xml:space="preserve">La seconde réunion de validation était la réunion de lancement des jeunes chercheurs ouest-africains sur les politiques et les systèmes de santé et du réseau de soutien des exécutants </w:t>
      </w:r>
      <w:r w:rsidR="009E18E3" w:rsidRPr="00C923CD">
        <w:t>connu sous le nom de West African Network of Emerging Leaders</w:t>
      </w:r>
      <w:r w:rsidRPr="00C923CD">
        <w:t xml:space="preserve"> (WANEL) organisé à Accra en juin 2015</w:t>
      </w:r>
      <w:r w:rsidR="007A6BD8" w:rsidRPr="00C923CD">
        <w:t xml:space="preserve">. </w:t>
      </w:r>
    </w:p>
    <w:p w14:paraId="7C3861D5" w14:textId="77777777" w:rsidR="00C923CD" w:rsidRDefault="00C923CD" w:rsidP="00C923CD">
      <w:pPr>
        <w:suppressLineNumbers/>
        <w:spacing w:after="0" w:line="240" w:lineRule="auto"/>
        <w:jc w:val="both"/>
      </w:pPr>
    </w:p>
    <w:p w14:paraId="78074AC3" w14:textId="67ABD66B" w:rsidR="00A21A1B" w:rsidRPr="00C923CD" w:rsidRDefault="00A21A1B" w:rsidP="00C923CD">
      <w:pPr>
        <w:suppressLineNumbers/>
        <w:spacing w:after="0" w:line="240" w:lineRule="auto"/>
        <w:jc w:val="both"/>
      </w:pPr>
      <w:r w:rsidRPr="00C923CD">
        <w:t>De juin à septembre 2015, la recherche s</w:t>
      </w:r>
      <w:r w:rsidR="003275A7" w:rsidRPr="00C923CD">
        <w:t>’</w:t>
      </w:r>
      <w:r w:rsidRPr="00C923CD">
        <w:t>est poursuivie après la seconde réunion de validation. La prolongation de l</w:t>
      </w:r>
      <w:r w:rsidR="003275A7" w:rsidRPr="00C923CD">
        <w:t>’</w:t>
      </w:r>
      <w:r w:rsidRPr="00C923CD">
        <w:t>examen et l</w:t>
      </w:r>
      <w:r w:rsidR="003275A7" w:rsidRPr="00C923CD">
        <w:t>’</w:t>
      </w:r>
      <w:r w:rsidRPr="00C923CD">
        <w:t>ajout des six éléments constitutifs des systèmes de santé établis par l</w:t>
      </w:r>
      <w:r w:rsidR="003275A7" w:rsidRPr="00C923CD">
        <w:t>’</w:t>
      </w:r>
      <w:r w:rsidRPr="00C923CD">
        <w:t>OMS et leurs sous-éléments pour définir la portée de l</w:t>
      </w:r>
      <w:r w:rsidR="003275A7" w:rsidRPr="00C923CD">
        <w:t>’</w:t>
      </w:r>
      <w:r w:rsidRPr="00C923CD">
        <w:t>examen sont attribuables aux commentaires recueillis lors des deux réunions de validation avec les intervenants. La recherche initiale, sauf le fait qu</w:t>
      </w:r>
      <w:r w:rsidR="003275A7" w:rsidRPr="00C923CD">
        <w:t>’</w:t>
      </w:r>
      <w:r w:rsidRPr="00C923CD">
        <w:t>elle s</w:t>
      </w:r>
      <w:r w:rsidR="003275A7" w:rsidRPr="00C923CD">
        <w:t>’</w:t>
      </w:r>
      <w:r w:rsidRPr="00C923CD">
        <w:t>arrête en 2014, avait été limitée de près à « health systems » OU « health policy » ET « nom du pays de la CEDEAO »</w:t>
      </w:r>
      <w:r w:rsidR="007A6BD8" w:rsidRPr="00C923CD">
        <w:t xml:space="preserve">. </w:t>
      </w:r>
      <w:r w:rsidRPr="00C923CD">
        <w:t>Cette approche limitée a permis de trouver seulement 65 publications</w:t>
      </w:r>
      <w:r w:rsidR="007A6BD8" w:rsidRPr="00C923CD">
        <w:t xml:space="preserve">. </w:t>
      </w:r>
      <w:r w:rsidRPr="00C923CD">
        <w:t>Dans les deux ateliers de validation, les répondants ont fait remarquer des articles manquants</w:t>
      </w:r>
      <w:r w:rsidR="007A6BD8" w:rsidRPr="00C923CD">
        <w:t xml:space="preserve">. </w:t>
      </w:r>
      <w:r w:rsidRPr="00C923CD">
        <w:t>Afin d</w:t>
      </w:r>
      <w:r w:rsidR="003275A7" w:rsidRPr="00C923CD">
        <w:t>’</w:t>
      </w:r>
      <w:r w:rsidRPr="00C923CD">
        <w:t>être impartial, puisque tous les chercheurs possibles n</w:t>
      </w:r>
      <w:r w:rsidR="003275A7" w:rsidRPr="00C923CD">
        <w:t>’</w:t>
      </w:r>
      <w:r w:rsidRPr="00C923CD">
        <w:t>étaient pas membres de ces réunions de validation, il n</w:t>
      </w:r>
      <w:r w:rsidR="003275A7" w:rsidRPr="00C923CD">
        <w:t>’</w:t>
      </w:r>
      <w:r w:rsidRPr="00C923CD">
        <w:t>a pas été jugé souhaitable d</w:t>
      </w:r>
      <w:r w:rsidR="003275A7" w:rsidRPr="00C923CD">
        <w:t>’</w:t>
      </w:r>
      <w:r w:rsidRPr="00C923CD">
        <w:t>ajouter les articles signalés comme manquants, sans s</w:t>
      </w:r>
      <w:r w:rsidR="003275A7" w:rsidRPr="00C923CD">
        <w:t>’</w:t>
      </w:r>
      <w:r w:rsidRPr="00C923CD">
        <w:t>assurer qu</w:t>
      </w:r>
      <w:r w:rsidR="003275A7" w:rsidRPr="00C923CD">
        <w:t>’</w:t>
      </w:r>
      <w:r w:rsidRPr="00C923CD">
        <w:t>ils répondaient à un critère de recherche inclusif et défini objectivement</w:t>
      </w:r>
      <w:r w:rsidR="007A6BD8" w:rsidRPr="00C923CD">
        <w:t xml:space="preserve">. </w:t>
      </w:r>
      <w:r w:rsidRPr="00C923CD">
        <w:t>L</w:t>
      </w:r>
      <w:r w:rsidR="003275A7" w:rsidRPr="00C923CD">
        <w:t>’</w:t>
      </w:r>
      <w:r w:rsidRPr="00C923CD">
        <w:t>élargissement des termes de recherche a fait augmenter le nombre d</w:t>
      </w:r>
      <w:r w:rsidR="003275A7" w:rsidRPr="00C923CD">
        <w:t>’</w:t>
      </w:r>
      <w:r w:rsidRPr="00C923CD">
        <w:t>articles à 262</w:t>
      </w:r>
      <w:r w:rsidR="007A6BD8" w:rsidRPr="00C923CD">
        <w:t xml:space="preserve">. </w:t>
      </w:r>
      <w:r w:rsidRPr="00C923CD">
        <w:t>Cela a permis de traiter pour la plupart des enjeux concernant des articles manquants</w:t>
      </w:r>
      <w:r w:rsidR="007A6BD8" w:rsidRPr="00C923CD">
        <w:t xml:space="preserve">. </w:t>
      </w:r>
      <w:r w:rsidRPr="00C923CD">
        <w:t>Cependant, aux fins d</w:t>
      </w:r>
      <w:r w:rsidR="003275A7" w:rsidRPr="00C923CD">
        <w:t>’</w:t>
      </w:r>
      <w:r w:rsidRPr="00C923CD">
        <w:t>impartialité dans l</w:t>
      </w:r>
      <w:r w:rsidR="003275A7" w:rsidRPr="00C923CD">
        <w:t>’</w:t>
      </w:r>
      <w:r w:rsidRPr="00C923CD">
        <w:t>analyse comparative et des tendances, nous avons retenu 246 articles, tout en reconnaissant qu</w:t>
      </w:r>
      <w:r w:rsidR="003275A7" w:rsidRPr="00C923CD">
        <w:t>’</w:t>
      </w:r>
      <w:r w:rsidRPr="00C923CD">
        <w:t>il ne s</w:t>
      </w:r>
      <w:r w:rsidR="003275A7" w:rsidRPr="00C923CD">
        <w:t>’</w:t>
      </w:r>
      <w:r w:rsidRPr="00C923CD">
        <w:t>agit pas d</w:t>
      </w:r>
      <w:r w:rsidR="003275A7" w:rsidRPr="00C923CD">
        <w:t>’</w:t>
      </w:r>
      <w:r w:rsidRPr="00C923CD">
        <w:t>une liste exhaustive.</w:t>
      </w:r>
    </w:p>
    <w:p w14:paraId="1A0E1720" w14:textId="77777777" w:rsidR="00C923CD" w:rsidRDefault="00C923CD" w:rsidP="00C923CD">
      <w:pPr>
        <w:suppressLineNumbers/>
        <w:spacing w:after="0" w:line="240" w:lineRule="auto"/>
        <w:jc w:val="both"/>
        <w:rPr>
          <w:b/>
        </w:rPr>
      </w:pPr>
    </w:p>
    <w:p w14:paraId="4ACC175F" w14:textId="77777777" w:rsidR="000957DF" w:rsidRPr="00C923CD" w:rsidRDefault="00A2443D" w:rsidP="00C923CD">
      <w:pPr>
        <w:suppressLineNumbers/>
        <w:spacing w:after="0" w:line="240" w:lineRule="auto"/>
        <w:jc w:val="both"/>
        <w:rPr>
          <w:b/>
        </w:rPr>
      </w:pPr>
      <w:r w:rsidRPr="00C923CD">
        <w:rPr>
          <w:b/>
        </w:rPr>
        <w:t>Considérations éthiques</w:t>
      </w:r>
    </w:p>
    <w:p w14:paraId="12A96D28" w14:textId="62715ABD" w:rsidR="00A2443D" w:rsidRPr="00C923CD" w:rsidRDefault="00A2443D" w:rsidP="00C923CD">
      <w:pPr>
        <w:suppressLineNumbers/>
        <w:spacing w:after="0" w:line="240" w:lineRule="auto"/>
        <w:jc w:val="both"/>
      </w:pPr>
      <w:r w:rsidRPr="00C923CD">
        <w:t>Il s</w:t>
      </w:r>
      <w:r w:rsidR="003275A7" w:rsidRPr="00C923CD">
        <w:t>’</w:t>
      </w:r>
      <w:r w:rsidRPr="00C923CD">
        <w:t>agissait ici d</w:t>
      </w:r>
      <w:r w:rsidR="003275A7" w:rsidRPr="00C923CD">
        <w:t>’</w:t>
      </w:r>
      <w:r w:rsidRPr="00C923CD">
        <w:t>une étude documentaire de documents déjà publiés dans le domaine public</w:t>
      </w:r>
      <w:r w:rsidR="007A6BD8" w:rsidRPr="00C923CD">
        <w:t xml:space="preserve">. </w:t>
      </w:r>
      <w:r w:rsidRPr="00C923CD">
        <w:t>Aucune collecte ou analyse de données primaires n</w:t>
      </w:r>
      <w:r w:rsidR="003275A7" w:rsidRPr="00C923CD">
        <w:t>’</w:t>
      </w:r>
      <w:r w:rsidRPr="00C923CD">
        <w:t>a été effectuée</w:t>
      </w:r>
      <w:r w:rsidR="007A6BD8" w:rsidRPr="00C923CD">
        <w:t xml:space="preserve">. </w:t>
      </w:r>
      <w:r w:rsidRPr="00C923CD">
        <w:t>Il n</w:t>
      </w:r>
      <w:r w:rsidR="003275A7" w:rsidRPr="00C923CD">
        <w:t>’</w:t>
      </w:r>
      <w:r w:rsidRPr="00C923CD">
        <w:t>y a donc pas eu lieu de solliciter l</w:t>
      </w:r>
      <w:r w:rsidR="003275A7" w:rsidRPr="00C923CD">
        <w:t>’</w:t>
      </w:r>
      <w:r w:rsidRPr="00C923CD">
        <w:t>approbation sur le plan de l</w:t>
      </w:r>
      <w:r w:rsidR="003275A7" w:rsidRPr="00C923CD">
        <w:t>’</w:t>
      </w:r>
      <w:r w:rsidRPr="00C923CD">
        <w:t xml:space="preserve">éthique ou le consentement éclairé. </w:t>
      </w:r>
    </w:p>
    <w:p w14:paraId="08CD629D" w14:textId="77777777" w:rsidR="00A2443D" w:rsidRPr="00C923CD" w:rsidRDefault="00A2443D" w:rsidP="00C923CD">
      <w:pPr>
        <w:suppressLineNumbers/>
        <w:spacing w:after="0" w:line="240" w:lineRule="auto"/>
        <w:jc w:val="both"/>
      </w:pPr>
    </w:p>
    <w:p w14:paraId="4A4CD4A9" w14:textId="77777777" w:rsidR="008C7E2A" w:rsidRPr="00C923CD" w:rsidRDefault="008C7E2A" w:rsidP="00C923CD">
      <w:pPr>
        <w:suppressLineNumbers/>
        <w:spacing w:after="0" w:line="240" w:lineRule="auto"/>
        <w:jc w:val="both"/>
        <w:outlineLvl w:val="0"/>
        <w:rPr>
          <w:rFonts w:cs="Arial"/>
        </w:rPr>
      </w:pPr>
      <w:r w:rsidRPr="00C923CD">
        <w:rPr>
          <w:b/>
          <w:color w:val="222222"/>
          <w:shd w:val="clear" w:color="auto" w:fill="FFFFFF"/>
        </w:rPr>
        <w:t>RÉSULTATS</w:t>
      </w:r>
    </w:p>
    <w:p w14:paraId="00873702" w14:textId="0555F646" w:rsidR="00D23ADE" w:rsidRPr="00C923CD" w:rsidRDefault="009C0007" w:rsidP="00C923CD">
      <w:pPr>
        <w:suppressLineNumbers/>
        <w:spacing w:after="0" w:line="240" w:lineRule="auto"/>
        <w:jc w:val="both"/>
      </w:pPr>
      <w:r w:rsidRPr="00C923CD">
        <w:t>Après avoir vérifié le titre, les mots clés et le résumé des articles extraits par notre recherche, nous avons compris dans l</w:t>
      </w:r>
      <w:r w:rsidR="003275A7" w:rsidRPr="00C923CD">
        <w:t>’</w:t>
      </w:r>
      <w:r w:rsidRPr="00C923CD">
        <w:t>analyse 246 articles provenant de 14 des 15 pays d</w:t>
      </w:r>
      <w:r w:rsidR="003275A7" w:rsidRPr="00C923CD">
        <w:t>’</w:t>
      </w:r>
      <w:r w:rsidRPr="00C923CD">
        <w:t>Afrique de l</w:t>
      </w:r>
      <w:r w:rsidR="003275A7" w:rsidRPr="00C923CD">
        <w:t>’</w:t>
      </w:r>
      <w:r w:rsidRPr="00C923CD">
        <w:t xml:space="preserve">Ouest. </w:t>
      </w:r>
    </w:p>
    <w:p w14:paraId="2999EC16" w14:textId="77777777" w:rsidR="00C923CD" w:rsidRDefault="00C923CD" w:rsidP="00C923CD">
      <w:pPr>
        <w:suppressLineNumbers/>
        <w:spacing w:after="0" w:line="240" w:lineRule="auto"/>
        <w:jc w:val="both"/>
        <w:rPr>
          <w:b/>
          <w:u w:val="single"/>
        </w:rPr>
      </w:pPr>
    </w:p>
    <w:p w14:paraId="5E55F282" w14:textId="77777777" w:rsidR="00D23ADE" w:rsidRPr="00C923CD" w:rsidRDefault="000B4DBB" w:rsidP="00C923CD">
      <w:pPr>
        <w:suppressLineNumbers/>
        <w:spacing w:after="0" w:line="240" w:lineRule="auto"/>
        <w:jc w:val="both"/>
        <w:rPr>
          <w:b/>
          <w:u w:val="single"/>
        </w:rPr>
      </w:pPr>
      <w:r w:rsidRPr="00C923CD">
        <w:rPr>
          <w:b/>
          <w:u w:val="single"/>
        </w:rPr>
        <w:t>Tendances dans les publications</w:t>
      </w:r>
    </w:p>
    <w:p w14:paraId="22455A91" w14:textId="12A4C54E" w:rsidR="008C7E2A" w:rsidRPr="00C923CD" w:rsidRDefault="008C7E2A" w:rsidP="00C923CD">
      <w:pPr>
        <w:suppressLineNumbers/>
        <w:spacing w:after="0" w:line="240" w:lineRule="auto"/>
        <w:jc w:val="both"/>
      </w:pPr>
      <w:r w:rsidRPr="00C923CD">
        <w:t>La figure 2 illustre le nombre total de publications par année pour la période examinée</w:t>
      </w:r>
      <w:r w:rsidR="007A6BD8" w:rsidRPr="00C923CD">
        <w:t xml:space="preserve">. </w:t>
      </w:r>
      <w:r w:rsidRPr="00C923CD">
        <w:t>Le nombre presque fixe de publications par année commence à afficher une augmentation lente du nombre de publications par année à partir de 2001, qui s</w:t>
      </w:r>
      <w:r w:rsidR="003275A7" w:rsidRPr="00C923CD">
        <w:t>’</w:t>
      </w:r>
      <w:r w:rsidRPr="00C923CD">
        <w:t xml:space="preserve">accélère à partir de 2006. </w:t>
      </w:r>
    </w:p>
    <w:p w14:paraId="5B4AB290" w14:textId="77777777" w:rsidR="00A81688" w:rsidRPr="006E18BA" w:rsidRDefault="0017360E" w:rsidP="00A81688">
      <w:pPr>
        <w:pStyle w:val="EndnoteText"/>
        <w:suppressLineNumbers/>
        <w:rPr>
          <w:sz w:val="22"/>
          <w:szCs w:val="22"/>
        </w:rPr>
      </w:pPr>
      <w:r>
        <w:rPr>
          <w:b/>
        </w:rPr>
        <w:t>Figure 2</w:t>
      </w:r>
      <w:r w:rsidR="00A81688">
        <w:rPr>
          <w:b/>
        </w:rPr>
        <w:t xml:space="preserve"> </w:t>
      </w:r>
      <w:r w:rsidR="00A81688" w:rsidRPr="00A81688">
        <w:rPr>
          <w:b/>
          <w:szCs w:val="22"/>
        </w:rPr>
        <w:t>Tendances dans les publications à comité de lecture qui mettent l’accent sur les systèmes de santé d’Afrique de l’Ouest</w:t>
      </w:r>
    </w:p>
    <w:p w14:paraId="262A0252" w14:textId="77777777" w:rsidR="0017360E" w:rsidRDefault="0017360E" w:rsidP="00C923CD">
      <w:pPr>
        <w:suppressLineNumbers/>
        <w:spacing w:after="0" w:line="240" w:lineRule="auto"/>
        <w:jc w:val="both"/>
        <w:rPr>
          <w:b/>
        </w:rPr>
      </w:pPr>
    </w:p>
    <w:p w14:paraId="34A7BDDC" w14:textId="4A913B7A" w:rsidR="0017360E" w:rsidRPr="00C923CD" w:rsidRDefault="0017360E" w:rsidP="00C923CD">
      <w:pPr>
        <w:suppressLineNumbers/>
        <w:spacing w:after="0" w:line="240" w:lineRule="auto"/>
        <w:jc w:val="both"/>
        <w:rPr>
          <w:b/>
        </w:rPr>
      </w:pPr>
      <w:r>
        <w:rPr>
          <w:noProof/>
          <w:lang w:val="en-CA" w:eastAsia="en-CA"/>
        </w:rPr>
        <w:drawing>
          <wp:inline distT="0" distB="0" distL="0" distR="0" wp14:anchorId="40A3A34B" wp14:editId="46C2B00F">
            <wp:extent cx="5503545" cy="2486025"/>
            <wp:effectExtent l="0" t="0" r="1905" b="9525"/>
            <wp:docPr id="1" name="Picture 1" descr="C:\Users\truc.nguyen\AppData\Local\Microsoft\Windows\INetCache\Content.Word\1478-4505-15-S1-S9-2.jpg"/>
            <wp:cNvGraphicFramePr/>
            <a:graphic xmlns:a="http://schemas.openxmlformats.org/drawingml/2006/main">
              <a:graphicData uri="http://schemas.openxmlformats.org/drawingml/2006/picture">
                <pic:pic xmlns:pic="http://schemas.openxmlformats.org/drawingml/2006/picture">
                  <pic:nvPicPr>
                    <pic:cNvPr id="1" name="Picture 1" descr="C:\Users\truc.nguyen\AppData\Local\Microsoft\Windows\INetCache\Content.Word\1478-4505-15-S1-S9-2.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3545" cy="2486025"/>
                    </a:xfrm>
                    <a:prstGeom prst="rect">
                      <a:avLst/>
                    </a:prstGeom>
                    <a:noFill/>
                    <a:ln>
                      <a:noFill/>
                    </a:ln>
                  </pic:spPr>
                </pic:pic>
              </a:graphicData>
            </a:graphic>
          </wp:inline>
        </w:drawing>
      </w:r>
    </w:p>
    <w:p w14:paraId="591B384F" w14:textId="77777777" w:rsidR="008C7E2A" w:rsidRPr="00C923CD" w:rsidRDefault="008C7E2A" w:rsidP="00C923CD">
      <w:pPr>
        <w:suppressLineNumbers/>
        <w:spacing w:after="0" w:line="240" w:lineRule="auto"/>
        <w:jc w:val="both"/>
      </w:pPr>
    </w:p>
    <w:p w14:paraId="044C029F" w14:textId="55C8DE63" w:rsidR="008C7E2A" w:rsidRPr="00C923CD" w:rsidRDefault="000B4DBB" w:rsidP="00C923CD">
      <w:pPr>
        <w:suppressLineNumbers/>
        <w:spacing w:after="0" w:line="240" w:lineRule="auto"/>
        <w:jc w:val="both"/>
        <w:outlineLvl w:val="0"/>
        <w:rPr>
          <w:b/>
          <w:u w:val="single"/>
        </w:rPr>
      </w:pPr>
      <w:r w:rsidRPr="00C923CD">
        <w:rPr>
          <w:b/>
          <w:u w:val="single"/>
        </w:rPr>
        <w:t>Publication par emplacement des pays de l</w:t>
      </w:r>
      <w:r w:rsidR="003275A7" w:rsidRPr="00C923CD">
        <w:rPr>
          <w:b/>
          <w:u w:val="single"/>
        </w:rPr>
        <w:t>’</w:t>
      </w:r>
      <w:r w:rsidRPr="00C923CD">
        <w:rPr>
          <w:b/>
          <w:u w:val="single"/>
        </w:rPr>
        <w:t>étude</w:t>
      </w:r>
    </w:p>
    <w:p w14:paraId="730D5205" w14:textId="6AF34BAE" w:rsidR="00AC7742" w:rsidRPr="00C923CD" w:rsidRDefault="008C7E2A" w:rsidP="00C923CD">
      <w:pPr>
        <w:suppressLineNumbers/>
        <w:spacing w:after="0" w:line="240" w:lineRule="auto"/>
        <w:jc w:val="both"/>
      </w:pPr>
      <w:r w:rsidRPr="00C923CD">
        <w:t>Cette augmentation des publications est cependant due à un nombre élevé de publications de quelques pays uniquement. Pendant la période examinée, tous les pays d</w:t>
      </w:r>
      <w:r w:rsidR="003275A7" w:rsidRPr="00C923CD">
        <w:t>’</w:t>
      </w:r>
      <w:r w:rsidRPr="00C923CD">
        <w:t>Afrique occidentale ont présenté au moins un article lié à la RPSS. À l</w:t>
      </w:r>
      <w:r w:rsidR="003275A7" w:rsidRPr="00C923CD">
        <w:t>’</w:t>
      </w:r>
      <w:r w:rsidRPr="00C923CD">
        <w:t>exception du Burkina Faso, qui se démarque considérablement, les cinq pays anglophones d</w:t>
      </w:r>
      <w:r w:rsidR="003275A7" w:rsidRPr="00C923CD">
        <w:t>’</w:t>
      </w:r>
      <w:r w:rsidRPr="00C923CD">
        <w:t>Afrique de l</w:t>
      </w:r>
      <w:r w:rsidR="003275A7" w:rsidRPr="00C923CD">
        <w:t>’</w:t>
      </w:r>
      <w:r w:rsidRPr="00C923CD">
        <w:t>Ouest semblent publier davantage que la majorité des pays francophones d</w:t>
      </w:r>
      <w:r w:rsidR="003275A7" w:rsidRPr="00C923CD">
        <w:t>’</w:t>
      </w:r>
      <w:r w:rsidRPr="00C923CD">
        <w:t>Afrique de l</w:t>
      </w:r>
      <w:r w:rsidR="003275A7" w:rsidRPr="00C923CD">
        <w:t>’</w:t>
      </w:r>
      <w:r w:rsidRPr="00C923CD">
        <w:t>Ouest</w:t>
      </w:r>
      <w:r w:rsidR="007A6BD8" w:rsidRPr="00C923CD">
        <w:t xml:space="preserve">. </w:t>
      </w:r>
      <w:r w:rsidRPr="00C923CD">
        <w:t xml:space="preserve">Le Nigéria était le pays produisant le plus grand nombre de publications avec une quantité équivalant à 28,86 % (n = 71), suivi du Burkina Faso avec 21,54 % (n = 53) et du Ghana avec 17,07 % (n = 42). À eux seuls, le Nigéria, le Ghana et le Burkina Faso représentent plus des deux tiers des articles extraits. </w:t>
      </w:r>
    </w:p>
    <w:p w14:paraId="1102CA15" w14:textId="77777777" w:rsidR="00C923CD" w:rsidRDefault="00C923CD" w:rsidP="00C923CD">
      <w:pPr>
        <w:suppressLineNumbers/>
        <w:spacing w:after="0" w:line="240" w:lineRule="auto"/>
        <w:jc w:val="both"/>
      </w:pPr>
    </w:p>
    <w:p w14:paraId="611075DC" w14:textId="4D2190BF" w:rsidR="008C7E2A" w:rsidRDefault="008C7E2A" w:rsidP="00C923CD">
      <w:pPr>
        <w:suppressLineNumbers/>
        <w:spacing w:after="0" w:line="240" w:lineRule="auto"/>
        <w:jc w:val="both"/>
      </w:pPr>
      <w:r w:rsidRPr="00C923CD">
        <w:t>Lorsque les publications de la période examinée sont liées à la population en milieu d</w:t>
      </w:r>
      <w:r w:rsidR="003275A7" w:rsidRPr="00C923CD">
        <w:t>’</w:t>
      </w:r>
      <w:r w:rsidRPr="00C923CD">
        <w:t>année de 2015, la différence est marquée entre les pays anglophones et francophones en matière de quantité de publications par rapport à la population</w:t>
      </w:r>
      <w:r w:rsidR="007A6BD8" w:rsidRPr="00C923CD">
        <w:t xml:space="preserve">. </w:t>
      </w:r>
      <w:r w:rsidRPr="00C923CD">
        <w:t>Le Burkina Faso a le plus grand nombre de publications par million de personnes</w:t>
      </w:r>
      <w:r w:rsidR="007A6BD8" w:rsidRPr="00C923CD">
        <w:t xml:space="preserve">. </w:t>
      </w:r>
      <w:r w:rsidRPr="00C923CD">
        <w:t>À cet égard, le Nigéria se situe presque en fin de liste</w:t>
      </w:r>
      <w:r w:rsidR="007A6BD8" w:rsidRPr="00C923CD">
        <w:t xml:space="preserve">. </w:t>
      </w:r>
      <w:r w:rsidRPr="00C923CD">
        <w:t>Certains des plus petits pays comme la Sierra Leone et la Gambie affichent une quantité relativement élevée</w:t>
      </w:r>
      <w:r w:rsidR="007A6BD8" w:rsidRPr="00C923CD">
        <w:t xml:space="preserve">. </w:t>
      </w:r>
      <w:r w:rsidRPr="00C923CD">
        <w:t>(Voir le tableau 1)</w:t>
      </w:r>
    </w:p>
    <w:p w14:paraId="5F656DF4" w14:textId="77777777" w:rsidR="00B7544D" w:rsidRDefault="00B7544D" w:rsidP="00C923CD">
      <w:pPr>
        <w:suppressLineNumbers/>
        <w:spacing w:after="0" w:line="240" w:lineRule="auto"/>
        <w:jc w:val="both"/>
      </w:pPr>
    </w:p>
    <w:p w14:paraId="7A30657F" w14:textId="77777777" w:rsidR="00B7544D" w:rsidRPr="00B7544D" w:rsidRDefault="00B7544D" w:rsidP="00B7544D">
      <w:pPr>
        <w:suppressLineNumbers/>
        <w:jc w:val="both"/>
        <w:rPr>
          <w:b/>
        </w:rPr>
      </w:pPr>
      <w:r w:rsidRPr="00B7544D">
        <w:rPr>
          <w:b/>
        </w:rPr>
        <w:t>Tableau 1 : Publications par pays sur 25 ans par 1 000 000 de la population estimée de 2015</w:t>
      </w:r>
    </w:p>
    <w:tbl>
      <w:tblPr>
        <w:tblStyle w:val="TableGridLight1"/>
        <w:tblW w:w="9322" w:type="dxa"/>
        <w:tblLayout w:type="fixed"/>
        <w:tblLook w:val="04A0" w:firstRow="1" w:lastRow="0" w:firstColumn="1" w:lastColumn="0" w:noHBand="0" w:noVBand="1"/>
      </w:tblPr>
      <w:tblGrid>
        <w:gridCol w:w="2376"/>
        <w:gridCol w:w="1418"/>
        <w:gridCol w:w="1610"/>
        <w:gridCol w:w="1303"/>
        <w:gridCol w:w="2615"/>
      </w:tblGrid>
      <w:tr w:rsidR="00B7544D" w:rsidRPr="00B7544D" w14:paraId="3D6F81C7" w14:textId="77777777" w:rsidTr="00670856">
        <w:trPr>
          <w:trHeight w:val="780"/>
        </w:trPr>
        <w:tc>
          <w:tcPr>
            <w:tcW w:w="2376" w:type="dxa"/>
            <w:hideMark/>
          </w:tcPr>
          <w:p w14:paraId="2DB2AEC7" w14:textId="77777777" w:rsidR="00B7544D" w:rsidRPr="00B7544D" w:rsidRDefault="00B7544D" w:rsidP="00B7544D">
            <w:pPr>
              <w:rPr>
                <w:rFonts w:eastAsia="Times New Roman" w:cs="Times New Roman"/>
                <w:bCs/>
                <w:color w:val="FFFFFF"/>
                <w:sz w:val="20"/>
                <w:szCs w:val="20"/>
              </w:rPr>
            </w:pPr>
            <w:r w:rsidRPr="00B7544D">
              <w:rPr>
                <w:color w:val="000000"/>
                <w:sz w:val="20"/>
                <w:szCs w:val="20"/>
              </w:rPr>
              <w:t>Population de 2015 estimée</w:t>
            </w:r>
          </w:p>
        </w:tc>
        <w:tc>
          <w:tcPr>
            <w:tcW w:w="1418" w:type="dxa"/>
            <w:hideMark/>
          </w:tcPr>
          <w:p w14:paraId="3AE7C2AA" w14:textId="77777777" w:rsidR="00B7544D" w:rsidRPr="00B7544D" w:rsidRDefault="00B7544D" w:rsidP="00B7544D">
            <w:pPr>
              <w:rPr>
                <w:rFonts w:eastAsia="Times New Roman" w:cs="Times New Roman"/>
                <w:bCs/>
                <w:color w:val="FFFFFF"/>
                <w:sz w:val="20"/>
                <w:szCs w:val="20"/>
              </w:rPr>
            </w:pPr>
            <w:r w:rsidRPr="00B7544D">
              <w:rPr>
                <w:color w:val="000000"/>
                <w:sz w:val="20"/>
                <w:szCs w:val="20"/>
              </w:rPr>
              <w:t xml:space="preserve"> </w:t>
            </w:r>
            <w:r w:rsidRPr="00B7544D">
              <w:rPr>
                <w:sz w:val="20"/>
                <w:szCs w:val="20"/>
              </w:rPr>
              <w:t>en milieu d’année</w:t>
            </w:r>
          </w:p>
        </w:tc>
        <w:tc>
          <w:tcPr>
            <w:tcW w:w="1610" w:type="dxa"/>
            <w:noWrap/>
            <w:hideMark/>
          </w:tcPr>
          <w:p w14:paraId="6823BA57" w14:textId="77777777" w:rsidR="00B7544D" w:rsidRPr="00B7544D" w:rsidRDefault="00B7544D" w:rsidP="00B7544D">
            <w:pPr>
              <w:rPr>
                <w:rFonts w:eastAsia="Times New Roman" w:cs="Times New Roman"/>
                <w:color w:val="000000"/>
                <w:sz w:val="20"/>
                <w:szCs w:val="20"/>
              </w:rPr>
            </w:pPr>
            <w:r w:rsidRPr="00B7544D">
              <w:rPr>
                <w:color w:val="000000"/>
                <w:sz w:val="20"/>
                <w:szCs w:val="20"/>
              </w:rPr>
              <w:t>% de la population de 2015</w:t>
            </w:r>
          </w:p>
        </w:tc>
        <w:tc>
          <w:tcPr>
            <w:tcW w:w="1303" w:type="dxa"/>
            <w:noWrap/>
            <w:hideMark/>
          </w:tcPr>
          <w:p w14:paraId="3DB0797E" w14:textId="77777777" w:rsidR="00B7544D" w:rsidRPr="00B7544D" w:rsidRDefault="00B7544D" w:rsidP="00B7544D">
            <w:pPr>
              <w:rPr>
                <w:rFonts w:eastAsia="Times New Roman" w:cs="Times New Roman"/>
                <w:color w:val="000000"/>
                <w:sz w:val="20"/>
                <w:szCs w:val="20"/>
              </w:rPr>
            </w:pPr>
            <w:r w:rsidRPr="00B7544D">
              <w:rPr>
                <w:color w:val="000000"/>
                <w:sz w:val="20"/>
                <w:szCs w:val="20"/>
              </w:rPr>
              <w:t>Publications</w:t>
            </w:r>
          </w:p>
        </w:tc>
        <w:tc>
          <w:tcPr>
            <w:tcW w:w="2615" w:type="dxa"/>
            <w:noWrap/>
            <w:hideMark/>
          </w:tcPr>
          <w:p w14:paraId="3631A11A" w14:textId="77777777" w:rsidR="00B7544D" w:rsidRPr="00B7544D" w:rsidRDefault="00B7544D" w:rsidP="00B7544D">
            <w:pPr>
              <w:rPr>
                <w:rFonts w:eastAsia="Times New Roman" w:cs="Times New Roman"/>
                <w:color w:val="000000"/>
                <w:sz w:val="20"/>
                <w:szCs w:val="20"/>
              </w:rPr>
            </w:pPr>
            <w:r w:rsidRPr="00B7544D">
              <w:rPr>
                <w:color w:val="000000"/>
                <w:sz w:val="20"/>
                <w:szCs w:val="20"/>
              </w:rPr>
              <w:t xml:space="preserve">Par 1 000 000 </w:t>
            </w:r>
          </w:p>
          <w:p w14:paraId="28FE437B" w14:textId="77777777" w:rsidR="00B7544D" w:rsidRPr="00B7544D" w:rsidRDefault="00B7544D" w:rsidP="00B7544D">
            <w:pPr>
              <w:rPr>
                <w:rFonts w:eastAsia="Times New Roman" w:cs="Times New Roman"/>
                <w:color w:val="000000"/>
                <w:sz w:val="20"/>
                <w:szCs w:val="20"/>
              </w:rPr>
            </w:pPr>
            <w:r w:rsidRPr="00B7544D">
              <w:rPr>
                <w:color w:val="000000"/>
                <w:sz w:val="20"/>
                <w:szCs w:val="20"/>
              </w:rPr>
              <w:t>de la population estimée de 2015</w:t>
            </w:r>
          </w:p>
        </w:tc>
      </w:tr>
      <w:tr w:rsidR="00B7544D" w:rsidRPr="00B7544D" w14:paraId="26C67F04" w14:textId="77777777" w:rsidTr="00670856">
        <w:trPr>
          <w:trHeight w:val="400"/>
        </w:trPr>
        <w:tc>
          <w:tcPr>
            <w:tcW w:w="2376" w:type="dxa"/>
            <w:hideMark/>
          </w:tcPr>
          <w:p w14:paraId="79D27CB1" w14:textId="77777777" w:rsidR="00B7544D" w:rsidRPr="00B7544D" w:rsidRDefault="00B7544D" w:rsidP="00B7544D">
            <w:pPr>
              <w:rPr>
                <w:rFonts w:eastAsia="Times New Roman" w:cs="Times New Roman"/>
                <w:color w:val="000000"/>
                <w:sz w:val="20"/>
                <w:szCs w:val="20"/>
              </w:rPr>
            </w:pPr>
            <w:r w:rsidRPr="00B7544D">
              <w:rPr>
                <w:color w:val="000000"/>
                <w:sz w:val="20"/>
                <w:szCs w:val="20"/>
              </w:rPr>
              <w:t>Nigéria</w:t>
            </w:r>
          </w:p>
        </w:tc>
        <w:tc>
          <w:tcPr>
            <w:tcW w:w="1418" w:type="dxa"/>
            <w:hideMark/>
          </w:tcPr>
          <w:p w14:paraId="1B06847E"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183 523 432</w:t>
            </w:r>
          </w:p>
        </w:tc>
        <w:tc>
          <w:tcPr>
            <w:tcW w:w="1610" w:type="dxa"/>
            <w:noWrap/>
            <w:hideMark/>
          </w:tcPr>
          <w:p w14:paraId="6415A8B8"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53 %</w:t>
            </w:r>
          </w:p>
        </w:tc>
        <w:tc>
          <w:tcPr>
            <w:tcW w:w="1303" w:type="dxa"/>
            <w:noWrap/>
            <w:hideMark/>
          </w:tcPr>
          <w:p w14:paraId="2DF6779B"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70</w:t>
            </w:r>
          </w:p>
        </w:tc>
        <w:tc>
          <w:tcPr>
            <w:tcW w:w="2615" w:type="dxa"/>
            <w:noWrap/>
            <w:hideMark/>
          </w:tcPr>
          <w:p w14:paraId="63574A33"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0,381</w:t>
            </w:r>
          </w:p>
        </w:tc>
      </w:tr>
      <w:tr w:rsidR="00B7544D" w:rsidRPr="00B7544D" w14:paraId="407BD099" w14:textId="77777777" w:rsidTr="00670856">
        <w:trPr>
          <w:trHeight w:val="400"/>
        </w:trPr>
        <w:tc>
          <w:tcPr>
            <w:tcW w:w="2376" w:type="dxa"/>
            <w:hideMark/>
          </w:tcPr>
          <w:p w14:paraId="280372EE" w14:textId="77777777" w:rsidR="00B7544D" w:rsidRPr="00B7544D" w:rsidRDefault="00B7544D" w:rsidP="00B7544D">
            <w:pPr>
              <w:rPr>
                <w:rFonts w:eastAsia="Times New Roman" w:cs="Times New Roman"/>
                <w:color w:val="000000"/>
                <w:sz w:val="20"/>
                <w:szCs w:val="20"/>
              </w:rPr>
            </w:pPr>
            <w:r w:rsidRPr="00B7544D">
              <w:rPr>
                <w:color w:val="000000"/>
                <w:sz w:val="20"/>
                <w:szCs w:val="20"/>
              </w:rPr>
              <w:t>Ghana</w:t>
            </w:r>
          </w:p>
        </w:tc>
        <w:tc>
          <w:tcPr>
            <w:tcW w:w="1418" w:type="dxa"/>
            <w:hideMark/>
          </w:tcPr>
          <w:p w14:paraId="275CC9F6"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26 984 328</w:t>
            </w:r>
          </w:p>
        </w:tc>
        <w:tc>
          <w:tcPr>
            <w:tcW w:w="1610" w:type="dxa"/>
            <w:noWrap/>
            <w:hideMark/>
          </w:tcPr>
          <w:p w14:paraId="2DBCB05E"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8 %</w:t>
            </w:r>
          </w:p>
        </w:tc>
        <w:tc>
          <w:tcPr>
            <w:tcW w:w="1303" w:type="dxa"/>
            <w:noWrap/>
            <w:hideMark/>
          </w:tcPr>
          <w:p w14:paraId="3AC6E35C"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41</w:t>
            </w:r>
          </w:p>
        </w:tc>
        <w:tc>
          <w:tcPr>
            <w:tcW w:w="2615" w:type="dxa"/>
            <w:noWrap/>
            <w:hideMark/>
          </w:tcPr>
          <w:p w14:paraId="7B0D18C2"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1,519</w:t>
            </w:r>
          </w:p>
        </w:tc>
      </w:tr>
      <w:tr w:rsidR="00B7544D" w:rsidRPr="00B7544D" w14:paraId="0EE8D178" w14:textId="77777777" w:rsidTr="00670856">
        <w:trPr>
          <w:trHeight w:val="400"/>
        </w:trPr>
        <w:tc>
          <w:tcPr>
            <w:tcW w:w="2376" w:type="dxa"/>
            <w:hideMark/>
          </w:tcPr>
          <w:p w14:paraId="68FE5CD0" w14:textId="77777777" w:rsidR="00B7544D" w:rsidRPr="00B7544D" w:rsidRDefault="00B7544D" w:rsidP="00B7544D">
            <w:pPr>
              <w:rPr>
                <w:rFonts w:eastAsia="Times New Roman" w:cs="Times New Roman"/>
                <w:color w:val="000000"/>
                <w:sz w:val="20"/>
                <w:szCs w:val="20"/>
              </w:rPr>
            </w:pPr>
            <w:r w:rsidRPr="00B7544D">
              <w:rPr>
                <w:color w:val="000000"/>
                <w:sz w:val="20"/>
                <w:szCs w:val="20"/>
              </w:rPr>
              <w:t>Côte d’Ivoire</w:t>
            </w:r>
          </w:p>
        </w:tc>
        <w:tc>
          <w:tcPr>
            <w:tcW w:w="1418" w:type="dxa"/>
            <w:hideMark/>
          </w:tcPr>
          <w:p w14:paraId="013B9299"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21 295 284</w:t>
            </w:r>
          </w:p>
        </w:tc>
        <w:tc>
          <w:tcPr>
            <w:tcW w:w="1610" w:type="dxa"/>
            <w:noWrap/>
            <w:hideMark/>
          </w:tcPr>
          <w:p w14:paraId="6573B4CC"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6 %</w:t>
            </w:r>
          </w:p>
        </w:tc>
        <w:tc>
          <w:tcPr>
            <w:tcW w:w="1303" w:type="dxa"/>
            <w:noWrap/>
            <w:hideMark/>
          </w:tcPr>
          <w:p w14:paraId="22EBDF50"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6</w:t>
            </w:r>
          </w:p>
        </w:tc>
        <w:tc>
          <w:tcPr>
            <w:tcW w:w="2615" w:type="dxa"/>
            <w:noWrap/>
            <w:hideMark/>
          </w:tcPr>
          <w:p w14:paraId="4DE2BFE7"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0,282</w:t>
            </w:r>
          </w:p>
        </w:tc>
      </w:tr>
      <w:tr w:rsidR="00B7544D" w:rsidRPr="00B7544D" w14:paraId="730AF209" w14:textId="77777777" w:rsidTr="00670856">
        <w:trPr>
          <w:trHeight w:val="400"/>
        </w:trPr>
        <w:tc>
          <w:tcPr>
            <w:tcW w:w="2376" w:type="dxa"/>
            <w:hideMark/>
          </w:tcPr>
          <w:p w14:paraId="14B8A630" w14:textId="77777777" w:rsidR="00B7544D" w:rsidRPr="00B7544D" w:rsidRDefault="00B7544D" w:rsidP="00B7544D">
            <w:pPr>
              <w:rPr>
                <w:rFonts w:eastAsia="Times New Roman" w:cs="Times New Roman"/>
                <w:color w:val="000000"/>
                <w:sz w:val="20"/>
                <w:szCs w:val="20"/>
              </w:rPr>
            </w:pPr>
            <w:r w:rsidRPr="00B7544D">
              <w:rPr>
                <w:color w:val="000000"/>
                <w:sz w:val="20"/>
                <w:szCs w:val="20"/>
              </w:rPr>
              <w:t>Niger</w:t>
            </w:r>
          </w:p>
        </w:tc>
        <w:tc>
          <w:tcPr>
            <w:tcW w:w="1418" w:type="dxa"/>
            <w:hideMark/>
          </w:tcPr>
          <w:p w14:paraId="0ACC3EC1"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19 268 380</w:t>
            </w:r>
          </w:p>
        </w:tc>
        <w:tc>
          <w:tcPr>
            <w:tcW w:w="1610" w:type="dxa"/>
            <w:noWrap/>
            <w:hideMark/>
          </w:tcPr>
          <w:p w14:paraId="5890383F"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6 %</w:t>
            </w:r>
          </w:p>
        </w:tc>
        <w:tc>
          <w:tcPr>
            <w:tcW w:w="1303" w:type="dxa"/>
            <w:noWrap/>
            <w:hideMark/>
          </w:tcPr>
          <w:p w14:paraId="2FCAA354"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6</w:t>
            </w:r>
          </w:p>
        </w:tc>
        <w:tc>
          <w:tcPr>
            <w:tcW w:w="2615" w:type="dxa"/>
            <w:noWrap/>
            <w:hideMark/>
          </w:tcPr>
          <w:p w14:paraId="0BE88A36"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0,311</w:t>
            </w:r>
          </w:p>
        </w:tc>
      </w:tr>
      <w:tr w:rsidR="00B7544D" w:rsidRPr="00B7544D" w14:paraId="515950C9" w14:textId="77777777" w:rsidTr="00670856">
        <w:trPr>
          <w:trHeight w:val="400"/>
        </w:trPr>
        <w:tc>
          <w:tcPr>
            <w:tcW w:w="2376" w:type="dxa"/>
            <w:hideMark/>
          </w:tcPr>
          <w:p w14:paraId="05F43ADC" w14:textId="77777777" w:rsidR="00B7544D" w:rsidRPr="00B7544D" w:rsidRDefault="00B7544D" w:rsidP="00B7544D">
            <w:pPr>
              <w:rPr>
                <w:rFonts w:eastAsia="Times New Roman" w:cs="Times New Roman"/>
                <w:color w:val="000000"/>
                <w:sz w:val="20"/>
                <w:szCs w:val="20"/>
              </w:rPr>
            </w:pPr>
            <w:r w:rsidRPr="00B7544D">
              <w:rPr>
                <w:color w:val="000000"/>
                <w:sz w:val="20"/>
                <w:szCs w:val="20"/>
              </w:rPr>
              <w:t>Burkina Faso</w:t>
            </w:r>
          </w:p>
        </w:tc>
        <w:tc>
          <w:tcPr>
            <w:tcW w:w="1418" w:type="dxa"/>
            <w:hideMark/>
          </w:tcPr>
          <w:p w14:paraId="0582B981"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17 914 625</w:t>
            </w:r>
          </w:p>
        </w:tc>
        <w:tc>
          <w:tcPr>
            <w:tcW w:w="1610" w:type="dxa"/>
            <w:noWrap/>
            <w:hideMark/>
          </w:tcPr>
          <w:p w14:paraId="03134A75"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5 %</w:t>
            </w:r>
          </w:p>
        </w:tc>
        <w:tc>
          <w:tcPr>
            <w:tcW w:w="1303" w:type="dxa"/>
            <w:noWrap/>
            <w:hideMark/>
          </w:tcPr>
          <w:p w14:paraId="161C0DA6"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53</w:t>
            </w:r>
          </w:p>
        </w:tc>
        <w:tc>
          <w:tcPr>
            <w:tcW w:w="2615" w:type="dxa"/>
            <w:noWrap/>
            <w:hideMark/>
          </w:tcPr>
          <w:p w14:paraId="4D44540D"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2,958</w:t>
            </w:r>
          </w:p>
        </w:tc>
      </w:tr>
      <w:tr w:rsidR="00B7544D" w:rsidRPr="00B7544D" w14:paraId="3B0F26C6" w14:textId="77777777" w:rsidTr="00670856">
        <w:trPr>
          <w:trHeight w:val="400"/>
        </w:trPr>
        <w:tc>
          <w:tcPr>
            <w:tcW w:w="2376" w:type="dxa"/>
            <w:hideMark/>
          </w:tcPr>
          <w:p w14:paraId="6A7D1598" w14:textId="77777777" w:rsidR="00B7544D" w:rsidRPr="00B7544D" w:rsidRDefault="00B7544D" w:rsidP="00B7544D">
            <w:pPr>
              <w:rPr>
                <w:rFonts w:eastAsia="Times New Roman" w:cs="Times New Roman"/>
                <w:color w:val="000000"/>
                <w:sz w:val="20"/>
                <w:szCs w:val="20"/>
              </w:rPr>
            </w:pPr>
            <w:r w:rsidRPr="00B7544D">
              <w:rPr>
                <w:color w:val="000000"/>
                <w:sz w:val="20"/>
                <w:szCs w:val="20"/>
              </w:rPr>
              <w:t>Mali</w:t>
            </w:r>
          </w:p>
        </w:tc>
        <w:tc>
          <w:tcPr>
            <w:tcW w:w="1418" w:type="dxa"/>
            <w:hideMark/>
          </w:tcPr>
          <w:p w14:paraId="5BB25B9B"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16 258 587</w:t>
            </w:r>
          </w:p>
        </w:tc>
        <w:tc>
          <w:tcPr>
            <w:tcW w:w="1610" w:type="dxa"/>
            <w:noWrap/>
            <w:hideMark/>
          </w:tcPr>
          <w:p w14:paraId="64713F05"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5 %</w:t>
            </w:r>
          </w:p>
        </w:tc>
        <w:tc>
          <w:tcPr>
            <w:tcW w:w="1303" w:type="dxa"/>
            <w:noWrap/>
            <w:hideMark/>
          </w:tcPr>
          <w:p w14:paraId="678B8A5D"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11</w:t>
            </w:r>
          </w:p>
        </w:tc>
        <w:tc>
          <w:tcPr>
            <w:tcW w:w="2615" w:type="dxa"/>
            <w:noWrap/>
            <w:hideMark/>
          </w:tcPr>
          <w:p w14:paraId="6F481309"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0,677</w:t>
            </w:r>
          </w:p>
        </w:tc>
      </w:tr>
      <w:tr w:rsidR="00B7544D" w:rsidRPr="00B7544D" w14:paraId="56C22F15" w14:textId="77777777" w:rsidTr="00670856">
        <w:trPr>
          <w:trHeight w:val="400"/>
        </w:trPr>
        <w:tc>
          <w:tcPr>
            <w:tcW w:w="2376" w:type="dxa"/>
            <w:hideMark/>
          </w:tcPr>
          <w:p w14:paraId="4F4F3FFD" w14:textId="77777777" w:rsidR="00B7544D" w:rsidRPr="00B7544D" w:rsidRDefault="00B7544D" w:rsidP="00B7544D">
            <w:pPr>
              <w:rPr>
                <w:rFonts w:eastAsia="Times New Roman" w:cs="Times New Roman"/>
                <w:color w:val="000000"/>
                <w:sz w:val="20"/>
                <w:szCs w:val="20"/>
              </w:rPr>
            </w:pPr>
            <w:r w:rsidRPr="00B7544D">
              <w:rPr>
                <w:color w:val="000000"/>
                <w:sz w:val="20"/>
                <w:szCs w:val="20"/>
              </w:rPr>
              <w:t>Sénégal</w:t>
            </w:r>
          </w:p>
        </w:tc>
        <w:tc>
          <w:tcPr>
            <w:tcW w:w="1418" w:type="dxa"/>
            <w:hideMark/>
          </w:tcPr>
          <w:p w14:paraId="2E56A062"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14 967 446</w:t>
            </w:r>
          </w:p>
        </w:tc>
        <w:tc>
          <w:tcPr>
            <w:tcW w:w="1610" w:type="dxa"/>
            <w:noWrap/>
            <w:hideMark/>
          </w:tcPr>
          <w:p w14:paraId="4C53906A"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4 %</w:t>
            </w:r>
          </w:p>
        </w:tc>
        <w:tc>
          <w:tcPr>
            <w:tcW w:w="1303" w:type="dxa"/>
            <w:noWrap/>
            <w:hideMark/>
          </w:tcPr>
          <w:p w14:paraId="3CD810EB"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9</w:t>
            </w:r>
          </w:p>
        </w:tc>
        <w:tc>
          <w:tcPr>
            <w:tcW w:w="2615" w:type="dxa"/>
            <w:noWrap/>
            <w:hideMark/>
          </w:tcPr>
          <w:p w14:paraId="480DDC1D"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0,601</w:t>
            </w:r>
          </w:p>
        </w:tc>
      </w:tr>
      <w:tr w:rsidR="00B7544D" w:rsidRPr="00B7544D" w14:paraId="5C696210" w14:textId="77777777" w:rsidTr="00670856">
        <w:trPr>
          <w:trHeight w:val="400"/>
        </w:trPr>
        <w:tc>
          <w:tcPr>
            <w:tcW w:w="2376" w:type="dxa"/>
            <w:hideMark/>
          </w:tcPr>
          <w:p w14:paraId="72951DB4" w14:textId="77777777" w:rsidR="00B7544D" w:rsidRPr="00B7544D" w:rsidRDefault="00B7544D" w:rsidP="00B7544D">
            <w:pPr>
              <w:rPr>
                <w:rFonts w:eastAsia="Times New Roman" w:cs="Times New Roman"/>
                <w:color w:val="000000"/>
                <w:sz w:val="20"/>
                <w:szCs w:val="20"/>
              </w:rPr>
            </w:pPr>
            <w:r w:rsidRPr="00B7544D">
              <w:rPr>
                <w:color w:val="000000"/>
                <w:sz w:val="20"/>
                <w:szCs w:val="20"/>
              </w:rPr>
              <w:t>Guinée</w:t>
            </w:r>
          </w:p>
        </w:tc>
        <w:tc>
          <w:tcPr>
            <w:tcW w:w="1418" w:type="dxa"/>
            <w:hideMark/>
          </w:tcPr>
          <w:p w14:paraId="5DA183DD"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12 347 766</w:t>
            </w:r>
          </w:p>
        </w:tc>
        <w:tc>
          <w:tcPr>
            <w:tcW w:w="1610" w:type="dxa"/>
            <w:noWrap/>
            <w:hideMark/>
          </w:tcPr>
          <w:p w14:paraId="184CB0B2"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4 %</w:t>
            </w:r>
          </w:p>
        </w:tc>
        <w:tc>
          <w:tcPr>
            <w:tcW w:w="1303" w:type="dxa"/>
            <w:noWrap/>
            <w:hideMark/>
          </w:tcPr>
          <w:p w14:paraId="5123565C"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3</w:t>
            </w:r>
          </w:p>
        </w:tc>
        <w:tc>
          <w:tcPr>
            <w:tcW w:w="2615" w:type="dxa"/>
            <w:noWrap/>
            <w:hideMark/>
          </w:tcPr>
          <w:p w14:paraId="53B4DC04"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0,243</w:t>
            </w:r>
          </w:p>
        </w:tc>
      </w:tr>
      <w:tr w:rsidR="00B7544D" w:rsidRPr="00B7544D" w14:paraId="5F810C48" w14:textId="77777777" w:rsidTr="00670856">
        <w:trPr>
          <w:trHeight w:val="400"/>
        </w:trPr>
        <w:tc>
          <w:tcPr>
            <w:tcW w:w="2376" w:type="dxa"/>
            <w:hideMark/>
          </w:tcPr>
          <w:p w14:paraId="51E3ED22" w14:textId="77777777" w:rsidR="00B7544D" w:rsidRPr="00B7544D" w:rsidRDefault="00B7544D" w:rsidP="00B7544D">
            <w:pPr>
              <w:rPr>
                <w:rFonts w:eastAsia="Times New Roman" w:cs="Times New Roman"/>
                <w:color w:val="000000"/>
                <w:sz w:val="20"/>
                <w:szCs w:val="20"/>
              </w:rPr>
            </w:pPr>
            <w:r w:rsidRPr="00B7544D">
              <w:rPr>
                <w:color w:val="000000"/>
                <w:sz w:val="20"/>
                <w:szCs w:val="20"/>
              </w:rPr>
              <w:t>Bénin</w:t>
            </w:r>
          </w:p>
        </w:tc>
        <w:tc>
          <w:tcPr>
            <w:tcW w:w="1418" w:type="dxa"/>
            <w:hideMark/>
          </w:tcPr>
          <w:p w14:paraId="300D0BB7"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10 879 828</w:t>
            </w:r>
          </w:p>
        </w:tc>
        <w:tc>
          <w:tcPr>
            <w:tcW w:w="1610" w:type="dxa"/>
            <w:noWrap/>
            <w:hideMark/>
          </w:tcPr>
          <w:p w14:paraId="7F874790"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3 %</w:t>
            </w:r>
          </w:p>
        </w:tc>
        <w:tc>
          <w:tcPr>
            <w:tcW w:w="1303" w:type="dxa"/>
            <w:noWrap/>
            <w:hideMark/>
          </w:tcPr>
          <w:p w14:paraId="03D16896"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10</w:t>
            </w:r>
          </w:p>
        </w:tc>
        <w:tc>
          <w:tcPr>
            <w:tcW w:w="2615" w:type="dxa"/>
            <w:noWrap/>
            <w:hideMark/>
          </w:tcPr>
          <w:p w14:paraId="13A5ECFB"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0,919</w:t>
            </w:r>
          </w:p>
        </w:tc>
      </w:tr>
      <w:tr w:rsidR="00B7544D" w:rsidRPr="00B7544D" w14:paraId="321BD3FA" w14:textId="77777777" w:rsidTr="00670856">
        <w:trPr>
          <w:trHeight w:val="400"/>
        </w:trPr>
        <w:tc>
          <w:tcPr>
            <w:tcW w:w="2376" w:type="dxa"/>
            <w:hideMark/>
          </w:tcPr>
          <w:p w14:paraId="74C121B6" w14:textId="77777777" w:rsidR="00B7544D" w:rsidRPr="00B7544D" w:rsidRDefault="00B7544D" w:rsidP="00B7544D">
            <w:pPr>
              <w:rPr>
                <w:rFonts w:eastAsia="Times New Roman" w:cs="Times New Roman"/>
                <w:color w:val="000000"/>
                <w:sz w:val="20"/>
                <w:szCs w:val="20"/>
              </w:rPr>
            </w:pPr>
            <w:r w:rsidRPr="00B7544D">
              <w:rPr>
                <w:color w:val="000000"/>
                <w:sz w:val="20"/>
                <w:szCs w:val="20"/>
              </w:rPr>
              <w:t>Togo</w:t>
            </w:r>
          </w:p>
        </w:tc>
        <w:tc>
          <w:tcPr>
            <w:tcW w:w="1418" w:type="dxa"/>
            <w:hideMark/>
          </w:tcPr>
          <w:p w14:paraId="3037311D"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7 170 797</w:t>
            </w:r>
          </w:p>
        </w:tc>
        <w:tc>
          <w:tcPr>
            <w:tcW w:w="1610" w:type="dxa"/>
            <w:noWrap/>
            <w:hideMark/>
          </w:tcPr>
          <w:p w14:paraId="5063F1E3"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2 %</w:t>
            </w:r>
          </w:p>
        </w:tc>
        <w:tc>
          <w:tcPr>
            <w:tcW w:w="1303" w:type="dxa"/>
            <w:noWrap/>
            <w:hideMark/>
          </w:tcPr>
          <w:p w14:paraId="25436ED4"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w:t>
            </w:r>
          </w:p>
        </w:tc>
        <w:tc>
          <w:tcPr>
            <w:tcW w:w="2615" w:type="dxa"/>
            <w:noWrap/>
            <w:hideMark/>
          </w:tcPr>
          <w:p w14:paraId="26FF7AEE"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0,139</w:t>
            </w:r>
          </w:p>
        </w:tc>
      </w:tr>
      <w:tr w:rsidR="00B7544D" w:rsidRPr="00B7544D" w14:paraId="7FBFE161" w14:textId="77777777" w:rsidTr="00670856">
        <w:trPr>
          <w:trHeight w:val="70"/>
        </w:trPr>
        <w:tc>
          <w:tcPr>
            <w:tcW w:w="2376" w:type="dxa"/>
            <w:hideMark/>
          </w:tcPr>
          <w:p w14:paraId="709FFDA7" w14:textId="77777777" w:rsidR="00B7544D" w:rsidRPr="00B7544D" w:rsidRDefault="00B7544D" w:rsidP="00B7544D">
            <w:pPr>
              <w:rPr>
                <w:rFonts w:eastAsia="Times New Roman" w:cs="Times New Roman"/>
                <w:color w:val="000000"/>
                <w:sz w:val="20"/>
                <w:szCs w:val="20"/>
              </w:rPr>
            </w:pPr>
            <w:r w:rsidRPr="00B7544D">
              <w:rPr>
                <w:color w:val="000000"/>
                <w:sz w:val="20"/>
                <w:szCs w:val="20"/>
              </w:rPr>
              <w:t>Sierra Leone</w:t>
            </w:r>
          </w:p>
        </w:tc>
        <w:tc>
          <w:tcPr>
            <w:tcW w:w="1418" w:type="dxa"/>
            <w:hideMark/>
          </w:tcPr>
          <w:p w14:paraId="44D2D5B8"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6 318 575</w:t>
            </w:r>
          </w:p>
        </w:tc>
        <w:tc>
          <w:tcPr>
            <w:tcW w:w="1610" w:type="dxa"/>
            <w:noWrap/>
            <w:hideMark/>
          </w:tcPr>
          <w:p w14:paraId="675DDCF7"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2 %</w:t>
            </w:r>
          </w:p>
        </w:tc>
        <w:tc>
          <w:tcPr>
            <w:tcW w:w="1303" w:type="dxa"/>
            <w:noWrap/>
            <w:hideMark/>
          </w:tcPr>
          <w:p w14:paraId="16F2E9DE"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11</w:t>
            </w:r>
          </w:p>
        </w:tc>
        <w:tc>
          <w:tcPr>
            <w:tcW w:w="2615" w:type="dxa"/>
            <w:noWrap/>
            <w:hideMark/>
          </w:tcPr>
          <w:p w14:paraId="00029FFA"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1,741</w:t>
            </w:r>
          </w:p>
        </w:tc>
      </w:tr>
      <w:tr w:rsidR="00B7544D" w:rsidRPr="00B7544D" w14:paraId="4A7F8F93" w14:textId="77777777" w:rsidTr="00670856">
        <w:trPr>
          <w:trHeight w:val="400"/>
        </w:trPr>
        <w:tc>
          <w:tcPr>
            <w:tcW w:w="2376" w:type="dxa"/>
            <w:hideMark/>
          </w:tcPr>
          <w:p w14:paraId="7F3642D8" w14:textId="77777777" w:rsidR="00B7544D" w:rsidRPr="00B7544D" w:rsidRDefault="00B7544D" w:rsidP="00B7544D">
            <w:pPr>
              <w:rPr>
                <w:rFonts w:eastAsia="Times New Roman" w:cs="Times New Roman"/>
                <w:color w:val="000000"/>
                <w:sz w:val="20"/>
                <w:szCs w:val="20"/>
              </w:rPr>
            </w:pPr>
            <w:r w:rsidRPr="00B7544D">
              <w:rPr>
                <w:color w:val="000000"/>
                <w:sz w:val="20"/>
                <w:szCs w:val="20"/>
              </w:rPr>
              <w:t>Libéria</w:t>
            </w:r>
          </w:p>
        </w:tc>
        <w:tc>
          <w:tcPr>
            <w:tcW w:w="1418" w:type="dxa"/>
            <w:hideMark/>
          </w:tcPr>
          <w:p w14:paraId="5FAF42CA"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4 503 439</w:t>
            </w:r>
          </w:p>
        </w:tc>
        <w:tc>
          <w:tcPr>
            <w:tcW w:w="1610" w:type="dxa"/>
            <w:noWrap/>
            <w:hideMark/>
          </w:tcPr>
          <w:p w14:paraId="61A235FE"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1 %</w:t>
            </w:r>
          </w:p>
        </w:tc>
        <w:tc>
          <w:tcPr>
            <w:tcW w:w="1303" w:type="dxa"/>
            <w:noWrap/>
            <w:hideMark/>
          </w:tcPr>
          <w:p w14:paraId="26FE3FB8"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3</w:t>
            </w:r>
          </w:p>
        </w:tc>
        <w:tc>
          <w:tcPr>
            <w:tcW w:w="2615" w:type="dxa"/>
            <w:noWrap/>
            <w:hideMark/>
          </w:tcPr>
          <w:p w14:paraId="02DF45A5"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0,666</w:t>
            </w:r>
          </w:p>
        </w:tc>
      </w:tr>
      <w:tr w:rsidR="00B7544D" w:rsidRPr="00B7544D" w14:paraId="0A78F2B9" w14:textId="77777777" w:rsidTr="00670856">
        <w:trPr>
          <w:trHeight w:val="400"/>
        </w:trPr>
        <w:tc>
          <w:tcPr>
            <w:tcW w:w="2376" w:type="dxa"/>
            <w:hideMark/>
          </w:tcPr>
          <w:p w14:paraId="1AB3E2EF" w14:textId="77777777" w:rsidR="00B7544D" w:rsidRPr="00B7544D" w:rsidRDefault="00B7544D" w:rsidP="00B7544D">
            <w:pPr>
              <w:rPr>
                <w:rFonts w:eastAsia="Times New Roman" w:cs="Times New Roman"/>
                <w:color w:val="000000"/>
                <w:sz w:val="20"/>
                <w:szCs w:val="20"/>
              </w:rPr>
            </w:pPr>
            <w:r w:rsidRPr="00B7544D">
              <w:rPr>
                <w:color w:val="000000"/>
                <w:sz w:val="20"/>
                <w:szCs w:val="20"/>
              </w:rPr>
              <w:t>Gambie</w:t>
            </w:r>
          </w:p>
        </w:tc>
        <w:tc>
          <w:tcPr>
            <w:tcW w:w="1418" w:type="dxa"/>
            <w:hideMark/>
          </w:tcPr>
          <w:p w14:paraId="02159DDB"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1 970 081</w:t>
            </w:r>
          </w:p>
        </w:tc>
        <w:tc>
          <w:tcPr>
            <w:tcW w:w="1610" w:type="dxa"/>
            <w:noWrap/>
            <w:hideMark/>
          </w:tcPr>
          <w:p w14:paraId="1255826C"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1 %</w:t>
            </w:r>
          </w:p>
        </w:tc>
        <w:tc>
          <w:tcPr>
            <w:tcW w:w="1303" w:type="dxa"/>
            <w:noWrap/>
            <w:hideMark/>
          </w:tcPr>
          <w:p w14:paraId="757934FC"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3</w:t>
            </w:r>
          </w:p>
        </w:tc>
        <w:tc>
          <w:tcPr>
            <w:tcW w:w="2615" w:type="dxa"/>
            <w:noWrap/>
            <w:hideMark/>
          </w:tcPr>
          <w:p w14:paraId="45F2B0E4"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1,523</w:t>
            </w:r>
          </w:p>
        </w:tc>
      </w:tr>
      <w:tr w:rsidR="00B7544D" w:rsidRPr="00B7544D" w14:paraId="592958ED" w14:textId="77777777" w:rsidTr="00670856">
        <w:trPr>
          <w:trHeight w:val="400"/>
        </w:trPr>
        <w:tc>
          <w:tcPr>
            <w:tcW w:w="2376" w:type="dxa"/>
            <w:hideMark/>
          </w:tcPr>
          <w:p w14:paraId="5D045927" w14:textId="77777777" w:rsidR="00B7544D" w:rsidRPr="00B7544D" w:rsidRDefault="00B7544D" w:rsidP="00B7544D">
            <w:pPr>
              <w:rPr>
                <w:rFonts w:eastAsia="Times New Roman" w:cs="Times New Roman"/>
                <w:color w:val="000000"/>
                <w:sz w:val="20"/>
                <w:szCs w:val="20"/>
              </w:rPr>
            </w:pPr>
            <w:r w:rsidRPr="00B7544D">
              <w:rPr>
                <w:color w:val="000000"/>
                <w:sz w:val="20"/>
                <w:szCs w:val="20"/>
              </w:rPr>
              <w:t>Guinée-Bissau</w:t>
            </w:r>
          </w:p>
        </w:tc>
        <w:tc>
          <w:tcPr>
            <w:tcW w:w="1418" w:type="dxa"/>
            <w:hideMark/>
          </w:tcPr>
          <w:p w14:paraId="0ADD24FB"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1 787 793</w:t>
            </w:r>
          </w:p>
        </w:tc>
        <w:tc>
          <w:tcPr>
            <w:tcW w:w="1610" w:type="dxa"/>
            <w:noWrap/>
            <w:hideMark/>
          </w:tcPr>
          <w:p w14:paraId="60E075AB"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1 %</w:t>
            </w:r>
          </w:p>
        </w:tc>
        <w:tc>
          <w:tcPr>
            <w:tcW w:w="1303" w:type="dxa"/>
            <w:noWrap/>
            <w:hideMark/>
          </w:tcPr>
          <w:p w14:paraId="1E0EFBB6"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w:t>
            </w:r>
          </w:p>
        </w:tc>
        <w:tc>
          <w:tcPr>
            <w:tcW w:w="2615" w:type="dxa"/>
            <w:noWrap/>
            <w:hideMark/>
          </w:tcPr>
          <w:p w14:paraId="3FDB3FBF"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0,559</w:t>
            </w:r>
          </w:p>
        </w:tc>
      </w:tr>
      <w:tr w:rsidR="00B7544D" w:rsidRPr="00B7544D" w14:paraId="765D2343" w14:textId="77777777" w:rsidTr="00670856">
        <w:trPr>
          <w:trHeight w:val="380"/>
        </w:trPr>
        <w:tc>
          <w:tcPr>
            <w:tcW w:w="2376" w:type="dxa"/>
            <w:hideMark/>
          </w:tcPr>
          <w:p w14:paraId="2245746F" w14:textId="77777777" w:rsidR="00B7544D" w:rsidRPr="00B7544D" w:rsidRDefault="00B7544D" w:rsidP="00B7544D">
            <w:pPr>
              <w:rPr>
                <w:rFonts w:eastAsia="Times New Roman" w:cs="Times New Roman"/>
                <w:color w:val="000000"/>
                <w:sz w:val="20"/>
                <w:szCs w:val="20"/>
              </w:rPr>
            </w:pPr>
            <w:r w:rsidRPr="00B7544D">
              <w:rPr>
                <w:color w:val="000000"/>
                <w:sz w:val="20"/>
                <w:szCs w:val="20"/>
              </w:rPr>
              <w:t>Cabo Verde</w:t>
            </w:r>
          </w:p>
        </w:tc>
        <w:tc>
          <w:tcPr>
            <w:tcW w:w="1418" w:type="dxa"/>
            <w:hideMark/>
          </w:tcPr>
          <w:p w14:paraId="5D909539"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508 315</w:t>
            </w:r>
          </w:p>
        </w:tc>
        <w:tc>
          <w:tcPr>
            <w:tcW w:w="1610" w:type="dxa"/>
            <w:noWrap/>
            <w:hideMark/>
          </w:tcPr>
          <w:p w14:paraId="0EB98FD1"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0 %</w:t>
            </w:r>
          </w:p>
        </w:tc>
        <w:tc>
          <w:tcPr>
            <w:tcW w:w="1303" w:type="dxa"/>
            <w:noWrap/>
            <w:hideMark/>
          </w:tcPr>
          <w:p w14:paraId="7FCEEBCF"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w:t>
            </w:r>
          </w:p>
        </w:tc>
        <w:tc>
          <w:tcPr>
            <w:tcW w:w="2615" w:type="dxa"/>
            <w:noWrap/>
            <w:hideMark/>
          </w:tcPr>
          <w:p w14:paraId="40396ED1"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0,000</w:t>
            </w:r>
          </w:p>
        </w:tc>
      </w:tr>
      <w:tr w:rsidR="00B7544D" w:rsidRPr="00B7544D" w14:paraId="4F5B966A" w14:textId="77777777" w:rsidTr="00670856">
        <w:trPr>
          <w:trHeight w:val="320"/>
        </w:trPr>
        <w:tc>
          <w:tcPr>
            <w:tcW w:w="2376" w:type="dxa"/>
            <w:noWrap/>
            <w:hideMark/>
          </w:tcPr>
          <w:p w14:paraId="6E1EAB49" w14:textId="77777777" w:rsidR="00B7544D" w:rsidRPr="00B7544D" w:rsidRDefault="00B7544D" w:rsidP="00B7544D">
            <w:pPr>
              <w:rPr>
                <w:rFonts w:eastAsia="Times New Roman" w:cs="Times New Roman"/>
                <w:color w:val="000000"/>
                <w:sz w:val="20"/>
                <w:szCs w:val="20"/>
              </w:rPr>
            </w:pPr>
            <w:r w:rsidRPr="00B7544D">
              <w:rPr>
                <w:color w:val="000000"/>
                <w:sz w:val="20"/>
                <w:szCs w:val="20"/>
              </w:rPr>
              <w:t>Population totale en AO</w:t>
            </w:r>
          </w:p>
        </w:tc>
        <w:tc>
          <w:tcPr>
            <w:tcW w:w="1418" w:type="dxa"/>
            <w:noWrap/>
            <w:hideMark/>
          </w:tcPr>
          <w:p w14:paraId="299E09BB"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345 698 676</w:t>
            </w:r>
          </w:p>
        </w:tc>
        <w:tc>
          <w:tcPr>
            <w:tcW w:w="1610" w:type="dxa"/>
            <w:noWrap/>
            <w:hideMark/>
          </w:tcPr>
          <w:p w14:paraId="2EE8084D"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100 %</w:t>
            </w:r>
          </w:p>
        </w:tc>
        <w:tc>
          <w:tcPr>
            <w:tcW w:w="1303" w:type="dxa"/>
            <w:noWrap/>
            <w:hideMark/>
          </w:tcPr>
          <w:p w14:paraId="169342C0" w14:textId="77777777" w:rsidR="00B7544D" w:rsidRPr="00B7544D" w:rsidRDefault="00B7544D" w:rsidP="00B7544D">
            <w:pPr>
              <w:jc w:val="right"/>
              <w:rPr>
                <w:rFonts w:eastAsia="Times New Roman" w:cs="Times New Roman"/>
                <w:color w:val="000000"/>
                <w:sz w:val="20"/>
                <w:szCs w:val="20"/>
                <w:lang w:val="en-US"/>
              </w:rPr>
            </w:pPr>
          </w:p>
        </w:tc>
        <w:tc>
          <w:tcPr>
            <w:tcW w:w="2615" w:type="dxa"/>
            <w:noWrap/>
            <w:hideMark/>
          </w:tcPr>
          <w:p w14:paraId="2A746BE2"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0,000</w:t>
            </w:r>
          </w:p>
        </w:tc>
      </w:tr>
      <w:tr w:rsidR="00B7544D" w:rsidRPr="00B7544D" w14:paraId="700C54B2" w14:textId="77777777" w:rsidTr="00670856">
        <w:trPr>
          <w:trHeight w:val="320"/>
        </w:trPr>
        <w:tc>
          <w:tcPr>
            <w:tcW w:w="2376" w:type="dxa"/>
            <w:noWrap/>
            <w:hideMark/>
          </w:tcPr>
          <w:p w14:paraId="07A64E22" w14:textId="77777777" w:rsidR="00B7544D" w:rsidRPr="00B7544D" w:rsidRDefault="00B7544D" w:rsidP="00B7544D">
            <w:pPr>
              <w:rPr>
                <w:rFonts w:eastAsia="Times New Roman" w:cs="Times New Roman"/>
                <w:color w:val="000000"/>
                <w:sz w:val="20"/>
                <w:szCs w:val="20"/>
              </w:rPr>
            </w:pPr>
            <w:r w:rsidRPr="00B7544D">
              <w:rPr>
                <w:color w:val="000000"/>
                <w:sz w:val="20"/>
                <w:szCs w:val="20"/>
              </w:rPr>
              <w:t xml:space="preserve">Plusieurs d’Afrique de l’Ouest </w:t>
            </w:r>
          </w:p>
        </w:tc>
        <w:tc>
          <w:tcPr>
            <w:tcW w:w="1418" w:type="dxa"/>
            <w:noWrap/>
            <w:hideMark/>
          </w:tcPr>
          <w:p w14:paraId="121017DD" w14:textId="77777777" w:rsidR="00B7544D" w:rsidRPr="00B7544D" w:rsidRDefault="00B7544D" w:rsidP="00B7544D">
            <w:pPr>
              <w:rPr>
                <w:rFonts w:eastAsia="Times New Roman" w:cs="Times New Roman"/>
                <w:color w:val="000000"/>
                <w:sz w:val="20"/>
                <w:szCs w:val="20"/>
                <w:lang w:val="en-US"/>
              </w:rPr>
            </w:pPr>
          </w:p>
        </w:tc>
        <w:tc>
          <w:tcPr>
            <w:tcW w:w="1610" w:type="dxa"/>
            <w:noWrap/>
            <w:hideMark/>
          </w:tcPr>
          <w:p w14:paraId="0E7044E4" w14:textId="77777777" w:rsidR="00B7544D" w:rsidRPr="00B7544D" w:rsidRDefault="00B7544D" w:rsidP="00B7544D">
            <w:pPr>
              <w:rPr>
                <w:rFonts w:eastAsia="Times New Roman" w:cs="Times New Roman"/>
                <w:sz w:val="20"/>
                <w:szCs w:val="20"/>
                <w:lang w:val="en-US"/>
              </w:rPr>
            </w:pPr>
          </w:p>
        </w:tc>
        <w:tc>
          <w:tcPr>
            <w:tcW w:w="1303" w:type="dxa"/>
            <w:noWrap/>
            <w:hideMark/>
          </w:tcPr>
          <w:p w14:paraId="040F9CDF"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13</w:t>
            </w:r>
          </w:p>
        </w:tc>
        <w:tc>
          <w:tcPr>
            <w:tcW w:w="2615" w:type="dxa"/>
            <w:noWrap/>
            <w:hideMark/>
          </w:tcPr>
          <w:p w14:paraId="6601D9C5"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0,038</w:t>
            </w:r>
          </w:p>
        </w:tc>
      </w:tr>
      <w:tr w:rsidR="00B7544D" w:rsidRPr="00B7544D" w14:paraId="60310057" w14:textId="77777777" w:rsidTr="00670856">
        <w:trPr>
          <w:trHeight w:val="320"/>
        </w:trPr>
        <w:tc>
          <w:tcPr>
            <w:tcW w:w="2376" w:type="dxa"/>
            <w:noWrap/>
            <w:hideMark/>
          </w:tcPr>
          <w:p w14:paraId="241A33B7" w14:textId="77777777" w:rsidR="00B7544D" w:rsidRPr="00B7544D" w:rsidRDefault="00B7544D" w:rsidP="00B7544D">
            <w:pPr>
              <w:rPr>
                <w:rFonts w:eastAsia="Times New Roman" w:cs="Times New Roman"/>
                <w:color w:val="000000"/>
                <w:sz w:val="20"/>
                <w:szCs w:val="20"/>
              </w:rPr>
            </w:pPr>
            <w:r w:rsidRPr="00B7544D">
              <w:rPr>
                <w:color w:val="000000"/>
                <w:sz w:val="20"/>
                <w:szCs w:val="20"/>
              </w:rPr>
              <w:t xml:space="preserve">Plusieurs d’Afrique </w:t>
            </w:r>
          </w:p>
        </w:tc>
        <w:tc>
          <w:tcPr>
            <w:tcW w:w="1418" w:type="dxa"/>
            <w:noWrap/>
            <w:hideMark/>
          </w:tcPr>
          <w:p w14:paraId="1C3EC17C" w14:textId="77777777" w:rsidR="00B7544D" w:rsidRPr="00B7544D" w:rsidRDefault="00B7544D" w:rsidP="00B7544D">
            <w:pPr>
              <w:rPr>
                <w:rFonts w:eastAsia="Times New Roman" w:cs="Times New Roman"/>
                <w:color w:val="000000"/>
                <w:sz w:val="20"/>
                <w:szCs w:val="20"/>
                <w:lang w:val="en-US"/>
              </w:rPr>
            </w:pPr>
          </w:p>
        </w:tc>
        <w:tc>
          <w:tcPr>
            <w:tcW w:w="1610" w:type="dxa"/>
            <w:noWrap/>
            <w:hideMark/>
          </w:tcPr>
          <w:p w14:paraId="2E9168E5" w14:textId="77777777" w:rsidR="00B7544D" w:rsidRPr="00B7544D" w:rsidRDefault="00B7544D" w:rsidP="00B7544D">
            <w:pPr>
              <w:rPr>
                <w:rFonts w:eastAsia="Times New Roman" w:cs="Times New Roman"/>
                <w:sz w:val="20"/>
                <w:szCs w:val="20"/>
                <w:lang w:val="en-US"/>
              </w:rPr>
            </w:pPr>
          </w:p>
        </w:tc>
        <w:tc>
          <w:tcPr>
            <w:tcW w:w="1303" w:type="dxa"/>
            <w:noWrap/>
            <w:hideMark/>
          </w:tcPr>
          <w:p w14:paraId="1B71F189"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4</w:t>
            </w:r>
          </w:p>
        </w:tc>
        <w:tc>
          <w:tcPr>
            <w:tcW w:w="2615" w:type="dxa"/>
            <w:noWrap/>
            <w:hideMark/>
          </w:tcPr>
          <w:p w14:paraId="7D4BCE29"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0,012</w:t>
            </w:r>
          </w:p>
        </w:tc>
      </w:tr>
      <w:tr w:rsidR="00B7544D" w:rsidRPr="00B7544D" w14:paraId="2E6A5791" w14:textId="77777777" w:rsidTr="00670856">
        <w:trPr>
          <w:trHeight w:val="320"/>
        </w:trPr>
        <w:tc>
          <w:tcPr>
            <w:tcW w:w="2376" w:type="dxa"/>
            <w:noWrap/>
            <w:hideMark/>
          </w:tcPr>
          <w:p w14:paraId="52E6F6C6" w14:textId="77777777" w:rsidR="00B7544D" w:rsidRPr="00B7544D" w:rsidRDefault="00B7544D" w:rsidP="00B7544D">
            <w:pPr>
              <w:rPr>
                <w:rFonts w:eastAsia="Times New Roman" w:cs="Times New Roman"/>
                <w:color w:val="000000"/>
                <w:sz w:val="20"/>
                <w:szCs w:val="20"/>
              </w:rPr>
            </w:pPr>
            <w:r w:rsidRPr="00B7544D">
              <w:rPr>
                <w:color w:val="000000"/>
                <w:sz w:val="20"/>
                <w:szCs w:val="20"/>
              </w:rPr>
              <w:t>Plusieurs à l’international</w:t>
            </w:r>
          </w:p>
        </w:tc>
        <w:tc>
          <w:tcPr>
            <w:tcW w:w="1418" w:type="dxa"/>
            <w:noWrap/>
            <w:hideMark/>
          </w:tcPr>
          <w:p w14:paraId="0195FCB9" w14:textId="77777777" w:rsidR="00B7544D" w:rsidRPr="00B7544D" w:rsidRDefault="00B7544D" w:rsidP="00B7544D">
            <w:pPr>
              <w:rPr>
                <w:rFonts w:eastAsia="Times New Roman" w:cs="Times New Roman"/>
                <w:color w:val="000000"/>
                <w:sz w:val="20"/>
                <w:szCs w:val="20"/>
                <w:lang w:val="en-US"/>
              </w:rPr>
            </w:pPr>
          </w:p>
        </w:tc>
        <w:tc>
          <w:tcPr>
            <w:tcW w:w="1610" w:type="dxa"/>
            <w:noWrap/>
            <w:hideMark/>
          </w:tcPr>
          <w:p w14:paraId="720D032C" w14:textId="77777777" w:rsidR="00B7544D" w:rsidRPr="00B7544D" w:rsidRDefault="00B7544D" w:rsidP="00B7544D">
            <w:pPr>
              <w:rPr>
                <w:rFonts w:eastAsia="Times New Roman" w:cs="Times New Roman"/>
                <w:sz w:val="20"/>
                <w:szCs w:val="20"/>
                <w:lang w:val="en-US"/>
              </w:rPr>
            </w:pPr>
          </w:p>
        </w:tc>
        <w:tc>
          <w:tcPr>
            <w:tcW w:w="1303" w:type="dxa"/>
            <w:noWrap/>
            <w:hideMark/>
          </w:tcPr>
          <w:p w14:paraId="783F9123"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1</w:t>
            </w:r>
          </w:p>
        </w:tc>
        <w:tc>
          <w:tcPr>
            <w:tcW w:w="2615" w:type="dxa"/>
            <w:noWrap/>
            <w:hideMark/>
          </w:tcPr>
          <w:p w14:paraId="39AFF582"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0,003</w:t>
            </w:r>
          </w:p>
        </w:tc>
      </w:tr>
      <w:tr w:rsidR="00B7544D" w:rsidRPr="00B7544D" w14:paraId="7A9742FE" w14:textId="77777777" w:rsidTr="00670856">
        <w:trPr>
          <w:trHeight w:val="320"/>
        </w:trPr>
        <w:tc>
          <w:tcPr>
            <w:tcW w:w="2376" w:type="dxa"/>
            <w:noWrap/>
            <w:hideMark/>
          </w:tcPr>
          <w:p w14:paraId="40AE1943" w14:textId="77777777" w:rsidR="00B7544D" w:rsidRPr="00B7544D" w:rsidRDefault="00B7544D" w:rsidP="00B7544D">
            <w:pPr>
              <w:jc w:val="right"/>
              <w:rPr>
                <w:rFonts w:eastAsia="Times New Roman" w:cs="Times New Roman"/>
                <w:color w:val="000000"/>
                <w:sz w:val="20"/>
                <w:szCs w:val="20"/>
                <w:lang w:val="en-US"/>
              </w:rPr>
            </w:pPr>
          </w:p>
        </w:tc>
        <w:tc>
          <w:tcPr>
            <w:tcW w:w="1418" w:type="dxa"/>
            <w:noWrap/>
            <w:hideMark/>
          </w:tcPr>
          <w:p w14:paraId="720BF308" w14:textId="77777777" w:rsidR="00B7544D" w:rsidRPr="00B7544D" w:rsidRDefault="00B7544D" w:rsidP="00B7544D">
            <w:pPr>
              <w:rPr>
                <w:rFonts w:eastAsia="Times New Roman" w:cs="Times New Roman"/>
                <w:sz w:val="20"/>
                <w:szCs w:val="20"/>
                <w:lang w:val="en-US"/>
              </w:rPr>
            </w:pPr>
          </w:p>
        </w:tc>
        <w:tc>
          <w:tcPr>
            <w:tcW w:w="1610" w:type="dxa"/>
            <w:noWrap/>
            <w:hideMark/>
          </w:tcPr>
          <w:p w14:paraId="4F7775FD" w14:textId="77777777" w:rsidR="00B7544D" w:rsidRPr="00B7544D" w:rsidRDefault="00B7544D" w:rsidP="00B7544D">
            <w:pPr>
              <w:rPr>
                <w:rFonts w:eastAsia="Times New Roman" w:cs="Times New Roman"/>
                <w:sz w:val="20"/>
                <w:szCs w:val="20"/>
                <w:lang w:val="en-US"/>
              </w:rPr>
            </w:pPr>
          </w:p>
        </w:tc>
        <w:tc>
          <w:tcPr>
            <w:tcW w:w="1303" w:type="dxa"/>
            <w:noWrap/>
            <w:hideMark/>
          </w:tcPr>
          <w:p w14:paraId="34F63CF5"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246</w:t>
            </w:r>
          </w:p>
        </w:tc>
        <w:tc>
          <w:tcPr>
            <w:tcW w:w="2615" w:type="dxa"/>
            <w:noWrap/>
            <w:hideMark/>
          </w:tcPr>
          <w:p w14:paraId="658D58DF" w14:textId="77777777" w:rsidR="00B7544D" w:rsidRPr="00B7544D" w:rsidRDefault="00B7544D" w:rsidP="00B7544D">
            <w:pPr>
              <w:jc w:val="right"/>
              <w:rPr>
                <w:rFonts w:eastAsia="Times New Roman" w:cs="Times New Roman"/>
                <w:color w:val="000000"/>
                <w:sz w:val="20"/>
                <w:szCs w:val="20"/>
              </w:rPr>
            </w:pPr>
            <w:r w:rsidRPr="00B7544D">
              <w:rPr>
                <w:color w:val="000000"/>
                <w:sz w:val="20"/>
                <w:szCs w:val="20"/>
              </w:rPr>
              <w:t>0,712</w:t>
            </w:r>
          </w:p>
        </w:tc>
      </w:tr>
    </w:tbl>
    <w:p w14:paraId="11F6BF81" w14:textId="77777777" w:rsidR="00670856" w:rsidRPr="00C923CD" w:rsidRDefault="00670856" w:rsidP="00670856">
      <w:pPr>
        <w:suppressLineNumbers/>
        <w:spacing w:after="0" w:line="240" w:lineRule="auto"/>
        <w:jc w:val="both"/>
        <w:outlineLvl w:val="0"/>
        <w:rPr>
          <w:b/>
          <w:u w:val="single"/>
        </w:rPr>
      </w:pPr>
      <w:r w:rsidRPr="00C923CD">
        <w:rPr>
          <w:b/>
          <w:u w:val="single"/>
        </w:rPr>
        <w:t>Auteur principal et pays de rattachement</w:t>
      </w:r>
    </w:p>
    <w:p w14:paraId="421D78FA" w14:textId="77777777" w:rsidR="00670856" w:rsidRDefault="00670856" w:rsidP="00670856">
      <w:pPr>
        <w:suppressLineNumbers/>
        <w:spacing w:after="0" w:line="240" w:lineRule="auto"/>
        <w:jc w:val="both"/>
      </w:pPr>
      <w:r w:rsidRPr="00C923CD">
        <w:t>L’auteur principal de 54 % (n = 132) des articles était ouest-africain. Le tableau 2 résume les auteurs principaux ouest-africains par pays. Cependant, il y avait de nombreux cas où même si l’auteur principal était ouest-africain, le rattachement principal était un établissement non ouest-africain. Cela explique le nombre élevé d’établissements principaux non ouest-africains comparé aux auteurs principaux ouest-africains. Cette situation semble être généralement causée par le fait qu’ils étaient inscrits en tant que chercheur au doctorat dans les établissements du Nord.</w:t>
      </w:r>
    </w:p>
    <w:p w14:paraId="7FB6E2BD" w14:textId="77777777" w:rsidR="00670856" w:rsidRDefault="00670856" w:rsidP="00670856">
      <w:pPr>
        <w:suppressLineNumbers/>
        <w:spacing w:after="0" w:line="240" w:lineRule="auto"/>
        <w:jc w:val="both"/>
      </w:pPr>
    </w:p>
    <w:p w14:paraId="26255749" w14:textId="77777777" w:rsidR="00670856" w:rsidRPr="006E18BA" w:rsidRDefault="00670856" w:rsidP="00670856">
      <w:pPr>
        <w:suppressLineNumbers/>
        <w:jc w:val="both"/>
        <w:outlineLvl w:val="0"/>
        <w:rPr>
          <w:b/>
        </w:rPr>
      </w:pPr>
      <w:r>
        <w:rPr>
          <w:b/>
        </w:rPr>
        <w:t>Tableau 2 : Auteurs principaux ouest-africains par pays dans lequel la recherche a été menée</w:t>
      </w:r>
    </w:p>
    <w:tbl>
      <w:tblPr>
        <w:tblStyle w:val="TableGrid"/>
        <w:tblW w:w="0" w:type="auto"/>
        <w:tblLook w:val="04A0" w:firstRow="1" w:lastRow="0" w:firstColumn="1" w:lastColumn="0" w:noHBand="0" w:noVBand="1"/>
      </w:tblPr>
      <w:tblGrid>
        <w:gridCol w:w="2799"/>
        <w:gridCol w:w="1247"/>
        <w:gridCol w:w="2508"/>
        <w:gridCol w:w="2508"/>
      </w:tblGrid>
      <w:tr w:rsidR="00670856" w:rsidRPr="006F424F" w14:paraId="5D2873DB" w14:textId="77777777" w:rsidTr="00121E13">
        <w:tc>
          <w:tcPr>
            <w:tcW w:w="0" w:type="auto"/>
          </w:tcPr>
          <w:p w14:paraId="01925148" w14:textId="77777777" w:rsidR="00670856" w:rsidRPr="006E18BA" w:rsidRDefault="00670856" w:rsidP="00121E13">
            <w:pPr>
              <w:suppressLineNumbers/>
              <w:jc w:val="both"/>
              <w:rPr>
                <w:b/>
              </w:rPr>
            </w:pPr>
            <w:r>
              <w:rPr>
                <w:b/>
              </w:rPr>
              <w:t>Pays</w:t>
            </w:r>
          </w:p>
        </w:tc>
        <w:tc>
          <w:tcPr>
            <w:tcW w:w="0" w:type="auto"/>
          </w:tcPr>
          <w:p w14:paraId="6544EEC0" w14:textId="77777777" w:rsidR="00670856" w:rsidRPr="006E18BA" w:rsidRDefault="00670856" w:rsidP="00121E13">
            <w:pPr>
              <w:suppressLineNumbers/>
              <w:jc w:val="both"/>
              <w:rPr>
                <w:b/>
              </w:rPr>
            </w:pPr>
            <w:r>
              <w:rPr>
                <w:b/>
              </w:rPr>
              <w:t>N</w:t>
            </w:r>
            <w:r>
              <w:rPr>
                <w:b/>
                <w:vertAlign w:val="superscript"/>
              </w:rPr>
              <w:t>o</w:t>
            </w:r>
            <w:r>
              <w:rPr>
                <w:b/>
              </w:rPr>
              <w:t xml:space="preserve"> d’articles</w:t>
            </w:r>
          </w:p>
        </w:tc>
        <w:tc>
          <w:tcPr>
            <w:tcW w:w="0" w:type="auto"/>
          </w:tcPr>
          <w:p w14:paraId="2088336A" w14:textId="77777777" w:rsidR="00670856" w:rsidRPr="006E18BA" w:rsidRDefault="00670856" w:rsidP="00121E13">
            <w:pPr>
              <w:suppressLineNumbers/>
              <w:jc w:val="both"/>
              <w:rPr>
                <w:b/>
              </w:rPr>
            </w:pPr>
            <w:r>
              <w:rPr>
                <w:b/>
              </w:rPr>
              <w:t>N</w:t>
            </w:r>
            <w:r>
              <w:rPr>
                <w:b/>
                <w:vertAlign w:val="superscript"/>
              </w:rPr>
              <w:t>o</w:t>
            </w:r>
            <w:r>
              <w:rPr>
                <w:b/>
              </w:rPr>
              <w:t xml:space="preserve"> comportant un </w:t>
            </w:r>
          </w:p>
          <w:p w14:paraId="24292B86" w14:textId="77777777" w:rsidR="00670856" w:rsidRPr="006E18BA" w:rsidRDefault="00670856" w:rsidP="00121E13">
            <w:pPr>
              <w:suppressLineNumbers/>
              <w:jc w:val="both"/>
              <w:rPr>
                <w:b/>
              </w:rPr>
            </w:pPr>
            <w:r>
              <w:rPr>
                <w:b/>
              </w:rPr>
              <w:t>auteur principal ouest-africain</w:t>
            </w:r>
          </w:p>
        </w:tc>
        <w:tc>
          <w:tcPr>
            <w:tcW w:w="0" w:type="auto"/>
          </w:tcPr>
          <w:p w14:paraId="5A776821" w14:textId="77777777" w:rsidR="00670856" w:rsidRPr="006E18BA" w:rsidRDefault="00670856" w:rsidP="00121E13">
            <w:pPr>
              <w:suppressLineNumbers/>
              <w:jc w:val="both"/>
              <w:rPr>
                <w:b/>
              </w:rPr>
            </w:pPr>
            <w:r>
              <w:rPr>
                <w:b/>
              </w:rPr>
              <w:t xml:space="preserve">% comportant un </w:t>
            </w:r>
          </w:p>
          <w:p w14:paraId="31E29986" w14:textId="77777777" w:rsidR="00670856" w:rsidRPr="006E18BA" w:rsidRDefault="00670856" w:rsidP="00121E13">
            <w:pPr>
              <w:suppressLineNumbers/>
              <w:jc w:val="both"/>
              <w:rPr>
                <w:b/>
              </w:rPr>
            </w:pPr>
            <w:r>
              <w:rPr>
                <w:b/>
              </w:rPr>
              <w:t>auteur principal ouest-africain</w:t>
            </w:r>
          </w:p>
        </w:tc>
      </w:tr>
      <w:tr w:rsidR="00670856" w:rsidRPr="006E18BA" w14:paraId="6A5CC3AF" w14:textId="77777777" w:rsidTr="00121E13">
        <w:tc>
          <w:tcPr>
            <w:tcW w:w="0" w:type="auto"/>
          </w:tcPr>
          <w:p w14:paraId="73F19204" w14:textId="77777777" w:rsidR="00670856" w:rsidRPr="006E18BA" w:rsidRDefault="00670856" w:rsidP="00121E13">
            <w:pPr>
              <w:suppressLineNumbers/>
              <w:jc w:val="both"/>
            </w:pPr>
            <w:r>
              <w:t>Bénin</w:t>
            </w:r>
          </w:p>
        </w:tc>
        <w:tc>
          <w:tcPr>
            <w:tcW w:w="0" w:type="auto"/>
          </w:tcPr>
          <w:p w14:paraId="157B8E27" w14:textId="77777777" w:rsidR="00670856" w:rsidRPr="006E18BA" w:rsidRDefault="00670856" w:rsidP="00121E13">
            <w:pPr>
              <w:suppressLineNumbers/>
              <w:jc w:val="both"/>
            </w:pPr>
            <w:r>
              <w:t>10</w:t>
            </w:r>
          </w:p>
        </w:tc>
        <w:tc>
          <w:tcPr>
            <w:tcW w:w="0" w:type="auto"/>
          </w:tcPr>
          <w:p w14:paraId="40093AD2" w14:textId="77777777" w:rsidR="00670856" w:rsidRPr="006E18BA" w:rsidRDefault="00670856" w:rsidP="00121E13">
            <w:pPr>
              <w:suppressLineNumbers/>
              <w:jc w:val="both"/>
            </w:pPr>
            <w:r>
              <w:t>8</w:t>
            </w:r>
          </w:p>
        </w:tc>
        <w:tc>
          <w:tcPr>
            <w:tcW w:w="0" w:type="auto"/>
          </w:tcPr>
          <w:p w14:paraId="3D225D29" w14:textId="77777777" w:rsidR="00670856" w:rsidRPr="006E18BA" w:rsidRDefault="00670856" w:rsidP="00121E13">
            <w:pPr>
              <w:suppressLineNumbers/>
              <w:jc w:val="both"/>
            </w:pPr>
            <w:r>
              <w:t>80 %</w:t>
            </w:r>
          </w:p>
        </w:tc>
      </w:tr>
      <w:tr w:rsidR="00670856" w:rsidRPr="006E18BA" w14:paraId="3024D11B" w14:textId="77777777" w:rsidTr="00121E13">
        <w:tc>
          <w:tcPr>
            <w:tcW w:w="0" w:type="auto"/>
          </w:tcPr>
          <w:p w14:paraId="03CC0FF5" w14:textId="77777777" w:rsidR="00670856" w:rsidRPr="006E18BA" w:rsidRDefault="00670856" w:rsidP="00121E13">
            <w:pPr>
              <w:suppressLineNumbers/>
              <w:jc w:val="both"/>
            </w:pPr>
            <w:r>
              <w:t>Burkina Faso</w:t>
            </w:r>
          </w:p>
        </w:tc>
        <w:tc>
          <w:tcPr>
            <w:tcW w:w="0" w:type="auto"/>
          </w:tcPr>
          <w:p w14:paraId="468CD563" w14:textId="77777777" w:rsidR="00670856" w:rsidRPr="006E18BA" w:rsidRDefault="00670856" w:rsidP="00121E13">
            <w:pPr>
              <w:suppressLineNumbers/>
              <w:jc w:val="both"/>
            </w:pPr>
            <w:r>
              <w:t>53</w:t>
            </w:r>
          </w:p>
        </w:tc>
        <w:tc>
          <w:tcPr>
            <w:tcW w:w="0" w:type="auto"/>
          </w:tcPr>
          <w:p w14:paraId="23E31753" w14:textId="77777777" w:rsidR="00670856" w:rsidRPr="006E18BA" w:rsidRDefault="00670856" w:rsidP="00121E13">
            <w:pPr>
              <w:suppressLineNumbers/>
              <w:jc w:val="both"/>
            </w:pPr>
            <w:r>
              <w:t>14</w:t>
            </w:r>
          </w:p>
        </w:tc>
        <w:tc>
          <w:tcPr>
            <w:tcW w:w="0" w:type="auto"/>
          </w:tcPr>
          <w:p w14:paraId="5A029541" w14:textId="77777777" w:rsidR="00670856" w:rsidRPr="006E18BA" w:rsidRDefault="00670856" w:rsidP="00121E13">
            <w:pPr>
              <w:suppressLineNumbers/>
              <w:jc w:val="both"/>
            </w:pPr>
            <w:r>
              <w:t>26 %</w:t>
            </w:r>
          </w:p>
        </w:tc>
      </w:tr>
      <w:tr w:rsidR="00670856" w:rsidRPr="006E18BA" w14:paraId="4513E49D" w14:textId="77777777" w:rsidTr="00121E13">
        <w:tc>
          <w:tcPr>
            <w:tcW w:w="0" w:type="auto"/>
          </w:tcPr>
          <w:p w14:paraId="0F76C144" w14:textId="77777777" w:rsidR="00670856" w:rsidRPr="006E18BA" w:rsidRDefault="00670856" w:rsidP="00121E13">
            <w:pPr>
              <w:suppressLineNumbers/>
              <w:jc w:val="both"/>
            </w:pPr>
            <w:r>
              <w:t>Côte d’Ivoire</w:t>
            </w:r>
          </w:p>
        </w:tc>
        <w:tc>
          <w:tcPr>
            <w:tcW w:w="0" w:type="auto"/>
          </w:tcPr>
          <w:p w14:paraId="59E119FB" w14:textId="77777777" w:rsidR="00670856" w:rsidRPr="006E18BA" w:rsidRDefault="00670856" w:rsidP="00121E13">
            <w:pPr>
              <w:suppressLineNumbers/>
              <w:jc w:val="both"/>
            </w:pPr>
            <w:r>
              <w:t>6</w:t>
            </w:r>
          </w:p>
        </w:tc>
        <w:tc>
          <w:tcPr>
            <w:tcW w:w="0" w:type="auto"/>
          </w:tcPr>
          <w:p w14:paraId="2BAE8894" w14:textId="77777777" w:rsidR="00670856" w:rsidRPr="006E18BA" w:rsidRDefault="00670856" w:rsidP="00121E13">
            <w:pPr>
              <w:suppressLineNumbers/>
              <w:jc w:val="both"/>
            </w:pPr>
            <w:r>
              <w:t>5</w:t>
            </w:r>
          </w:p>
        </w:tc>
        <w:tc>
          <w:tcPr>
            <w:tcW w:w="0" w:type="auto"/>
          </w:tcPr>
          <w:p w14:paraId="61BA59CC" w14:textId="77777777" w:rsidR="00670856" w:rsidRPr="006E18BA" w:rsidRDefault="00670856" w:rsidP="00121E13">
            <w:pPr>
              <w:suppressLineNumbers/>
              <w:jc w:val="both"/>
            </w:pPr>
            <w:r>
              <w:t>83 %</w:t>
            </w:r>
          </w:p>
        </w:tc>
      </w:tr>
      <w:tr w:rsidR="00670856" w:rsidRPr="006E18BA" w14:paraId="48A6716F" w14:textId="77777777" w:rsidTr="00121E13">
        <w:tc>
          <w:tcPr>
            <w:tcW w:w="0" w:type="auto"/>
          </w:tcPr>
          <w:p w14:paraId="27363E64" w14:textId="77777777" w:rsidR="00670856" w:rsidRPr="006E18BA" w:rsidRDefault="00670856" w:rsidP="00121E13">
            <w:pPr>
              <w:suppressLineNumbers/>
              <w:jc w:val="both"/>
            </w:pPr>
            <w:r>
              <w:t>Gambie</w:t>
            </w:r>
          </w:p>
        </w:tc>
        <w:tc>
          <w:tcPr>
            <w:tcW w:w="0" w:type="auto"/>
          </w:tcPr>
          <w:p w14:paraId="6704569F" w14:textId="77777777" w:rsidR="00670856" w:rsidRPr="006E18BA" w:rsidRDefault="00670856" w:rsidP="00121E13">
            <w:pPr>
              <w:suppressLineNumbers/>
              <w:jc w:val="both"/>
            </w:pPr>
            <w:r>
              <w:t>3</w:t>
            </w:r>
          </w:p>
        </w:tc>
        <w:tc>
          <w:tcPr>
            <w:tcW w:w="0" w:type="auto"/>
          </w:tcPr>
          <w:p w14:paraId="2C7BF8DD" w14:textId="77777777" w:rsidR="00670856" w:rsidRPr="006E18BA" w:rsidRDefault="00670856" w:rsidP="00121E13">
            <w:pPr>
              <w:suppressLineNumbers/>
              <w:jc w:val="both"/>
            </w:pPr>
            <w:r>
              <w:t>1</w:t>
            </w:r>
          </w:p>
        </w:tc>
        <w:tc>
          <w:tcPr>
            <w:tcW w:w="0" w:type="auto"/>
          </w:tcPr>
          <w:p w14:paraId="2B070DBA" w14:textId="77777777" w:rsidR="00670856" w:rsidRPr="006E18BA" w:rsidRDefault="00670856" w:rsidP="00121E13">
            <w:pPr>
              <w:suppressLineNumbers/>
              <w:jc w:val="both"/>
            </w:pPr>
            <w:r>
              <w:t>33 %</w:t>
            </w:r>
          </w:p>
        </w:tc>
      </w:tr>
      <w:tr w:rsidR="00670856" w:rsidRPr="006E18BA" w14:paraId="1AA5966E" w14:textId="77777777" w:rsidTr="00121E13">
        <w:tc>
          <w:tcPr>
            <w:tcW w:w="0" w:type="auto"/>
          </w:tcPr>
          <w:p w14:paraId="345A9980" w14:textId="77777777" w:rsidR="00670856" w:rsidRPr="006E18BA" w:rsidRDefault="00670856" w:rsidP="00121E13">
            <w:pPr>
              <w:suppressLineNumbers/>
              <w:jc w:val="both"/>
            </w:pPr>
            <w:r>
              <w:t>Ghana</w:t>
            </w:r>
          </w:p>
        </w:tc>
        <w:tc>
          <w:tcPr>
            <w:tcW w:w="0" w:type="auto"/>
          </w:tcPr>
          <w:p w14:paraId="12BF85BD" w14:textId="77777777" w:rsidR="00670856" w:rsidRPr="006E18BA" w:rsidRDefault="00670856" w:rsidP="00121E13">
            <w:pPr>
              <w:suppressLineNumbers/>
              <w:jc w:val="both"/>
            </w:pPr>
            <w:r>
              <w:t>42</w:t>
            </w:r>
          </w:p>
        </w:tc>
        <w:tc>
          <w:tcPr>
            <w:tcW w:w="0" w:type="auto"/>
          </w:tcPr>
          <w:p w14:paraId="587A6D04" w14:textId="77777777" w:rsidR="00670856" w:rsidRPr="006E18BA" w:rsidRDefault="00670856" w:rsidP="00121E13">
            <w:pPr>
              <w:suppressLineNumbers/>
              <w:jc w:val="both"/>
            </w:pPr>
            <w:r>
              <w:t>31</w:t>
            </w:r>
          </w:p>
        </w:tc>
        <w:tc>
          <w:tcPr>
            <w:tcW w:w="0" w:type="auto"/>
          </w:tcPr>
          <w:p w14:paraId="6BB5059F" w14:textId="77777777" w:rsidR="00670856" w:rsidRPr="006E18BA" w:rsidRDefault="00670856" w:rsidP="00121E13">
            <w:pPr>
              <w:suppressLineNumbers/>
              <w:jc w:val="both"/>
            </w:pPr>
            <w:r>
              <w:t>74 %</w:t>
            </w:r>
          </w:p>
        </w:tc>
      </w:tr>
      <w:tr w:rsidR="00670856" w:rsidRPr="006E18BA" w14:paraId="2DDF3532" w14:textId="77777777" w:rsidTr="00121E13">
        <w:tc>
          <w:tcPr>
            <w:tcW w:w="0" w:type="auto"/>
          </w:tcPr>
          <w:p w14:paraId="5D88C291" w14:textId="77777777" w:rsidR="00670856" w:rsidRPr="006E18BA" w:rsidRDefault="00670856" w:rsidP="00121E13">
            <w:pPr>
              <w:suppressLineNumbers/>
              <w:jc w:val="both"/>
            </w:pPr>
            <w:r>
              <w:t>Guinée</w:t>
            </w:r>
          </w:p>
        </w:tc>
        <w:tc>
          <w:tcPr>
            <w:tcW w:w="0" w:type="auto"/>
          </w:tcPr>
          <w:p w14:paraId="629D0EE3" w14:textId="77777777" w:rsidR="00670856" w:rsidRPr="006E18BA" w:rsidRDefault="00670856" w:rsidP="00121E13">
            <w:pPr>
              <w:suppressLineNumbers/>
              <w:jc w:val="both"/>
            </w:pPr>
            <w:r>
              <w:t>3</w:t>
            </w:r>
          </w:p>
        </w:tc>
        <w:tc>
          <w:tcPr>
            <w:tcW w:w="0" w:type="auto"/>
          </w:tcPr>
          <w:p w14:paraId="3E510EFB" w14:textId="77777777" w:rsidR="00670856" w:rsidRPr="006E18BA" w:rsidRDefault="00670856" w:rsidP="00121E13">
            <w:pPr>
              <w:suppressLineNumbers/>
              <w:jc w:val="both"/>
            </w:pPr>
            <w:r>
              <w:t>0</w:t>
            </w:r>
          </w:p>
        </w:tc>
        <w:tc>
          <w:tcPr>
            <w:tcW w:w="0" w:type="auto"/>
          </w:tcPr>
          <w:p w14:paraId="46B877F8" w14:textId="77777777" w:rsidR="00670856" w:rsidRPr="006E18BA" w:rsidRDefault="00670856" w:rsidP="00121E13">
            <w:pPr>
              <w:suppressLineNumbers/>
              <w:jc w:val="both"/>
            </w:pPr>
            <w:r>
              <w:t>0 %</w:t>
            </w:r>
          </w:p>
        </w:tc>
      </w:tr>
      <w:tr w:rsidR="00670856" w:rsidRPr="006E18BA" w14:paraId="78C4C26D" w14:textId="77777777" w:rsidTr="00121E13">
        <w:tc>
          <w:tcPr>
            <w:tcW w:w="0" w:type="auto"/>
          </w:tcPr>
          <w:p w14:paraId="6708794E" w14:textId="77777777" w:rsidR="00670856" w:rsidRPr="006E18BA" w:rsidRDefault="00670856" w:rsidP="00121E13">
            <w:pPr>
              <w:suppressLineNumbers/>
              <w:jc w:val="both"/>
            </w:pPr>
            <w:r>
              <w:t xml:space="preserve">Guinée-Bissau </w:t>
            </w:r>
          </w:p>
        </w:tc>
        <w:tc>
          <w:tcPr>
            <w:tcW w:w="0" w:type="auto"/>
          </w:tcPr>
          <w:p w14:paraId="4B22A3BD" w14:textId="77777777" w:rsidR="00670856" w:rsidRPr="006E18BA" w:rsidRDefault="00670856" w:rsidP="00121E13">
            <w:pPr>
              <w:suppressLineNumbers/>
              <w:jc w:val="both"/>
            </w:pPr>
            <w:r>
              <w:t>1</w:t>
            </w:r>
          </w:p>
        </w:tc>
        <w:tc>
          <w:tcPr>
            <w:tcW w:w="0" w:type="auto"/>
          </w:tcPr>
          <w:p w14:paraId="0AF073E9" w14:textId="77777777" w:rsidR="00670856" w:rsidRPr="006E18BA" w:rsidRDefault="00670856" w:rsidP="00121E13">
            <w:pPr>
              <w:suppressLineNumbers/>
              <w:jc w:val="both"/>
            </w:pPr>
            <w:r>
              <w:t>0</w:t>
            </w:r>
          </w:p>
        </w:tc>
        <w:tc>
          <w:tcPr>
            <w:tcW w:w="0" w:type="auto"/>
          </w:tcPr>
          <w:p w14:paraId="459B7AD9" w14:textId="77777777" w:rsidR="00670856" w:rsidRPr="006E18BA" w:rsidRDefault="00670856" w:rsidP="00121E13">
            <w:pPr>
              <w:suppressLineNumbers/>
              <w:jc w:val="both"/>
            </w:pPr>
            <w:r>
              <w:t>0 %</w:t>
            </w:r>
          </w:p>
        </w:tc>
      </w:tr>
      <w:tr w:rsidR="00670856" w:rsidRPr="006E18BA" w14:paraId="68121544" w14:textId="77777777" w:rsidTr="00121E13">
        <w:tc>
          <w:tcPr>
            <w:tcW w:w="0" w:type="auto"/>
          </w:tcPr>
          <w:p w14:paraId="2F63C982" w14:textId="77777777" w:rsidR="00670856" w:rsidRPr="006E18BA" w:rsidRDefault="00670856" w:rsidP="00121E13">
            <w:pPr>
              <w:suppressLineNumbers/>
              <w:jc w:val="both"/>
            </w:pPr>
            <w:r>
              <w:t>Libéria</w:t>
            </w:r>
          </w:p>
        </w:tc>
        <w:tc>
          <w:tcPr>
            <w:tcW w:w="0" w:type="auto"/>
          </w:tcPr>
          <w:p w14:paraId="22364816" w14:textId="77777777" w:rsidR="00670856" w:rsidRPr="006E18BA" w:rsidRDefault="00670856" w:rsidP="00121E13">
            <w:pPr>
              <w:suppressLineNumbers/>
              <w:jc w:val="both"/>
            </w:pPr>
            <w:r>
              <w:t>2</w:t>
            </w:r>
          </w:p>
        </w:tc>
        <w:tc>
          <w:tcPr>
            <w:tcW w:w="0" w:type="auto"/>
          </w:tcPr>
          <w:p w14:paraId="17782EE3" w14:textId="77777777" w:rsidR="00670856" w:rsidRPr="006E18BA" w:rsidRDefault="00670856" w:rsidP="00121E13">
            <w:pPr>
              <w:suppressLineNumbers/>
              <w:jc w:val="both"/>
            </w:pPr>
            <w:r>
              <w:t>0</w:t>
            </w:r>
          </w:p>
        </w:tc>
        <w:tc>
          <w:tcPr>
            <w:tcW w:w="0" w:type="auto"/>
          </w:tcPr>
          <w:p w14:paraId="78AB8B76" w14:textId="77777777" w:rsidR="00670856" w:rsidRPr="006E18BA" w:rsidRDefault="00670856" w:rsidP="00121E13">
            <w:pPr>
              <w:suppressLineNumbers/>
              <w:jc w:val="both"/>
            </w:pPr>
            <w:r>
              <w:t>0 %</w:t>
            </w:r>
          </w:p>
        </w:tc>
      </w:tr>
      <w:tr w:rsidR="00670856" w:rsidRPr="006E18BA" w14:paraId="560951A3" w14:textId="77777777" w:rsidTr="00121E13">
        <w:tc>
          <w:tcPr>
            <w:tcW w:w="0" w:type="auto"/>
          </w:tcPr>
          <w:p w14:paraId="18C6C505" w14:textId="77777777" w:rsidR="00670856" w:rsidRPr="006E18BA" w:rsidRDefault="00670856" w:rsidP="00121E13">
            <w:pPr>
              <w:suppressLineNumbers/>
              <w:jc w:val="both"/>
            </w:pPr>
            <w:r>
              <w:t>Mali</w:t>
            </w:r>
          </w:p>
        </w:tc>
        <w:tc>
          <w:tcPr>
            <w:tcW w:w="0" w:type="auto"/>
          </w:tcPr>
          <w:p w14:paraId="1C811933" w14:textId="77777777" w:rsidR="00670856" w:rsidRPr="006E18BA" w:rsidRDefault="00670856" w:rsidP="00121E13">
            <w:pPr>
              <w:suppressLineNumbers/>
              <w:jc w:val="both"/>
            </w:pPr>
            <w:r>
              <w:t>12</w:t>
            </w:r>
          </w:p>
        </w:tc>
        <w:tc>
          <w:tcPr>
            <w:tcW w:w="0" w:type="auto"/>
          </w:tcPr>
          <w:p w14:paraId="1FB07ED7" w14:textId="77777777" w:rsidR="00670856" w:rsidRPr="006E18BA" w:rsidRDefault="00670856" w:rsidP="00121E13">
            <w:pPr>
              <w:suppressLineNumbers/>
              <w:jc w:val="both"/>
            </w:pPr>
            <w:r>
              <w:t>1</w:t>
            </w:r>
          </w:p>
        </w:tc>
        <w:tc>
          <w:tcPr>
            <w:tcW w:w="0" w:type="auto"/>
          </w:tcPr>
          <w:p w14:paraId="50FEB241" w14:textId="77777777" w:rsidR="00670856" w:rsidRPr="006E18BA" w:rsidRDefault="00670856" w:rsidP="00121E13">
            <w:pPr>
              <w:suppressLineNumbers/>
              <w:jc w:val="both"/>
            </w:pPr>
            <w:r>
              <w:t>8 %</w:t>
            </w:r>
          </w:p>
        </w:tc>
      </w:tr>
      <w:tr w:rsidR="00670856" w:rsidRPr="006E18BA" w14:paraId="571F312F" w14:textId="77777777" w:rsidTr="00121E13">
        <w:tc>
          <w:tcPr>
            <w:tcW w:w="0" w:type="auto"/>
          </w:tcPr>
          <w:p w14:paraId="3E8DB4E1" w14:textId="77777777" w:rsidR="00670856" w:rsidRPr="006E18BA" w:rsidRDefault="00670856" w:rsidP="00121E13">
            <w:pPr>
              <w:suppressLineNumbers/>
              <w:jc w:val="both"/>
            </w:pPr>
            <w:r>
              <w:t>Niger</w:t>
            </w:r>
          </w:p>
        </w:tc>
        <w:tc>
          <w:tcPr>
            <w:tcW w:w="0" w:type="auto"/>
          </w:tcPr>
          <w:p w14:paraId="5D60ED55" w14:textId="77777777" w:rsidR="00670856" w:rsidRPr="006E18BA" w:rsidRDefault="00670856" w:rsidP="00121E13">
            <w:pPr>
              <w:suppressLineNumbers/>
              <w:jc w:val="both"/>
            </w:pPr>
            <w:r>
              <w:t>5</w:t>
            </w:r>
          </w:p>
        </w:tc>
        <w:tc>
          <w:tcPr>
            <w:tcW w:w="0" w:type="auto"/>
          </w:tcPr>
          <w:p w14:paraId="6A7DCEA9" w14:textId="77777777" w:rsidR="00670856" w:rsidRPr="006E18BA" w:rsidRDefault="00670856" w:rsidP="00121E13">
            <w:pPr>
              <w:suppressLineNumbers/>
              <w:jc w:val="both"/>
            </w:pPr>
            <w:r>
              <w:t>3</w:t>
            </w:r>
          </w:p>
        </w:tc>
        <w:tc>
          <w:tcPr>
            <w:tcW w:w="0" w:type="auto"/>
          </w:tcPr>
          <w:p w14:paraId="776E221A" w14:textId="77777777" w:rsidR="00670856" w:rsidRPr="006E18BA" w:rsidRDefault="00670856" w:rsidP="00121E13">
            <w:pPr>
              <w:suppressLineNumbers/>
              <w:jc w:val="both"/>
            </w:pPr>
            <w:r>
              <w:t>60 %</w:t>
            </w:r>
          </w:p>
        </w:tc>
      </w:tr>
      <w:tr w:rsidR="00670856" w:rsidRPr="006E18BA" w14:paraId="5905077A" w14:textId="77777777" w:rsidTr="00121E13">
        <w:tc>
          <w:tcPr>
            <w:tcW w:w="0" w:type="auto"/>
          </w:tcPr>
          <w:p w14:paraId="62AECE16" w14:textId="77777777" w:rsidR="00670856" w:rsidRPr="006E18BA" w:rsidRDefault="00670856" w:rsidP="00121E13">
            <w:pPr>
              <w:suppressLineNumbers/>
              <w:jc w:val="both"/>
            </w:pPr>
            <w:r>
              <w:t>Nigéria</w:t>
            </w:r>
          </w:p>
        </w:tc>
        <w:tc>
          <w:tcPr>
            <w:tcW w:w="0" w:type="auto"/>
          </w:tcPr>
          <w:p w14:paraId="6724FF0D" w14:textId="77777777" w:rsidR="00670856" w:rsidRPr="006E18BA" w:rsidRDefault="00670856" w:rsidP="00121E13">
            <w:pPr>
              <w:suppressLineNumbers/>
              <w:jc w:val="both"/>
            </w:pPr>
            <w:r>
              <w:t>71</w:t>
            </w:r>
          </w:p>
        </w:tc>
        <w:tc>
          <w:tcPr>
            <w:tcW w:w="0" w:type="auto"/>
          </w:tcPr>
          <w:p w14:paraId="1159867E" w14:textId="77777777" w:rsidR="00670856" w:rsidRPr="006E18BA" w:rsidRDefault="00670856" w:rsidP="00121E13">
            <w:pPr>
              <w:suppressLineNumbers/>
              <w:jc w:val="both"/>
            </w:pPr>
            <w:r>
              <w:t>59</w:t>
            </w:r>
          </w:p>
        </w:tc>
        <w:tc>
          <w:tcPr>
            <w:tcW w:w="0" w:type="auto"/>
          </w:tcPr>
          <w:p w14:paraId="32895169" w14:textId="77777777" w:rsidR="00670856" w:rsidRPr="006E18BA" w:rsidRDefault="00670856" w:rsidP="00121E13">
            <w:pPr>
              <w:suppressLineNumbers/>
              <w:jc w:val="both"/>
            </w:pPr>
            <w:r>
              <w:t>83 %</w:t>
            </w:r>
          </w:p>
        </w:tc>
      </w:tr>
      <w:tr w:rsidR="00670856" w:rsidRPr="006E18BA" w14:paraId="707076AF" w14:textId="77777777" w:rsidTr="00121E13">
        <w:tc>
          <w:tcPr>
            <w:tcW w:w="0" w:type="auto"/>
          </w:tcPr>
          <w:p w14:paraId="30FCC776" w14:textId="77777777" w:rsidR="00670856" w:rsidRPr="006E18BA" w:rsidRDefault="00670856" w:rsidP="00121E13">
            <w:pPr>
              <w:suppressLineNumbers/>
              <w:jc w:val="both"/>
            </w:pPr>
            <w:r>
              <w:t>Sénégal</w:t>
            </w:r>
          </w:p>
        </w:tc>
        <w:tc>
          <w:tcPr>
            <w:tcW w:w="0" w:type="auto"/>
          </w:tcPr>
          <w:p w14:paraId="6C7CC22C" w14:textId="77777777" w:rsidR="00670856" w:rsidRPr="006E18BA" w:rsidRDefault="00670856" w:rsidP="00121E13">
            <w:pPr>
              <w:suppressLineNumbers/>
              <w:jc w:val="both"/>
            </w:pPr>
            <w:r>
              <w:t>9</w:t>
            </w:r>
          </w:p>
        </w:tc>
        <w:tc>
          <w:tcPr>
            <w:tcW w:w="0" w:type="auto"/>
          </w:tcPr>
          <w:p w14:paraId="0931F6B1" w14:textId="77777777" w:rsidR="00670856" w:rsidRPr="006E18BA" w:rsidRDefault="00670856" w:rsidP="00121E13">
            <w:pPr>
              <w:suppressLineNumbers/>
              <w:jc w:val="both"/>
            </w:pPr>
            <w:r>
              <w:t>5</w:t>
            </w:r>
          </w:p>
        </w:tc>
        <w:tc>
          <w:tcPr>
            <w:tcW w:w="0" w:type="auto"/>
          </w:tcPr>
          <w:p w14:paraId="5CD19C92" w14:textId="77777777" w:rsidR="00670856" w:rsidRPr="006E18BA" w:rsidRDefault="00670856" w:rsidP="00121E13">
            <w:pPr>
              <w:suppressLineNumbers/>
              <w:jc w:val="both"/>
            </w:pPr>
            <w:r>
              <w:t>56 %</w:t>
            </w:r>
          </w:p>
        </w:tc>
      </w:tr>
      <w:tr w:rsidR="00670856" w:rsidRPr="006E18BA" w14:paraId="3E7BE4C5" w14:textId="77777777" w:rsidTr="00121E13">
        <w:tc>
          <w:tcPr>
            <w:tcW w:w="0" w:type="auto"/>
          </w:tcPr>
          <w:p w14:paraId="25861C20" w14:textId="77777777" w:rsidR="00670856" w:rsidRPr="006E18BA" w:rsidRDefault="00670856" w:rsidP="00121E13">
            <w:pPr>
              <w:suppressLineNumbers/>
              <w:jc w:val="both"/>
            </w:pPr>
            <w:r>
              <w:t>Sierra Leone</w:t>
            </w:r>
          </w:p>
        </w:tc>
        <w:tc>
          <w:tcPr>
            <w:tcW w:w="0" w:type="auto"/>
          </w:tcPr>
          <w:p w14:paraId="24F1B78A" w14:textId="77777777" w:rsidR="00670856" w:rsidRPr="006E18BA" w:rsidRDefault="00670856" w:rsidP="00121E13">
            <w:pPr>
              <w:suppressLineNumbers/>
              <w:jc w:val="both"/>
            </w:pPr>
            <w:r>
              <w:t>11</w:t>
            </w:r>
          </w:p>
        </w:tc>
        <w:tc>
          <w:tcPr>
            <w:tcW w:w="0" w:type="auto"/>
          </w:tcPr>
          <w:p w14:paraId="681B00A6" w14:textId="77777777" w:rsidR="00670856" w:rsidRPr="006E18BA" w:rsidRDefault="00670856" w:rsidP="00121E13">
            <w:pPr>
              <w:suppressLineNumbers/>
              <w:jc w:val="both"/>
            </w:pPr>
            <w:r>
              <w:t>0</w:t>
            </w:r>
          </w:p>
        </w:tc>
        <w:tc>
          <w:tcPr>
            <w:tcW w:w="0" w:type="auto"/>
          </w:tcPr>
          <w:p w14:paraId="6EF4C023" w14:textId="77777777" w:rsidR="00670856" w:rsidRPr="006E18BA" w:rsidRDefault="00670856" w:rsidP="00121E13">
            <w:pPr>
              <w:suppressLineNumbers/>
              <w:jc w:val="both"/>
            </w:pPr>
            <w:r>
              <w:t>0 %</w:t>
            </w:r>
          </w:p>
        </w:tc>
      </w:tr>
      <w:tr w:rsidR="00670856" w:rsidRPr="006E18BA" w14:paraId="0DEE00F5" w14:textId="77777777" w:rsidTr="00121E13">
        <w:tc>
          <w:tcPr>
            <w:tcW w:w="0" w:type="auto"/>
          </w:tcPr>
          <w:p w14:paraId="32041C54" w14:textId="77777777" w:rsidR="00670856" w:rsidRPr="006E18BA" w:rsidRDefault="00670856" w:rsidP="00121E13">
            <w:pPr>
              <w:suppressLineNumbers/>
              <w:jc w:val="both"/>
            </w:pPr>
            <w:r>
              <w:t>Togo</w:t>
            </w:r>
          </w:p>
        </w:tc>
        <w:tc>
          <w:tcPr>
            <w:tcW w:w="0" w:type="auto"/>
          </w:tcPr>
          <w:p w14:paraId="62BF9649" w14:textId="77777777" w:rsidR="00670856" w:rsidRPr="006E18BA" w:rsidRDefault="00670856" w:rsidP="00121E13">
            <w:pPr>
              <w:suppressLineNumbers/>
              <w:jc w:val="both"/>
            </w:pPr>
            <w:r>
              <w:t>1</w:t>
            </w:r>
          </w:p>
        </w:tc>
        <w:tc>
          <w:tcPr>
            <w:tcW w:w="0" w:type="auto"/>
          </w:tcPr>
          <w:p w14:paraId="6AF54B34" w14:textId="77777777" w:rsidR="00670856" w:rsidRPr="006E18BA" w:rsidRDefault="00670856" w:rsidP="00121E13">
            <w:pPr>
              <w:suppressLineNumbers/>
              <w:jc w:val="both"/>
            </w:pPr>
            <w:r>
              <w:t>0</w:t>
            </w:r>
          </w:p>
        </w:tc>
        <w:tc>
          <w:tcPr>
            <w:tcW w:w="0" w:type="auto"/>
          </w:tcPr>
          <w:p w14:paraId="5F52FE2E" w14:textId="77777777" w:rsidR="00670856" w:rsidRPr="006E18BA" w:rsidRDefault="00670856" w:rsidP="00121E13">
            <w:pPr>
              <w:suppressLineNumbers/>
              <w:jc w:val="both"/>
            </w:pPr>
            <w:r>
              <w:t>0 %</w:t>
            </w:r>
          </w:p>
        </w:tc>
      </w:tr>
      <w:tr w:rsidR="00670856" w:rsidRPr="006E18BA" w14:paraId="4E0075CB" w14:textId="77777777" w:rsidTr="00121E13">
        <w:tc>
          <w:tcPr>
            <w:tcW w:w="0" w:type="auto"/>
          </w:tcPr>
          <w:p w14:paraId="7EA76D19" w14:textId="77777777" w:rsidR="00670856" w:rsidRPr="006E18BA" w:rsidRDefault="00670856" w:rsidP="00121E13">
            <w:pPr>
              <w:suppressLineNumbers/>
              <w:jc w:val="both"/>
            </w:pPr>
            <w:r>
              <w:t>Plusieurs pays d’Afrique de l’Ouest</w:t>
            </w:r>
          </w:p>
        </w:tc>
        <w:tc>
          <w:tcPr>
            <w:tcW w:w="0" w:type="auto"/>
          </w:tcPr>
          <w:p w14:paraId="78115DD3" w14:textId="77777777" w:rsidR="00670856" w:rsidRPr="006E18BA" w:rsidRDefault="00670856" w:rsidP="00121E13">
            <w:pPr>
              <w:suppressLineNumbers/>
              <w:jc w:val="both"/>
            </w:pPr>
            <w:r>
              <w:t>14</w:t>
            </w:r>
          </w:p>
        </w:tc>
        <w:tc>
          <w:tcPr>
            <w:tcW w:w="0" w:type="auto"/>
          </w:tcPr>
          <w:p w14:paraId="4D4970B2" w14:textId="77777777" w:rsidR="00670856" w:rsidRPr="006E18BA" w:rsidRDefault="00670856" w:rsidP="00121E13">
            <w:pPr>
              <w:suppressLineNumbers/>
              <w:jc w:val="both"/>
            </w:pPr>
            <w:r>
              <w:t>5</w:t>
            </w:r>
          </w:p>
        </w:tc>
        <w:tc>
          <w:tcPr>
            <w:tcW w:w="0" w:type="auto"/>
          </w:tcPr>
          <w:p w14:paraId="15753F0C" w14:textId="77777777" w:rsidR="00670856" w:rsidRPr="006E18BA" w:rsidRDefault="00670856" w:rsidP="00121E13">
            <w:pPr>
              <w:suppressLineNumbers/>
              <w:jc w:val="both"/>
            </w:pPr>
            <w:r>
              <w:t>36 %</w:t>
            </w:r>
          </w:p>
        </w:tc>
      </w:tr>
      <w:tr w:rsidR="00670856" w:rsidRPr="006E18BA" w14:paraId="704334BF" w14:textId="77777777" w:rsidTr="00121E13">
        <w:tc>
          <w:tcPr>
            <w:tcW w:w="0" w:type="auto"/>
          </w:tcPr>
          <w:p w14:paraId="02B3BCB3" w14:textId="77777777" w:rsidR="00670856" w:rsidRPr="006E18BA" w:rsidRDefault="00670856" w:rsidP="00121E13">
            <w:pPr>
              <w:suppressLineNumbers/>
              <w:jc w:val="both"/>
            </w:pPr>
            <w:r>
              <w:t>Plusieurs pays d’Afrique</w:t>
            </w:r>
          </w:p>
        </w:tc>
        <w:tc>
          <w:tcPr>
            <w:tcW w:w="0" w:type="auto"/>
          </w:tcPr>
          <w:p w14:paraId="445ACB3C" w14:textId="77777777" w:rsidR="00670856" w:rsidRPr="006E18BA" w:rsidRDefault="00670856" w:rsidP="00121E13">
            <w:pPr>
              <w:suppressLineNumbers/>
              <w:jc w:val="both"/>
            </w:pPr>
            <w:r>
              <w:t>2</w:t>
            </w:r>
          </w:p>
        </w:tc>
        <w:tc>
          <w:tcPr>
            <w:tcW w:w="0" w:type="auto"/>
          </w:tcPr>
          <w:p w14:paraId="6A339D14" w14:textId="77777777" w:rsidR="00670856" w:rsidRPr="006E18BA" w:rsidRDefault="00670856" w:rsidP="00121E13">
            <w:pPr>
              <w:suppressLineNumbers/>
              <w:jc w:val="both"/>
            </w:pPr>
            <w:r>
              <w:t>0</w:t>
            </w:r>
          </w:p>
        </w:tc>
        <w:tc>
          <w:tcPr>
            <w:tcW w:w="0" w:type="auto"/>
          </w:tcPr>
          <w:p w14:paraId="591E08C4" w14:textId="77777777" w:rsidR="00670856" w:rsidRPr="006E18BA" w:rsidRDefault="00670856" w:rsidP="00121E13">
            <w:pPr>
              <w:suppressLineNumbers/>
              <w:jc w:val="both"/>
            </w:pPr>
            <w:r>
              <w:t>0 %</w:t>
            </w:r>
          </w:p>
        </w:tc>
      </w:tr>
      <w:tr w:rsidR="00670856" w:rsidRPr="006E18BA" w14:paraId="3C9AACC9" w14:textId="77777777" w:rsidTr="00121E13">
        <w:tc>
          <w:tcPr>
            <w:tcW w:w="0" w:type="auto"/>
          </w:tcPr>
          <w:p w14:paraId="5D4B72A7" w14:textId="77777777" w:rsidR="00670856" w:rsidRPr="006E18BA" w:rsidRDefault="00670856" w:rsidP="00121E13">
            <w:pPr>
              <w:suppressLineNumbers/>
              <w:jc w:val="both"/>
            </w:pPr>
            <w:r>
              <w:t>Plusieurs pays à l’international</w:t>
            </w:r>
          </w:p>
        </w:tc>
        <w:tc>
          <w:tcPr>
            <w:tcW w:w="0" w:type="auto"/>
          </w:tcPr>
          <w:p w14:paraId="327A66D5" w14:textId="77777777" w:rsidR="00670856" w:rsidRPr="006E18BA" w:rsidRDefault="00670856" w:rsidP="00121E13">
            <w:pPr>
              <w:suppressLineNumbers/>
              <w:jc w:val="both"/>
            </w:pPr>
            <w:r>
              <w:t>1</w:t>
            </w:r>
          </w:p>
        </w:tc>
        <w:tc>
          <w:tcPr>
            <w:tcW w:w="0" w:type="auto"/>
          </w:tcPr>
          <w:p w14:paraId="1CC7BE04" w14:textId="77777777" w:rsidR="00670856" w:rsidRPr="006E18BA" w:rsidRDefault="00670856" w:rsidP="00121E13">
            <w:pPr>
              <w:suppressLineNumbers/>
              <w:jc w:val="both"/>
            </w:pPr>
            <w:r>
              <w:t>0</w:t>
            </w:r>
          </w:p>
        </w:tc>
        <w:tc>
          <w:tcPr>
            <w:tcW w:w="0" w:type="auto"/>
          </w:tcPr>
          <w:p w14:paraId="35D1619E" w14:textId="77777777" w:rsidR="00670856" w:rsidRPr="006E18BA" w:rsidRDefault="00670856" w:rsidP="00121E13">
            <w:pPr>
              <w:suppressLineNumbers/>
              <w:jc w:val="both"/>
            </w:pPr>
            <w:r>
              <w:t>0 %</w:t>
            </w:r>
          </w:p>
        </w:tc>
      </w:tr>
      <w:tr w:rsidR="00670856" w:rsidRPr="006E18BA" w14:paraId="7A317FA1" w14:textId="77777777" w:rsidTr="00121E13">
        <w:tc>
          <w:tcPr>
            <w:tcW w:w="0" w:type="auto"/>
          </w:tcPr>
          <w:p w14:paraId="14E37250" w14:textId="77777777" w:rsidR="00670856" w:rsidRPr="006E18BA" w:rsidRDefault="00670856" w:rsidP="00121E13">
            <w:pPr>
              <w:suppressLineNumbers/>
              <w:jc w:val="both"/>
            </w:pPr>
            <w:r>
              <w:t>Total</w:t>
            </w:r>
          </w:p>
        </w:tc>
        <w:tc>
          <w:tcPr>
            <w:tcW w:w="0" w:type="auto"/>
          </w:tcPr>
          <w:p w14:paraId="74A531FD" w14:textId="77777777" w:rsidR="00670856" w:rsidRPr="006E18BA" w:rsidRDefault="00670856" w:rsidP="00121E13">
            <w:pPr>
              <w:suppressLineNumbers/>
              <w:jc w:val="both"/>
            </w:pPr>
            <w:r>
              <w:t>246</w:t>
            </w:r>
          </w:p>
        </w:tc>
        <w:tc>
          <w:tcPr>
            <w:tcW w:w="0" w:type="auto"/>
          </w:tcPr>
          <w:p w14:paraId="007BA954" w14:textId="77777777" w:rsidR="00670856" w:rsidRPr="006E18BA" w:rsidRDefault="00670856" w:rsidP="00121E13">
            <w:pPr>
              <w:suppressLineNumbers/>
              <w:jc w:val="both"/>
            </w:pPr>
            <w:r>
              <w:t>132</w:t>
            </w:r>
          </w:p>
        </w:tc>
        <w:tc>
          <w:tcPr>
            <w:tcW w:w="0" w:type="auto"/>
          </w:tcPr>
          <w:p w14:paraId="231BBD14" w14:textId="77777777" w:rsidR="00670856" w:rsidRPr="006E18BA" w:rsidRDefault="00670856" w:rsidP="00121E13">
            <w:pPr>
              <w:suppressLineNumbers/>
              <w:jc w:val="both"/>
            </w:pPr>
            <w:r>
              <w:t>54 %</w:t>
            </w:r>
          </w:p>
        </w:tc>
      </w:tr>
    </w:tbl>
    <w:p w14:paraId="7C067059" w14:textId="77777777" w:rsidR="00670856" w:rsidRDefault="00670856" w:rsidP="00C923CD">
      <w:pPr>
        <w:suppressLineNumbers/>
        <w:spacing w:after="0" w:line="240" w:lineRule="auto"/>
        <w:jc w:val="both"/>
        <w:rPr>
          <w:b/>
        </w:rPr>
      </w:pPr>
    </w:p>
    <w:p w14:paraId="1E110E41" w14:textId="77777777" w:rsidR="00670856" w:rsidRDefault="00670856" w:rsidP="00C923CD">
      <w:pPr>
        <w:suppressLineNumbers/>
        <w:spacing w:after="0" w:line="240" w:lineRule="auto"/>
        <w:jc w:val="both"/>
        <w:rPr>
          <w:b/>
        </w:rPr>
      </w:pPr>
    </w:p>
    <w:p w14:paraId="747A16F3" w14:textId="67B82863" w:rsidR="00AC7742" w:rsidRPr="00C923CD" w:rsidRDefault="00565AA9" w:rsidP="00C923CD">
      <w:pPr>
        <w:suppressLineNumbers/>
        <w:spacing w:after="0" w:line="240" w:lineRule="auto"/>
        <w:jc w:val="both"/>
        <w:rPr>
          <w:b/>
        </w:rPr>
      </w:pPr>
      <w:r w:rsidRPr="00C923CD">
        <w:rPr>
          <w:b/>
        </w:rPr>
        <w:t>Établissement ou rattachement de l</w:t>
      </w:r>
      <w:r w:rsidR="003275A7" w:rsidRPr="00C923CD">
        <w:rPr>
          <w:b/>
        </w:rPr>
        <w:t>’</w:t>
      </w:r>
      <w:r w:rsidRPr="00C923CD">
        <w:rPr>
          <w:b/>
        </w:rPr>
        <w:t>auteur principal</w:t>
      </w:r>
    </w:p>
    <w:p w14:paraId="0ACF62F0" w14:textId="6CD79CE3" w:rsidR="00AE24AF" w:rsidRPr="00C923CD" w:rsidRDefault="007C1245" w:rsidP="00C923CD">
      <w:pPr>
        <w:suppressLineNumbers/>
        <w:spacing w:after="0" w:line="240" w:lineRule="auto"/>
        <w:jc w:val="both"/>
      </w:pPr>
      <w:r w:rsidRPr="00C923CD">
        <w:t>Le tableau </w:t>
      </w:r>
      <w:r w:rsidR="00670856">
        <w:t>3</w:t>
      </w:r>
      <w:r w:rsidRPr="00C923CD">
        <w:t xml:space="preserve"> résume l</w:t>
      </w:r>
      <w:r w:rsidR="003275A7" w:rsidRPr="00C923CD">
        <w:t>’</w:t>
      </w:r>
      <w:r w:rsidRPr="00C923CD">
        <w:t>établissement ou le rattachement de l</w:t>
      </w:r>
      <w:r w:rsidR="003275A7" w:rsidRPr="00C923CD">
        <w:t>’</w:t>
      </w:r>
      <w:r w:rsidRPr="00C923CD">
        <w:t>auteur principal de même que le pays dans lequel l</w:t>
      </w:r>
      <w:r w:rsidR="003275A7" w:rsidRPr="00C923CD">
        <w:t>’</w:t>
      </w:r>
      <w:r w:rsidRPr="00C923CD">
        <w:t>établissement est situé. Les cinq établissements ou rattachements les plus courants des auteurs principaux étaient l</w:t>
      </w:r>
      <w:r w:rsidR="003275A7" w:rsidRPr="00C923CD">
        <w:t>’</w:t>
      </w:r>
      <w:r w:rsidRPr="00C923CD">
        <w:t>Université de Montréal (8,5 %), l</w:t>
      </w:r>
      <w:r w:rsidR="003275A7" w:rsidRPr="00C923CD">
        <w:t>’</w:t>
      </w:r>
      <w:r w:rsidRPr="00C923CD">
        <w:t>Université de Heidelberg (7,3 %), l</w:t>
      </w:r>
      <w:r w:rsidR="003275A7" w:rsidRPr="00C923CD">
        <w:t>’</w:t>
      </w:r>
      <w:r w:rsidRPr="00C923CD">
        <w:t>Université du Ghana et l</w:t>
      </w:r>
      <w:r w:rsidR="003275A7" w:rsidRPr="00C923CD">
        <w:t>’</w:t>
      </w:r>
      <w:r w:rsidRPr="00C923CD">
        <w:t>Université du Nigéria (4,1 % chacune), l</w:t>
      </w:r>
      <w:r w:rsidR="003275A7" w:rsidRPr="00C923CD">
        <w:t>’</w:t>
      </w:r>
      <w:r w:rsidRPr="00C923CD">
        <w:t>Université John Hopkins (2,8 %) et l</w:t>
      </w:r>
      <w:r w:rsidR="003275A7" w:rsidRPr="00C923CD">
        <w:t>’</w:t>
      </w:r>
      <w:r w:rsidRPr="00C923CD">
        <w:t>Université Columbia (2 %)</w:t>
      </w:r>
      <w:r w:rsidR="007A6BD8" w:rsidRPr="00C923CD">
        <w:t xml:space="preserve">. </w:t>
      </w:r>
    </w:p>
    <w:p w14:paraId="74B9BC7B" w14:textId="77777777" w:rsidR="000E6B8B" w:rsidRDefault="000E6B8B" w:rsidP="00C923CD">
      <w:pPr>
        <w:suppressLineNumbers/>
        <w:spacing w:after="0" w:line="240" w:lineRule="auto"/>
        <w:jc w:val="both"/>
      </w:pPr>
    </w:p>
    <w:p w14:paraId="51135200" w14:textId="5B5C21D1" w:rsidR="000A43FE" w:rsidRPr="00C923CD" w:rsidRDefault="005A4435" w:rsidP="00C923CD">
      <w:pPr>
        <w:suppressLineNumbers/>
        <w:spacing w:after="0" w:line="240" w:lineRule="auto"/>
        <w:jc w:val="both"/>
      </w:pPr>
      <w:r w:rsidRPr="00C923CD">
        <w:t>La plupart des auteurs principaux (162/246) étaient rattachés à une université</w:t>
      </w:r>
      <w:r w:rsidR="007A6BD8" w:rsidRPr="00C923CD">
        <w:t xml:space="preserve">. </w:t>
      </w:r>
      <w:r w:rsidRPr="00C923CD">
        <w:t>Parmi les universités, 62 % d</w:t>
      </w:r>
      <w:r w:rsidR="003275A7" w:rsidRPr="00C923CD">
        <w:t>’</w:t>
      </w:r>
      <w:r w:rsidRPr="00C923CD">
        <w:t>entre elles (100/162) se trouvaient dans les pays du Nord et les autres, 38 %, en Afrique de l</w:t>
      </w:r>
      <w:r w:rsidR="003275A7" w:rsidRPr="00C923CD">
        <w:t>’</w:t>
      </w:r>
      <w:r w:rsidRPr="00C923CD">
        <w:t>Ouest</w:t>
      </w:r>
      <w:r w:rsidR="007A6BD8" w:rsidRPr="00C923CD">
        <w:t xml:space="preserve">. </w:t>
      </w:r>
      <w:r w:rsidRPr="00C923CD">
        <w:t>Les universités du Nord étaient dominées par l</w:t>
      </w:r>
      <w:r w:rsidR="003275A7" w:rsidRPr="00C923CD">
        <w:t>’</w:t>
      </w:r>
      <w:r w:rsidRPr="00C923CD">
        <w:t>Université de Montréal, qui menait dans 21 des 100 (21 %) principaux auteurs d</w:t>
      </w:r>
      <w:r w:rsidR="003275A7" w:rsidRPr="00C923CD">
        <w:t>’</w:t>
      </w:r>
      <w:r w:rsidRPr="00C923CD">
        <w:t>établissements du Nord, suivie de l</w:t>
      </w:r>
      <w:r w:rsidR="003275A7" w:rsidRPr="00C923CD">
        <w:t>’</w:t>
      </w:r>
      <w:r w:rsidRPr="00C923CD">
        <w:t>Université de Heidelberg (18/100)</w:t>
      </w:r>
      <w:r w:rsidR="007A6BD8" w:rsidRPr="00C923CD">
        <w:t xml:space="preserve">. </w:t>
      </w:r>
      <w:r w:rsidRPr="00C923CD">
        <w:t>Les universités d</w:t>
      </w:r>
      <w:r w:rsidR="003275A7" w:rsidRPr="00C923CD">
        <w:t>’</w:t>
      </w:r>
      <w:r w:rsidRPr="00C923CD">
        <w:t>Afrique de l</w:t>
      </w:r>
      <w:r w:rsidR="003275A7" w:rsidRPr="00C923CD">
        <w:t>’</w:t>
      </w:r>
      <w:r w:rsidRPr="00C923CD">
        <w:t>Ouest étaient dominées par l</w:t>
      </w:r>
      <w:r w:rsidR="003275A7" w:rsidRPr="00C923CD">
        <w:t>’</w:t>
      </w:r>
      <w:r w:rsidRPr="00C923CD">
        <w:t>Université du Ghana (10/63) et l</w:t>
      </w:r>
      <w:r w:rsidR="003275A7" w:rsidRPr="00C923CD">
        <w:t>’</w:t>
      </w:r>
      <w:r w:rsidRPr="00C923CD">
        <w:t>université du Nigéria (10/63)</w:t>
      </w:r>
      <w:r w:rsidR="007A6BD8" w:rsidRPr="00C923CD">
        <w:t xml:space="preserve">. </w:t>
      </w:r>
    </w:p>
    <w:p w14:paraId="1480B0B3" w14:textId="77777777" w:rsidR="000E6B8B" w:rsidRDefault="000E6B8B" w:rsidP="00C923CD">
      <w:pPr>
        <w:suppressLineNumbers/>
        <w:spacing w:after="0" w:line="240" w:lineRule="auto"/>
        <w:jc w:val="both"/>
      </w:pPr>
    </w:p>
    <w:p w14:paraId="6D3DA868" w14:textId="6F41BF03" w:rsidR="000A43FE" w:rsidRPr="00C923CD" w:rsidRDefault="000A43FE" w:rsidP="00C923CD">
      <w:pPr>
        <w:suppressLineNumbers/>
        <w:spacing w:after="0" w:line="240" w:lineRule="auto"/>
        <w:jc w:val="both"/>
      </w:pPr>
      <w:r w:rsidRPr="00C923CD">
        <w:t>Lorsque les universités du Nord et celles de l</w:t>
      </w:r>
      <w:r w:rsidR="003275A7" w:rsidRPr="00C923CD">
        <w:t>’</w:t>
      </w:r>
      <w:r w:rsidRPr="00C923CD">
        <w:t>Afrique de l</w:t>
      </w:r>
      <w:r w:rsidR="003275A7" w:rsidRPr="00C923CD">
        <w:t>’</w:t>
      </w:r>
      <w:r w:rsidRPr="00C923CD">
        <w:t>Ouest sont unies dans l</w:t>
      </w:r>
      <w:r w:rsidR="003275A7" w:rsidRPr="00C923CD">
        <w:t>’</w:t>
      </w:r>
      <w:r w:rsidRPr="00C923CD">
        <w:t>analyse, les cinq universités qui se trouvent au sommet de la liste en tant que rattachement des auteurs principaux étaient l</w:t>
      </w:r>
      <w:r w:rsidR="003275A7" w:rsidRPr="00C923CD">
        <w:t>’</w:t>
      </w:r>
      <w:r w:rsidRPr="00C923CD">
        <w:t>Université de Montréal (14 %), l</w:t>
      </w:r>
      <w:r w:rsidR="003275A7" w:rsidRPr="00C923CD">
        <w:t>’</w:t>
      </w:r>
      <w:r w:rsidRPr="00C923CD">
        <w:t>Université de Heidelberg (11 %), l</w:t>
      </w:r>
      <w:r w:rsidR="003275A7" w:rsidRPr="00C923CD">
        <w:t>’</w:t>
      </w:r>
      <w:r w:rsidRPr="00C923CD">
        <w:t>Université du Ghana (6 %), l</w:t>
      </w:r>
      <w:r w:rsidR="003275A7" w:rsidRPr="00C923CD">
        <w:t>’</w:t>
      </w:r>
      <w:r w:rsidRPr="00C923CD">
        <w:t>Université du Nigéria (6 %) et l</w:t>
      </w:r>
      <w:r w:rsidR="003275A7" w:rsidRPr="00C923CD">
        <w:t>’</w:t>
      </w:r>
      <w:r w:rsidRPr="00C923CD">
        <w:t>École de santé publique John Hopkins (4 %).</w:t>
      </w:r>
    </w:p>
    <w:p w14:paraId="280779CD" w14:textId="77777777" w:rsidR="000E6B8B" w:rsidRDefault="000E6B8B" w:rsidP="00C923CD">
      <w:pPr>
        <w:suppressLineNumbers/>
        <w:spacing w:after="0" w:line="240" w:lineRule="auto"/>
        <w:jc w:val="both"/>
      </w:pPr>
    </w:p>
    <w:p w14:paraId="717298E3" w14:textId="4153A317" w:rsidR="00565AA9" w:rsidRPr="00C923CD" w:rsidRDefault="00E550DD" w:rsidP="00C923CD">
      <w:pPr>
        <w:suppressLineNumbers/>
        <w:spacing w:after="0" w:line="240" w:lineRule="auto"/>
        <w:jc w:val="both"/>
      </w:pPr>
      <w:r w:rsidRPr="00C923CD">
        <w:t>Le deuxième plus grand groupe en importance était les instituts de recherche (37/246). La plupart de ces instituts de recherche (73 % ou 27/37) étaient en Afrique de l</w:t>
      </w:r>
      <w:r w:rsidR="003275A7" w:rsidRPr="00C923CD">
        <w:t>’</w:t>
      </w:r>
      <w:r w:rsidRPr="00C923CD">
        <w:t>Ouest tandis que les autres se trouvaient dans le Nord</w:t>
      </w:r>
      <w:r w:rsidR="007A6BD8" w:rsidRPr="00C923CD">
        <w:t xml:space="preserve">. </w:t>
      </w:r>
      <w:r w:rsidRPr="00C923CD">
        <w:t>Cette situation est l</w:t>
      </w:r>
      <w:r w:rsidR="003275A7" w:rsidRPr="00C923CD">
        <w:t>’</w:t>
      </w:r>
      <w:r w:rsidRPr="00C923CD">
        <w:t>inverse de celle des universités</w:t>
      </w:r>
      <w:r w:rsidR="007A6BD8" w:rsidRPr="00C923CD">
        <w:t xml:space="preserve">. </w:t>
      </w:r>
      <w:r w:rsidRPr="00C923CD">
        <w:t>L</w:t>
      </w:r>
      <w:r w:rsidR="003275A7" w:rsidRPr="00C923CD">
        <w:t>’</w:t>
      </w:r>
      <w:r w:rsidR="009C2F7E" w:rsidRPr="00C923CD">
        <w:t>Institut de médecine t</w:t>
      </w:r>
      <w:r w:rsidRPr="00C923CD">
        <w:t>ropicale à Anvers était l</w:t>
      </w:r>
      <w:r w:rsidR="003275A7" w:rsidRPr="00C923CD">
        <w:t>’</w:t>
      </w:r>
      <w:r w:rsidRPr="00C923CD">
        <w:t>institut d</w:t>
      </w:r>
      <w:r w:rsidR="003275A7" w:rsidRPr="00C923CD">
        <w:t>’</w:t>
      </w:r>
      <w:r w:rsidRPr="00C923CD">
        <w:t>auteurs principaux pour quatre des dix auteurs principaux d</w:t>
      </w:r>
      <w:r w:rsidR="003275A7" w:rsidRPr="00C923CD">
        <w:t>’</w:t>
      </w:r>
      <w:r w:rsidRPr="00C923CD">
        <w:t>instituts de recherche du Nord</w:t>
      </w:r>
      <w:r w:rsidR="007A6BD8" w:rsidRPr="00C923CD">
        <w:t xml:space="preserve">. </w:t>
      </w:r>
      <w:r w:rsidRPr="00C923CD">
        <w:t>Parmi les instituts de recherche d</w:t>
      </w:r>
      <w:r w:rsidR="003275A7" w:rsidRPr="00C923CD">
        <w:t>’</w:t>
      </w:r>
      <w:r w:rsidRPr="00C923CD">
        <w:t>Afrique occidentale, le Centre de recherche en santé de Navrongo au Ghana et le Centre de Recherche en Santé de Nouna au Burkina Faso menaient en ce qui concerne les publications avec six publications chacun</w:t>
      </w:r>
      <w:r w:rsidR="007A6BD8" w:rsidRPr="00C923CD">
        <w:t xml:space="preserve">. </w:t>
      </w:r>
      <w:r w:rsidRPr="00C923CD">
        <w:t>L</w:t>
      </w:r>
      <w:r w:rsidR="003275A7" w:rsidRPr="00C923CD">
        <w:t>’</w:t>
      </w:r>
      <w:r w:rsidRPr="00C923CD">
        <w:t xml:space="preserve">Institut </w:t>
      </w:r>
      <w:r w:rsidR="009C2F7E" w:rsidRPr="00C923CD">
        <w:t>r</w:t>
      </w:r>
      <w:r w:rsidRPr="00C923CD">
        <w:t>égional de</w:t>
      </w:r>
      <w:r w:rsidR="009C2F7E" w:rsidRPr="00C923CD">
        <w:t xml:space="preserve"> sa</w:t>
      </w:r>
      <w:r w:rsidRPr="00C923CD">
        <w:t xml:space="preserve">nté </w:t>
      </w:r>
      <w:r w:rsidR="009C2F7E" w:rsidRPr="00C923CD">
        <w:t>p</w:t>
      </w:r>
      <w:r w:rsidRPr="00C923CD">
        <w:t>ublique au Bénin suivait avec quatre publications</w:t>
      </w:r>
      <w:r w:rsidR="007A6BD8" w:rsidRPr="00C923CD">
        <w:t xml:space="preserve">. </w:t>
      </w:r>
      <w:r w:rsidRPr="00C923CD">
        <w:t xml:space="preserve">La culture des instituts de recherche semble être particulièrement forte au Ghana et au Burkina Faso. </w:t>
      </w:r>
    </w:p>
    <w:p w14:paraId="41D87ED8" w14:textId="77777777" w:rsidR="000E6B8B" w:rsidRDefault="000E6B8B" w:rsidP="00C923CD">
      <w:pPr>
        <w:suppressLineNumbers/>
        <w:spacing w:after="0" w:line="240" w:lineRule="auto"/>
        <w:jc w:val="both"/>
      </w:pPr>
    </w:p>
    <w:p w14:paraId="54602716" w14:textId="67479E98" w:rsidR="008C7E2A" w:rsidRPr="00C923CD" w:rsidRDefault="008C7E2A" w:rsidP="00C923CD">
      <w:pPr>
        <w:suppressLineNumbers/>
        <w:spacing w:after="0" w:line="240" w:lineRule="auto"/>
        <w:jc w:val="both"/>
      </w:pPr>
      <w:r w:rsidRPr="00C923CD">
        <w:t>À elles seules, les universités représentent plus des deux tiers du nombre total de publications, quoique la pertinence de publication de RPSS dépend de sa capacité à influencer les politiques et la pratique</w:t>
      </w:r>
      <w:r w:rsidR="007A6BD8" w:rsidRPr="00C923CD">
        <w:t xml:space="preserve">. </w:t>
      </w:r>
      <w:r w:rsidRPr="00C923CD">
        <w:t>Les praticiens semblent moins impliqués dans la production de connaissances de RPSS en Afrique de l</w:t>
      </w:r>
      <w:r w:rsidR="003275A7" w:rsidRPr="00C923CD">
        <w:t>’</w:t>
      </w:r>
      <w:r w:rsidRPr="00C923CD">
        <w:t>Ouest</w:t>
      </w:r>
      <w:r w:rsidR="007A6BD8" w:rsidRPr="00C923CD">
        <w:t xml:space="preserve">. </w:t>
      </w:r>
      <w:r w:rsidRPr="00C923CD">
        <w:t>Une plus grande implication de dirigeants de ministères de la Santé et d</w:t>
      </w:r>
      <w:r w:rsidR="003275A7" w:rsidRPr="00C923CD">
        <w:t>’</w:t>
      </w:r>
      <w:r w:rsidRPr="00C923CD">
        <w:t>organismes gouvernementaux et même d</w:t>
      </w:r>
      <w:r w:rsidR="003275A7" w:rsidRPr="00C923CD">
        <w:t>’</w:t>
      </w:r>
      <w:r w:rsidRPr="00C923CD">
        <w:t>ONG dans la production de données probantes en RPSS doit être encouragée à l</w:t>
      </w:r>
      <w:r w:rsidR="003275A7" w:rsidRPr="00C923CD">
        <w:t>’</w:t>
      </w:r>
      <w:r w:rsidRPr="00C923CD">
        <w:t>échelle de la sous-région</w:t>
      </w:r>
      <w:r w:rsidR="007A6BD8" w:rsidRPr="00C923CD">
        <w:t xml:space="preserve">. </w:t>
      </w:r>
      <w:r w:rsidRPr="00C923CD">
        <w:t>Les autres pays de la sous-région pourront en apprendre beaucoup du Ghana à cet égard (dix publications des services de santé du Ghana, dont six du Centre de recherche en santé de Navrongo, et quatre provenant d</w:t>
      </w:r>
      <w:r w:rsidR="003275A7" w:rsidRPr="00C923CD">
        <w:t>’</w:t>
      </w:r>
      <w:r w:rsidRPr="00C923CD">
        <w:t>autres sections du service)</w:t>
      </w:r>
      <w:r w:rsidR="007A6BD8" w:rsidRPr="00C923CD">
        <w:t xml:space="preserve">. </w:t>
      </w:r>
      <w:r w:rsidRPr="00C923CD">
        <w:t>Les publications du Ghana du service de santé étaient généralement menées par des chercheurs ghanéens</w:t>
      </w:r>
      <w:r w:rsidR="007A6BD8" w:rsidRPr="00C923CD">
        <w:t xml:space="preserve">. </w:t>
      </w:r>
      <w:r w:rsidRPr="00C923CD">
        <w:t xml:space="preserve">Le Burkina Faso mène également un peu dans ce domaine malgré la forte dominance de chercheurs du Nord dans les articles venant du Burkina Faso. </w:t>
      </w:r>
    </w:p>
    <w:p w14:paraId="07C8631E" w14:textId="77777777" w:rsidR="00E550DD" w:rsidRDefault="00E550DD" w:rsidP="00C923CD">
      <w:pPr>
        <w:suppressLineNumbers/>
        <w:spacing w:after="0" w:line="240" w:lineRule="auto"/>
        <w:jc w:val="both"/>
      </w:pPr>
    </w:p>
    <w:p w14:paraId="6BCA2C43" w14:textId="7D8BB7EA" w:rsidR="00121E13" w:rsidRPr="00AD7B87" w:rsidRDefault="00121E13" w:rsidP="00121E13">
      <w:pPr>
        <w:suppressLineNumbers/>
        <w:rPr>
          <w:sz w:val="20"/>
        </w:rPr>
      </w:pPr>
      <w:r w:rsidRPr="00AD7B87">
        <w:rPr>
          <w:b/>
          <w:sz w:val="20"/>
        </w:rPr>
        <w:t>Table 3 – D</w:t>
      </w:r>
      <w:r w:rsidR="00AD7B87" w:rsidRPr="00AD7B87">
        <w:rPr>
          <w:b/>
          <w:sz w:val="20"/>
        </w:rPr>
        <w:t>é</w:t>
      </w:r>
      <w:r w:rsidRPr="00AD7B87">
        <w:rPr>
          <w:b/>
          <w:sz w:val="20"/>
        </w:rPr>
        <w:t>tails</w:t>
      </w:r>
      <w:r w:rsidR="00AD7B87">
        <w:rPr>
          <w:b/>
          <w:sz w:val="20"/>
        </w:rPr>
        <w:t xml:space="preserve"> des</w:t>
      </w:r>
      <w:r w:rsidRPr="00AD7B87">
        <w:rPr>
          <w:b/>
          <w:sz w:val="20"/>
        </w:rPr>
        <w:t xml:space="preserve"> </w:t>
      </w:r>
      <w:r w:rsidR="00AD7B87" w:rsidRPr="00495A8C">
        <w:rPr>
          <w:b/>
          <w:sz w:val="20"/>
        </w:rPr>
        <w:t>établissements des auteurs principaux</w:t>
      </w:r>
    </w:p>
    <w:tbl>
      <w:tblPr>
        <w:tblW w:w="5006" w:type="pct"/>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5529"/>
        <w:gridCol w:w="1440"/>
        <w:gridCol w:w="977"/>
        <w:gridCol w:w="1161"/>
      </w:tblGrid>
      <w:tr w:rsidR="00121E13" w:rsidRPr="00121E13" w14:paraId="751B2C8E" w14:textId="77777777" w:rsidTr="00AD7B87">
        <w:trPr>
          <w:trHeight w:val="588"/>
          <w:tblHeader/>
        </w:trPr>
        <w:tc>
          <w:tcPr>
            <w:tcW w:w="5529" w:type="dxa"/>
            <w:shd w:val="clear" w:color="auto" w:fill="F2F2F2" w:themeFill="background1" w:themeFillShade="F2"/>
            <w:noWrap/>
            <w:vAlign w:val="center"/>
            <w:hideMark/>
          </w:tcPr>
          <w:p w14:paraId="140FCCDF" w14:textId="77777777" w:rsidR="00121E13" w:rsidRPr="00121E13" w:rsidRDefault="00121E13" w:rsidP="00AD7B87">
            <w:pPr>
              <w:spacing w:after="0" w:line="240" w:lineRule="auto"/>
              <w:rPr>
                <w:rFonts w:eastAsia="Times New Roman" w:cs="Times New Roman"/>
                <w:b/>
                <w:color w:val="000000"/>
                <w:sz w:val="20"/>
                <w:szCs w:val="20"/>
              </w:rPr>
            </w:pPr>
            <w:r w:rsidRPr="00121E13">
              <w:rPr>
                <w:rFonts w:eastAsia="Times New Roman" w:cs="Times New Roman"/>
                <w:b/>
                <w:color w:val="000000"/>
                <w:sz w:val="20"/>
                <w:szCs w:val="20"/>
                <w:lang w:val="fr-FR"/>
              </w:rPr>
              <w:t>Institution of lead author</w:t>
            </w:r>
          </w:p>
        </w:tc>
        <w:tc>
          <w:tcPr>
            <w:tcW w:w="1440" w:type="dxa"/>
            <w:shd w:val="clear" w:color="auto" w:fill="F2F2F2" w:themeFill="background1" w:themeFillShade="F2"/>
            <w:noWrap/>
            <w:vAlign w:val="center"/>
            <w:hideMark/>
          </w:tcPr>
          <w:p w14:paraId="3D334DE5" w14:textId="77777777" w:rsidR="00121E13" w:rsidRPr="00121E13" w:rsidRDefault="00121E13" w:rsidP="00AD7B87">
            <w:pPr>
              <w:spacing w:after="0" w:line="240" w:lineRule="auto"/>
              <w:rPr>
                <w:rFonts w:eastAsia="Times New Roman" w:cs="Times New Roman"/>
                <w:b/>
                <w:color w:val="000000"/>
                <w:sz w:val="20"/>
                <w:szCs w:val="20"/>
              </w:rPr>
            </w:pPr>
            <w:r w:rsidRPr="00121E13">
              <w:rPr>
                <w:rFonts w:eastAsia="Times New Roman" w:cs="Times New Roman"/>
                <w:b/>
                <w:color w:val="000000"/>
                <w:sz w:val="20"/>
                <w:szCs w:val="20"/>
                <w:lang w:val="fr-FR"/>
              </w:rPr>
              <w:t>Country of institution</w:t>
            </w:r>
          </w:p>
        </w:tc>
        <w:tc>
          <w:tcPr>
            <w:tcW w:w="977" w:type="dxa"/>
            <w:shd w:val="clear" w:color="auto" w:fill="F2F2F2" w:themeFill="background1" w:themeFillShade="F2"/>
            <w:noWrap/>
            <w:vAlign w:val="center"/>
            <w:hideMark/>
          </w:tcPr>
          <w:p w14:paraId="74401D95" w14:textId="77777777" w:rsidR="00121E13" w:rsidRPr="00121E13" w:rsidRDefault="00121E13" w:rsidP="00AD7B87">
            <w:pPr>
              <w:spacing w:after="0" w:line="240" w:lineRule="auto"/>
              <w:rPr>
                <w:rFonts w:eastAsia="Times New Roman" w:cs="Times New Roman"/>
                <w:b/>
                <w:color w:val="000000"/>
                <w:sz w:val="20"/>
                <w:szCs w:val="20"/>
              </w:rPr>
            </w:pPr>
            <w:r w:rsidRPr="00121E13">
              <w:rPr>
                <w:rFonts w:eastAsia="Times New Roman" w:cs="Times New Roman"/>
                <w:b/>
                <w:color w:val="000000"/>
                <w:sz w:val="20"/>
                <w:szCs w:val="20"/>
                <w:lang w:val="fr-FR"/>
              </w:rPr>
              <w:t>Number</w:t>
            </w:r>
          </w:p>
        </w:tc>
        <w:tc>
          <w:tcPr>
            <w:tcW w:w="1116" w:type="dxa"/>
            <w:shd w:val="clear" w:color="auto" w:fill="F2F2F2" w:themeFill="background1" w:themeFillShade="F2"/>
            <w:noWrap/>
            <w:vAlign w:val="center"/>
            <w:hideMark/>
          </w:tcPr>
          <w:p w14:paraId="5ABBE3B3" w14:textId="77777777" w:rsidR="00121E13" w:rsidRPr="00121E13" w:rsidRDefault="00121E13" w:rsidP="00AD7B87">
            <w:pPr>
              <w:spacing w:after="0" w:line="240" w:lineRule="auto"/>
              <w:rPr>
                <w:rFonts w:eastAsia="Times New Roman" w:cs="Times New Roman"/>
                <w:b/>
                <w:color w:val="000000"/>
                <w:sz w:val="20"/>
                <w:szCs w:val="20"/>
              </w:rPr>
            </w:pPr>
            <w:r w:rsidRPr="00121E13">
              <w:rPr>
                <w:rFonts w:eastAsia="Times New Roman" w:cs="Times New Roman"/>
                <w:b/>
                <w:color w:val="000000"/>
                <w:sz w:val="20"/>
                <w:szCs w:val="20"/>
                <w:lang w:val="fr-FR"/>
              </w:rPr>
              <w:t>% of all institutions</w:t>
            </w:r>
          </w:p>
        </w:tc>
      </w:tr>
      <w:tr w:rsidR="00121E13" w14:paraId="49A62315" w14:textId="77777777" w:rsidTr="00AD7B87">
        <w:trPr>
          <w:trHeight w:val="340"/>
        </w:trPr>
        <w:tc>
          <w:tcPr>
            <w:tcW w:w="5529" w:type="dxa"/>
            <w:noWrap/>
            <w:vAlign w:val="center"/>
            <w:hideMark/>
          </w:tcPr>
          <w:p w14:paraId="2E893E52"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SOUTHERN (WEST AFRICAN) UNIVERSITIES</w:t>
            </w:r>
          </w:p>
        </w:tc>
        <w:tc>
          <w:tcPr>
            <w:tcW w:w="1440" w:type="dxa"/>
            <w:noWrap/>
            <w:vAlign w:val="center"/>
            <w:hideMark/>
          </w:tcPr>
          <w:p w14:paraId="622897A5"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977" w:type="dxa"/>
            <w:noWrap/>
            <w:vAlign w:val="center"/>
            <w:hideMark/>
          </w:tcPr>
          <w:p w14:paraId="4A4E7633"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1116" w:type="dxa"/>
            <w:noWrap/>
            <w:hideMark/>
          </w:tcPr>
          <w:p w14:paraId="3F19538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rPr>
              <w:t> </w:t>
            </w:r>
          </w:p>
        </w:tc>
      </w:tr>
      <w:tr w:rsidR="00121E13" w14:paraId="199EDB34" w14:textId="77777777" w:rsidTr="00AD7B87">
        <w:trPr>
          <w:trHeight w:val="340"/>
        </w:trPr>
        <w:tc>
          <w:tcPr>
            <w:tcW w:w="5529" w:type="dxa"/>
            <w:noWrap/>
            <w:vAlign w:val="center"/>
            <w:hideMark/>
          </w:tcPr>
          <w:p w14:paraId="059CA99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Ghana</w:t>
            </w:r>
          </w:p>
        </w:tc>
        <w:tc>
          <w:tcPr>
            <w:tcW w:w="1440" w:type="dxa"/>
            <w:noWrap/>
            <w:vAlign w:val="center"/>
            <w:hideMark/>
          </w:tcPr>
          <w:p w14:paraId="66228182"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Ghana</w:t>
            </w:r>
          </w:p>
        </w:tc>
        <w:tc>
          <w:tcPr>
            <w:tcW w:w="977" w:type="dxa"/>
            <w:noWrap/>
            <w:vAlign w:val="center"/>
            <w:hideMark/>
          </w:tcPr>
          <w:p w14:paraId="54CF43E6"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10</w:t>
            </w:r>
          </w:p>
        </w:tc>
        <w:tc>
          <w:tcPr>
            <w:tcW w:w="1116" w:type="dxa"/>
            <w:noWrap/>
            <w:vAlign w:val="center"/>
            <w:hideMark/>
          </w:tcPr>
          <w:p w14:paraId="2E6CA912"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rPr>
              <w:t>4.1%</w:t>
            </w:r>
          </w:p>
        </w:tc>
      </w:tr>
      <w:tr w:rsidR="00121E13" w14:paraId="37BBB564" w14:textId="77777777" w:rsidTr="00AD7B87">
        <w:trPr>
          <w:trHeight w:val="340"/>
        </w:trPr>
        <w:tc>
          <w:tcPr>
            <w:tcW w:w="5529" w:type="dxa"/>
            <w:noWrap/>
            <w:vAlign w:val="center"/>
            <w:hideMark/>
          </w:tcPr>
          <w:p w14:paraId="7E4C0E30"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Nigeria</w:t>
            </w:r>
          </w:p>
        </w:tc>
        <w:tc>
          <w:tcPr>
            <w:tcW w:w="1440" w:type="dxa"/>
            <w:noWrap/>
            <w:vAlign w:val="center"/>
            <w:hideMark/>
          </w:tcPr>
          <w:p w14:paraId="46C93F6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3191FE8D"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10</w:t>
            </w:r>
          </w:p>
        </w:tc>
        <w:tc>
          <w:tcPr>
            <w:tcW w:w="1116" w:type="dxa"/>
            <w:noWrap/>
            <w:vAlign w:val="center"/>
            <w:hideMark/>
          </w:tcPr>
          <w:p w14:paraId="48DF4089"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4.1%</w:t>
            </w:r>
          </w:p>
        </w:tc>
      </w:tr>
      <w:tr w:rsidR="00121E13" w14:paraId="5E3C21CD" w14:textId="77777777" w:rsidTr="00AD7B87">
        <w:trPr>
          <w:trHeight w:val="340"/>
        </w:trPr>
        <w:tc>
          <w:tcPr>
            <w:tcW w:w="5529" w:type="dxa"/>
            <w:noWrap/>
            <w:vAlign w:val="center"/>
            <w:hideMark/>
          </w:tcPr>
          <w:p w14:paraId="372A8D34"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Calabar</w:t>
            </w:r>
          </w:p>
        </w:tc>
        <w:tc>
          <w:tcPr>
            <w:tcW w:w="1440" w:type="dxa"/>
            <w:noWrap/>
            <w:vAlign w:val="center"/>
            <w:hideMark/>
          </w:tcPr>
          <w:p w14:paraId="7677CF7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6D5FF92D"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4</w:t>
            </w:r>
          </w:p>
        </w:tc>
        <w:tc>
          <w:tcPr>
            <w:tcW w:w="1116" w:type="dxa"/>
            <w:noWrap/>
            <w:vAlign w:val="center"/>
            <w:hideMark/>
          </w:tcPr>
          <w:p w14:paraId="15E71C7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1.6%</w:t>
            </w:r>
          </w:p>
        </w:tc>
      </w:tr>
      <w:tr w:rsidR="00121E13" w14:paraId="00F9B45B" w14:textId="77777777" w:rsidTr="00AD7B87">
        <w:trPr>
          <w:trHeight w:val="340"/>
        </w:trPr>
        <w:tc>
          <w:tcPr>
            <w:tcW w:w="5529" w:type="dxa"/>
            <w:noWrap/>
            <w:vAlign w:val="center"/>
            <w:hideMark/>
          </w:tcPr>
          <w:p w14:paraId="43E99921"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Nnamdi Azikiwe University</w:t>
            </w:r>
          </w:p>
        </w:tc>
        <w:tc>
          <w:tcPr>
            <w:tcW w:w="1440" w:type="dxa"/>
            <w:noWrap/>
            <w:vAlign w:val="center"/>
            <w:hideMark/>
          </w:tcPr>
          <w:p w14:paraId="73A450CA"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01BC525E"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4</w:t>
            </w:r>
          </w:p>
        </w:tc>
        <w:tc>
          <w:tcPr>
            <w:tcW w:w="1116" w:type="dxa"/>
            <w:noWrap/>
            <w:vAlign w:val="center"/>
            <w:hideMark/>
          </w:tcPr>
          <w:p w14:paraId="30B092B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1.6%</w:t>
            </w:r>
          </w:p>
        </w:tc>
      </w:tr>
      <w:tr w:rsidR="00121E13" w14:paraId="5D61B4DB" w14:textId="77777777" w:rsidTr="00AD7B87">
        <w:trPr>
          <w:trHeight w:val="340"/>
        </w:trPr>
        <w:tc>
          <w:tcPr>
            <w:tcW w:w="5529" w:type="dxa"/>
            <w:noWrap/>
            <w:vAlign w:val="center"/>
            <w:hideMark/>
          </w:tcPr>
          <w:p w14:paraId="0688B5D1"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Lagos</w:t>
            </w:r>
          </w:p>
        </w:tc>
        <w:tc>
          <w:tcPr>
            <w:tcW w:w="1440" w:type="dxa"/>
            <w:noWrap/>
            <w:vAlign w:val="center"/>
            <w:hideMark/>
          </w:tcPr>
          <w:p w14:paraId="45B3D397"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1EC923D4"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3</w:t>
            </w:r>
          </w:p>
        </w:tc>
        <w:tc>
          <w:tcPr>
            <w:tcW w:w="1116" w:type="dxa"/>
            <w:noWrap/>
            <w:vAlign w:val="center"/>
            <w:hideMark/>
          </w:tcPr>
          <w:p w14:paraId="257039AF"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1.2%</w:t>
            </w:r>
          </w:p>
        </w:tc>
      </w:tr>
      <w:tr w:rsidR="00121E13" w14:paraId="71DA208E" w14:textId="77777777" w:rsidTr="00AD7B87">
        <w:trPr>
          <w:trHeight w:val="340"/>
        </w:trPr>
        <w:tc>
          <w:tcPr>
            <w:tcW w:w="5529" w:type="dxa"/>
            <w:noWrap/>
            <w:vAlign w:val="center"/>
            <w:hideMark/>
          </w:tcPr>
          <w:p w14:paraId="08641DF0"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Ibadan</w:t>
            </w:r>
          </w:p>
        </w:tc>
        <w:tc>
          <w:tcPr>
            <w:tcW w:w="1440" w:type="dxa"/>
            <w:noWrap/>
            <w:vAlign w:val="center"/>
            <w:hideMark/>
          </w:tcPr>
          <w:p w14:paraId="03DD34A4"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583930BF"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3</w:t>
            </w:r>
          </w:p>
        </w:tc>
        <w:tc>
          <w:tcPr>
            <w:tcW w:w="1116" w:type="dxa"/>
            <w:noWrap/>
            <w:vAlign w:val="center"/>
            <w:hideMark/>
          </w:tcPr>
          <w:p w14:paraId="250FFFEE"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1.2%</w:t>
            </w:r>
          </w:p>
        </w:tc>
      </w:tr>
      <w:tr w:rsidR="00121E13" w14:paraId="48915DB6" w14:textId="77777777" w:rsidTr="00AD7B87">
        <w:trPr>
          <w:trHeight w:val="340"/>
        </w:trPr>
        <w:tc>
          <w:tcPr>
            <w:tcW w:w="5529" w:type="dxa"/>
            <w:noWrap/>
            <w:vAlign w:val="center"/>
            <w:hideMark/>
          </w:tcPr>
          <w:p w14:paraId="581FD24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Ahmadu Bello University</w:t>
            </w:r>
          </w:p>
        </w:tc>
        <w:tc>
          <w:tcPr>
            <w:tcW w:w="1440" w:type="dxa"/>
            <w:noWrap/>
            <w:vAlign w:val="center"/>
            <w:hideMark/>
          </w:tcPr>
          <w:p w14:paraId="57D3072C"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55C6F5DB"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4CD2A85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3B1635DE" w14:textId="77777777" w:rsidTr="00AD7B87">
        <w:trPr>
          <w:trHeight w:val="340"/>
        </w:trPr>
        <w:tc>
          <w:tcPr>
            <w:tcW w:w="5529" w:type="dxa"/>
            <w:noWrap/>
            <w:vAlign w:val="center"/>
            <w:hideMark/>
          </w:tcPr>
          <w:p w14:paraId="0BC4E0D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Cheikh Anta Diop University</w:t>
            </w:r>
          </w:p>
        </w:tc>
        <w:tc>
          <w:tcPr>
            <w:tcW w:w="1440" w:type="dxa"/>
            <w:noWrap/>
            <w:vAlign w:val="center"/>
            <w:hideMark/>
          </w:tcPr>
          <w:p w14:paraId="1AF35EA5"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Senegal</w:t>
            </w:r>
          </w:p>
        </w:tc>
        <w:tc>
          <w:tcPr>
            <w:tcW w:w="977" w:type="dxa"/>
            <w:noWrap/>
            <w:vAlign w:val="center"/>
            <w:hideMark/>
          </w:tcPr>
          <w:p w14:paraId="0582AA0D"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00C25A7E"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76BE37FB" w14:textId="77777777" w:rsidTr="00AD7B87">
        <w:trPr>
          <w:trHeight w:val="340"/>
        </w:trPr>
        <w:tc>
          <w:tcPr>
            <w:tcW w:w="5529" w:type="dxa"/>
            <w:noWrap/>
            <w:vAlign w:val="center"/>
            <w:hideMark/>
          </w:tcPr>
          <w:p w14:paraId="5E1D51E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Ebonyi State University</w:t>
            </w:r>
          </w:p>
        </w:tc>
        <w:tc>
          <w:tcPr>
            <w:tcW w:w="1440" w:type="dxa"/>
            <w:noWrap/>
            <w:vAlign w:val="center"/>
            <w:hideMark/>
          </w:tcPr>
          <w:p w14:paraId="25DCD2F5"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2395BD06"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4281559D"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4A43FC06" w14:textId="77777777" w:rsidTr="00AD7B87">
        <w:trPr>
          <w:trHeight w:val="340"/>
        </w:trPr>
        <w:tc>
          <w:tcPr>
            <w:tcW w:w="5529" w:type="dxa"/>
            <w:noWrap/>
            <w:vAlign w:val="center"/>
            <w:hideMark/>
          </w:tcPr>
          <w:p w14:paraId="7A76911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L'Universite de Ouagadougou</w:t>
            </w:r>
          </w:p>
        </w:tc>
        <w:tc>
          <w:tcPr>
            <w:tcW w:w="1440" w:type="dxa"/>
            <w:noWrap/>
            <w:vAlign w:val="center"/>
            <w:hideMark/>
          </w:tcPr>
          <w:p w14:paraId="31AA0C55"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Burkina Faso</w:t>
            </w:r>
          </w:p>
        </w:tc>
        <w:tc>
          <w:tcPr>
            <w:tcW w:w="977" w:type="dxa"/>
            <w:noWrap/>
            <w:vAlign w:val="center"/>
            <w:hideMark/>
          </w:tcPr>
          <w:p w14:paraId="63A7EA06"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3BC9DD8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2B838EE3" w14:textId="77777777" w:rsidTr="00AD7B87">
        <w:trPr>
          <w:trHeight w:val="340"/>
        </w:trPr>
        <w:tc>
          <w:tcPr>
            <w:tcW w:w="5529" w:type="dxa"/>
            <w:noWrap/>
            <w:vAlign w:val="center"/>
            <w:hideMark/>
          </w:tcPr>
          <w:p w14:paraId="2D2861A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Olabisi Onabanjo University</w:t>
            </w:r>
          </w:p>
        </w:tc>
        <w:tc>
          <w:tcPr>
            <w:tcW w:w="1440" w:type="dxa"/>
            <w:noWrap/>
            <w:vAlign w:val="center"/>
            <w:hideMark/>
          </w:tcPr>
          <w:p w14:paraId="0137E81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58D0783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50A02A4C"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3B6BA717" w14:textId="77777777" w:rsidTr="00AD7B87">
        <w:trPr>
          <w:trHeight w:val="340"/>
        </w:trPr>
        <w:tc>
          <w:tcPr>
            <w:tcW w:w="5529" w:type="dxa"/>
            <w:noWrap/>
            <w:vAlign w:val="center"/>
            <w:hideMark/>
          </w:tcPr>
          <w:p w14:paraId="710D55C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Nnamdi Azikiwe University</w:t>
            </w:r>
          </w:p>
        </w:tc>
        <w:tc>
          <w:tcPr>
            <w:tcW w:w="1440" w:type="dxa"/>
            <w:noWrap/>
            <w:vAlign w:val="center"/>
            <w:hideMark/>
          </w:tcPr>
          <w:p w14:paraId="27A1BAA5"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02821AB2"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3</w:t>
            </w:r>
          </w:p>
        </w:tc>
        <w:tc>
          <w:tcPr>
            <w:tcW w:w="1116" w:type="dxa"/>
            <w:noWrap/>
            <w:vAlign w:val="center"/>
            <w:hideMark/>
          </w:tcPr>
          <w:p w14:paraId="5446CE78"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1.2%</w:t>
            </w:r>
          </w:p>
        </w:tc>
      </w:tr>
      <w:tr w:rsidR="00121E13" w14:paraId="32184C7A" w14:textId="77777777" w:rsidTr="00AD7B87">
        <w:trPr>
          <w:trHeight w:val="340"/>
        </w:trPr>
        <w:tc>
          <w:tcPr>
            <w:tcW w:w="5529" w:type="dxa"/>
            <w:noWrap/>
            <w:vAlign w:val="center"/>
            <w:hideMark/>
          </w:tcPr>
          <w:p w14:paraId="2BF5F180"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Bayero University</w:t>
            </w:r>
          </w:p>
        </w:tc>
        <w:tc>
          <w:tcPr>
            <w:tcW w:w="1440" w:type="dxa"/>
            <w:noWrap/>
            <w:vAlign w:val="center"/>
            <w:hideMark/>
          </w:tcPr>
          <w:p w14:paraId="153E94AB"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1CDA1D72"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76A8502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3803DB54" w14:textId="77777777" w:rsidTr="00AD7B87">
        <w:trPr>
          <w:trHeight w:val="340"/>
        </w:trPr>
        <w:tc>
          <w:tcPr>
            <w:tcW w:w="5529" w:type="dxa"/>
            <w:noWrap/>
            <w:vAlign w:val="center"/>
            <w:hideMark/>
          </w:tcPr>
          <w:p w14:paraId="693AA97A"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Ekiti State University</w:t>
            </w:r>
          </w:p>
        </w:tc>
        <w:tc>
          <w:tcPr>
            <w:tcW w:w="1440" w:type="dxa"/>
            <w:noWrap/>
            <w:vAlign w:val="center"/>
            <w:hideMark/>
          </w:tcPr>
          <w:p w14:paraId="0A84A044"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1D04F63F"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62678270"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3340137C" w14:textId="77777777" w:rsidTr="00AD7B87">
        <w:trPr>
          <w:trHeight w:val="340"/>
        </w:trPr>
        <w:tc>
          <w:tcPr>
            <w:tcW w:w="5529" w:type="dxa"/>
            <w:noWrap/>
            <w:vAlign w:val="center"/>
            <w:hideMark/>
          </w:tcPr>
          <w:p w14:paraId="0701FACA"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Kwame Nkrumah University of Science and Technology</w:t>
            </w:r>
          </w:p>
        </w:tc>
        <w:tc>
          <w:tcPr>
            <w:tcW w:w="1440" w:type="dxa"/>
            <w:noWrap/>
            <w:vAlign w:val="center"/>
            <w:hideMark/>
          </w:tcPr>
          <w:p w14:paraId="71FEBF9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Ghana</w:t>
            </w:r>
          </w:p>
        </w:tc>
        <w:tc>
          <w:tcPr>
            <w:tcW w:w="977" w:type="dxa"/>
            <w:noWrap/>
            <w:vAlign w:val="center"/>
            <w:hideMark/>
          </w:tcPr>
          <w:p w14:paraId="5509FEFE"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7B88340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0BC101DA" w14:textId="77777777" w:rsidTr="00AD7B87">
        <w:trPr>
          <w:trHeight w:val="340"/>
        </w:trPr>
        <w:tc>
          <w:tcPr>
            <w:tcW w:w="5529" w:type="dxa"/>
            <w:noWrap/>
            <w:vAlign w:val="center"/>
            <w:hideMark/>
          </w:tcPr>
          <w:p w14:paraId="3C383F1C"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 Delta University</w:t>
            </w:r>
          </w:p>
        </w:tc>
        <w:tc>
          <w:tcPr>
            <w:tcW w:w="1440" w:type="dxa"/>
            <w:noWrap/>
            <w:vAlign w:val="center"/>
            <w:hideMark/>
          </w:tcPr>
          <w:p w14:paraId="54D9DE73"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4537D458"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09DA036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199D3BFE" w14:textId="77777777" w:rsidTr="00AD7B87">
        <w:trPr>
          <w:trHeight w:val="340"/>
        </w:trPr>
        <w:tc>
          <w:tcPr>
            <w:tcW w:w="5529" w:type="dxa"/>
            <w:noWrap/>
            <w:vAlign w:val="center"/>
            <w:hideMark/>
          </w:tcPr>
          <w:p w14:paraId="0670B89A"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ObafemiAwolowo University</w:t>
            </w:r>
          </w:p>
        </w:tc>
        <w:tc>
          <w:tcPr>
            <w:tcW w:w="1440" w:type="dxa"/>
            <w:noWrap/>
            <w:vAlign w:val="center"/>
            <w:hideMark/>
          </w:tcPr>
          <w:p w14:paraId="2D66AC7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56F2ED6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408A6DA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21C8582C" w14:textId="77777777" w:rsidTr="00AD7B87">
        <w:trPr>
          <w:trHeight w:val="340"/>
        </w:trPr>
        <w:tc>
          <w:tcPr>
            <w:tcW w:w="5529" w:type="dxa"/>
            <w:noWrap/>
            <w:vAlign w:val="center"/>
            <w:hideMark/>
          </w:tcPr>
          <w:p w14:paraId="40134C13"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Abomey-Calavi</w:t>
            </w:r>
          </w:p>
        </w:tc>
        <w:tc>
          <w:tcPr>
            <w:tcW w:w="1440" w:type="dxa"/>
            <w:noWrap/>
            <w:vAlign w:val="center"/>
            <w:hideMark/>
          </w:tcPr>
          <w:p w14:paraId="3F5A55B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Benin</w:t>
            </w:r>
          </w:p>
        </w:tc>
        <w:tc>
          <w:tcPr>
            <w:tcW w:w="977" w:type="dxa"/>
            <w:noWrap/>
            <w:vAlign w:val="center"/>
            <w:hideMark/>
          </w:tcPr>
          <w:p w14:paraId="0796F4AC"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45351DE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3414151E" w14:textId="77777777" w:rsidTr="00AD7B87">
        <w:trPr>
          <w:trHeight w:val="340"/>
        </w:trPr>
        <w:tc>
          <w:tcPr>
            <w:tcW w:w="5529" w:type="dxa"/>
            <w:noWrap/>
            <w:vAlign w:val="center"/>
            <w:hideMark/>
          </w:tcPr>
          <w:p w14:paraId="1DEB4722"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Federal University of Agriculture</w:t>
            </w:r>
          </w:p>
        </w:tc>
        <w:tc>
          <w:tcPr>
            <w:tcW w:w="1440" w:type="dxa"/>
            <w:noWrap/>
            <w:vAlign w:val="center"/>
            <w:hideMark/>
          </w:tcPr>
          <w:p w14:paraId="6614B133"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42DEE72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7C5716D6"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1D6844CE" w14:textId="77777777" w:rsidTr="00AD7B87">
        <w:trPr>
          <w:trHeight w:val="340"/>
        </w:trPr>
        <w:tc>
          <w:tcPr>
            <w:tcW w:w="5529" w:type="dxa"/>
            <w:noWrap/>
            <w:vAlign w:val="center"/>
            <w:hideMark/>
          </w:tcPr>
          <w:p w14:paraId="017ADFAB"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University of Benin Teaching Hospital</w:t>
            </w:r>
          </w:p>
        </w:tc>
        <w:tc>
          <w:tcPr>
            <w:tcW w:w="1440" w:type="dxa"/>
            <w:noWrap/>
            <w:vAlign w:val="center"/>
            <w:hideMark/>
          </w:tcPr>
          <w:p w14:paraId="61E3465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Benin</w:t>
            </w:r>
          </w:p>
        </w:tc>
        <w:tc>
          <w:tcPr>
            <w:tcW w:w="977" w:type="dxa"/>
            <w:noWrap/>
            <w:vAlign w:val="center"/>
            <w:hideMark/>
          </w:tcPr>
          <w:p w14:paraId="670E395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27B9C932"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59EE6026" w14:textId="77777777" w:rsidTr="00AD7B87">
        <w:trPr>
          <w:trHeight w:val="340"/>
        </w:trPr>
        <w:tc>
          <w:tcPr>
            <w:tcW w:w="5529" w:type="dxa"/>
            <w:noWrap/>
            <w:vAlign w:val="center"/>
            <w:hideMark/>
          </w:tcPr>
          <w:p w14:paraId="44244ACF"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Cape Coast</w:t>
            </w:r>
          </w:p>
        </w:tc>
        <w:tc>
          <w:tcPr>
            <w:tcW w:w="1440" w:type="dxa"/>
            <w:noWrap/>
            <w:vAlign w:val="center"/>
            <w:hideMark/>
          </w:tcPr>
          <w:p w14:paraId="3F56B4FA"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Ghana</w:t>
            </w:r>
          </w:p>
        </w:tc>
        <w:tc>
          <w:tcPr>
            <w:tcW w:w="977" w:type="dxa"/>
            <w:noWrap/>
            <w:vAlign w:val="center"/>
            <w:hideMark/>
          </w:tcPr>
          <w:p w14:paraId="7C69A31F"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7BA3E75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7D2BCD80" w14:textId="77777777" w:rsidTr="00AD7B87">
        <w:trPr>
          <w:trHeight w:val="340"/>
        </w:trPr>
        <w:tc>
          <w:tcPr>
            <w:tcW w:w="5529" w:type="dxa"/>
            <w:noWrap/>
            <w:vAlign w:val="center"/>
            <w:hideMark/>
          </w:tcPr>
          <w:p w14:paraId="28EB7B8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Cocody</w:t>
            </w:r>
          </w:p>
        </w:tc>
        <w:tc>
          <w:tcPr>
            <w:tcW w:w="1440" w:type="dxa"/>
            <w:noWrap/>
            <w:vAlign w:val="center"/>
            <w:hideMark/>
          </w:tcPr>
          <w:p w14:paraId="6CEECF32"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Cote d'Ivoire</w:t>
            </w:r>
          </w:p>
        </w:tc>
        <w:tc>
          <w:tcPr>
            <w:tcW w:w="977" w:type="dxa"/>
            <w:noWrap/>
            <w:vAlign w:val="center"/>
            <w:hideMark/>
          </w:tcPr>
          <w:p w14:paraId="208F933F"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3F10A8E2"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3A394163" w14:textId="77777777" w:rsidTr="00AD7B87">
        <w:trPr>
          <w:trHeight w:val="340"/>
        </w:trPr>
        <w:tc>
          <w:tcPr>
            <w:tcW w:w="5529" w:type="dxa"/>
            <w:noWrap/>
            <w:vAlign w:val="center"/>
            <w:hideMark/>
          </w:tcPr>
          <w:p w14:paraId="14779AD1"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Delta State University</w:t>
            </w:r>
          </w:p>
        </w:tc>
        <w:tc>
          <w:tcPr>
            <w:tcW w:w="1440" w:type="dxa"/>
            <w:noWrap/>
            <w:vAlign w:val="center"/>
            <w:hideMark/>
          </w:tcPr>
          <w:p w14:paraId="4B7B0C62"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4A96D7E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17E4A922"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48899B98" w14:textId="77777777" w:rsidTr="00AD7B87">
        <w:trPr>
          <w:trHeight w:val="340"/>
        </w:trPr>
        <w:tc>
          <w:tcPr>
            <w:tcW w:w="5529" w:type="dxa"/>
            <w:noWrap/>
            <w:vAlign w:val="center"/>
            <w:hideMark/>
          </w:tcPr>
          <w:p w14:paraId="418E4A1B"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Development studies</w:t>
            </w:r>
          </w:p>
        </w:tc>
        <w:tc>
          <w:tcPr>
            <w:tcW w:w="1440" w:type="dxa"/>
            <w:noWrap/>
            <w:vAlign w:val="center"/>
            <w:hideMark/>
          </w:tcPr>
          <w:p w14:paraId="0ABDD12B"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Ghana</w:t>
            </w:r>
          </w:p>
        </w:tc>
        <w:tc>
          <w:tcPr>
            <w:tcW w:w="977" w:type="dxa"/>
            <w:noWrap/>
            <w:vAlign w:val="center"/>
            <w:hideMark/>
          </w:tcPr>
          <w:p w14:paraId="2F0E0C8E"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4904645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68A56438" w14:textId="77777777" w:rsidTr="00AD7B87">
        <w:trPr>
          <w:trHeight w:val="340"/>
        </w:trPr>
        <w:tc>
          <w:tcPr>
            <w:tcW w:w="5529" w:type="dxa"/>
            <w:noWrap/>
            <w:vAlign w:val="center"/>
            <w:hideMark/>
          </w:tcPr>
          <w:p w14:paraId="6222EF15"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Ilorin</w:t>
            </w:r>
          </w:p>
        </w:tc>
        <w:tc>
          <w:tcPr>
            <w:tcW w:w="1440" w:type="dxa"/>
            <w:noWrap/>
            <w:vAlign w:val="center"/>
            <w:hideMark/>
          </w:tcPr>
          <w:p w14:paraId="713AE2C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7B1BBB12"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71E4914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077C0BF8" w14:textId="77777777" w:rsidTr="00AD7B87">
        <w:trPr>
          <w:trHeight w:val="340"/>
        </w:trPr>
        <w:tc>
          <w:tcPr>
            <w:tcW w:w="5529" w:type="dxa"/>
            <w:noWrap/>
            <w:vAlign w:val="center"/>
            <w:hideMark/>
          </w:tcPr>
          <w:p w14:paraId="2C02B10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Jos</w:t>
            </w:r>
          </w:p>
        </w:tc>
        <w:tc>
          <w:tcPr>
            <w:tcW w:w="1440" w:type="dxa"/>
            <w:noWrap/>
            <w:vAlign w:val="center"/>
            <w:hideMark/>
          </w:tcPr>
          <w:p w14:paraId="7E4F317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3F2971BB"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33FCE222"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454271A6" w14:textId="77777777" w:rsidTr="00AD7B87">
        <w:trPr>
          <w:trHeight w:val="340"/>
        </w:trPr>
        <w:tc>
          <w:tcPr>
            <w:tcW w:w="5529" w:type="dxa"/>
            <w:noWrap/>
            <w:vAlign w:val="center"/>
            <w:hideMark/>
          </w:tcPr>
          <w:p w14:paraId="3CE3E5DC"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Sokoto, Nigeria</w:t>
            </w:r>
          </w:p>
        </w:tc>
        <w:tc>
          <w:tcPr>
            <w:tcW w:w="1440" w:type="dxa"/>
            <w:noWrap/>
            <w:vAlign w:val="center"/>
            <w:hideMark/>
          </w:tcPr>
          <w:p w14:paraId="0DF60EA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339DCFF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483F7398"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7C94C2EA" w14:textId="77777777" w:rsidTr="00AD7B87">
        <w:trPr>
          <w:trHeight w:val="340"/>
        </w:trPr>
        <w:tc>
          <w:tcPr>
            <w:tcW w:w="5529" w:type="dxa"/>
            <w:noWrap/>
            <w:vAlign w:val="center"/>
            <w:hideMark/>
          </w:tcPr>
          <w:p w14:paraId="210EC892"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1440" w:type="dxa"/>
            <w:noWrap/>
            <w:vAlign w:val="center"/>
            <w:hideMark/>
          </w:tcPr>
          <w:p w14:paraId="4F3145A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977" w:type="dxa"/>
            <w:noWrap/>
            <w:vAlign w:val="center"/>
            <w:hideMark/>
          </w:tcPr>
          <w:p w14:paraId="304A15D9"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rPr>
              <w:t>62</w:t>
            </w:r>
          </w:p>
        </w:tc>
        <w:tc>
          <w:tcPr>
            <w:tcW w:w="1116" w:type="dxa"/>
            <w:noWrap/>
            <w:vAlign w:val="center"/>
            <w:hideMark/>
          </w:tcPr>
          <w:p w14:paraId="2534FB2D"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25.2%</w:t>
            </w:r>
          </w:p>
        </w:tc>
      </w:tr>
      <w:tr w:rsidR="00121E13" w14:paraId="5AD050BD" w14:textId="77777777" w:rsidTr="00AD7B87">
        <w:trPr>
          <w:trHeight w:val="340"/>
        </w:trPr>
        <w:tc>
          <w:tcPr>
            <w:tcW w:w="5529" w:type="dxa"/>
            <w:noWrap/>
            <w:vAlign w:val="center"/>
            <w:hideMark/>
          </w:tcPr>
          <w:p w14:paraId="7206757A"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NOTHERN UNIVERSITIES</w:t>
            </w:r>
          </w:p>
        </w:tc>
        <w:tc>
          <w:tcPr>
            <w:tcW w:w="1440" w:type="dxa"/>
            <w:noWrap/>
            <w:vAlign w:val="center"/>
            <w:hideMark/>
          </w:tcPr>
          <w:p w14:paraId="7CD5CDD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977" w:type="dxa"/>
            <w:noWrap/>
            <w:vAlign w:val="center"/>
            <w:hideMark/>
          </w:tcPr>
          <w:p w14:paraId="3147A3E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1116" w:type="dxa"/>
            <w:noWrap/>
            <w:vAlign w:val="center"/>
            <w:hideMark/>
          </w:tcPr>
          <w:p w14:paraId="246892B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rPr>
              <w:t> </w:t>
            </w:r>
          </w:p>
        </w:tc>
      </w:tr>
      <w:tr w:rsidR="00121E13" w14:paraId="674E0F0C" w14:textId="77777777" w:rsidTr="00AD7B87">
        <w:trPr>
          <w:trHeight w:val="340"/>
        </w:trPr>
        <w:tc>
          <w:tcPr>
            <w:tcW w:w="5529" w:type="dxa"/>
            <w:noWrap/>
            <w:vAlign w:val="center"/>
            <w:hideMark/>
          </w:tcPr>
          <w:p w14:paraId="04B64498"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Universite de Montreal/University of Montreal</w:t>
            </w:r>
          </w:p>
        </w:tc>
        <w:tc>
          <w:tcPr>
            <w:tcW w:w="1440" w:type="dxa"/>
            <w:noWrap/>
            <w:vAlign w:val="center"/>
            <w:hideMark/>
          </w:tcPr>
          <w:p w14:paraId="5F723E34"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Canada</w:t>
            </w:r>
          </w:p>
        </w:tc>
        <w:tc>
          <w:tcPr>
            <w:tcW w:w="977" w:type="dxa"/>
            <w:noWrap/>
            <w:vAlign w:val="center"/>
            <w:hideMark/>
          </w:tcPr>
          <w:p w14:paraId="3CC9399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21</w:t>
            </w:r>
          </w:p>
        </w:tc>
        <w:tc>
          <w:tcPr>
            <w:tcW w:w="1116" w:type="dxa"/>
            <w:noWrap/>
            <w:vAlign w:val="center"/>
            <w:hideMark/>
          </w:tcPr>
          <w:p w14:paraId="0EB2400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8.5%</w:t>
            </w:r>
          </w:p>
        </w:tc>
      </w:tr>
      <w:tr w:rsidR="00121E13" w14:paraId="49402285" w14:textId="77777777" w:rsidTr="00AD7B87">
        <w:trPr>
          <w:trHeight w:val="340"/>
        </w:trPr>
        <w:tc>
          <w:tcPr>
            <w:tcW w:w="5529" w:type="dxa"/>
            <w:noWrap/>
            <w:vAlign w:val="center"/>
            <w:hideMark/>
          </w:tcPr>
          <w:p w14:paraId="38A43167"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Heidelberg</w:t>
            </w:r>
          </w:p>
        </w:tc>
        <w:tc>
          <w:tcPr>
            <w:tcW w:w="1440" w:type="dxa"/>
            <w:noWrap/>
            <w:vAlign w:val="center"/>
            <w:hideMark/>
          </w:tcPr>
          <w:p w14:paraId="0E08016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Germany</w:t>
            </w:r>
          </w:p>
        </w:tc>
        <w:tc>
          <w:tcPr>
            <w:tcW w:w="977" w:type="dxa"/>
            <w:noWrap/>
            <w:vAlign w:val="center"/>
            <w:hideMark/>
          </w:tcPr>
          <w:p w14:paraId="642B9799"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18</w:t>
            </w:r>
          </w:p>
        </w:tc>
        <w:tc>
          <w:tcPr>
            <w:tcW w:w="1116" w:type="dxa"/>
            <w:noWrap/>
            <w:vAlign w:val="center"/>
            <w:hideMark/>
          </w:tcPr>
          <w:p w14:paraId="7763C316"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7.3%</w:t>
            </w:r>
          </w:p>
        </w:tc>
      </w:tr>
      <w:tr w:rsidR="00121E13" w14:paraId="673A96DF" w14:textId="77777777" w:rsidTr="00AD7B87">
        <w:trPr>
          <w:trHeight w:val="340"/>
        </w:trPr>
        <w:tc>
          <w:tcPr>
            <w:tcW w:w="5529" w:type="dxa"/>
            <w:noWrap/>
            <w:vAlign w:val="center"/>
            <w:hideMark/>
          </w:tcPr>
          <w:p w14:paraId="3C79282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John Hopkins University</w:t>
            </w:r>
          </w:p>
        </w:tc>
        <w:tc>
          <w:tcPr>
            <w:tcW w:w="1440" w:type="dxa"/>
            <w:noWrap/>
            <w:vAlign w:val="center"/>
            <w:hideMark/>
          </w:tcPr>
          <w:p w14:paraId="0F061FDC"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7900FD88"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7</w:t>
            </w:r>
          </w:p>
        </w:tc>
        <w:tc>
          <w:tcPr>
            <w:tcW w:w="1116" w:type="dxa"/>
            <w:noWrap/>
            <w:vAlign w:val="center"/>
            <w:hideMark/>
          </w:tcPr>
          <w:p w14:paraId="360B369B"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2.8%</w:t>
            </w:r>
          </w:p>
        </w:tc>
      </w:tr>
      <w:tr w:rsidR="00121E13" w14:paraId="53F3A83D" w14:textId="77777777" w:rsidTr="00AD7B87">
        <w:trPr>
          <w:trHeight w:val="340"/>
        </w:trPr>
        <w:tc>
          <w:tcPr>
            <w:tcW w:w="5529" w:type="dxa"/>
            <w:noWrap/>
            <w:vAlign w:val="center"/>
            <w:hideMark/>
          </w:tcPr>
          <w:p w14:paraId="4DBADC8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Colombia University</w:t>
            </w:r>
          </w:p>
        </w:tc>
        <w:tc>
          <w:tcPr>
            <w:tcW w:w="1440" w:type="dxa"/>
            <w:noWrap/>
            <w:vAlign w:val="center"/>
            <w:hideMark/>
          </w:tcPr>
          <w:p w14:paraId="14ABEA83"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22505C8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5</w:t>
            </w:r>
          </w:p>
        </w:tc>
        <w:tc>
          <w:tcPr>
            <w:tcW w:w="1116" w:type="dxa"/>
            <w:noWrap/>
            <w:vAlign w:val="center"/>
            <w:hideMark/>
          </w:tcPr>
          <w:p w14:paraId="7FFACF6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2.0%</w:t>
            </w:r>
          </w:p>
        </w:tc>
      </w:tr>
      <w:tr w:rsidR="00121E13" w14:paraId="2B9F8EED" w14:textId="77777777" w:rsidTr="00AD7B87">
        <w:trPr>
          <w:trHeight w:val="340"/>
        </w:trPr>
        <w:tc>
          <w:tcPr>
            <w:tcW w:w="5529" w:type="dxa"/>
            <w:noWrap/>
            <w:vAlign w:val="center"/>
            <w:hideMark/>
          </w:tcPr>
          <w:p w14:paraId="458A15E2"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London School of Hygiene &amp; Tropical Medicine</w:t>
            </w:r>
          </w:p>
        </w:tc>
        <w:tc>
          <w:tcPr>
            <w:tcW w:w="1440" w:type="dxa"/>
            <w:noWrap/>
            <w:vAlign w:val="center"/>
            <w:hideMark/>
          </w:tcPr>
          <w:p w14:paraId="5D766441"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UK</w:t>
            </w:r>
          </w:p>
        </w:tc>
        <w:tc>
          <w:tcPr>
            <w:tcW w:w="977" w:type="dxa"/>
            <w:noWrap/>
            <w:vAlign w:val="center"/>
            <w:hideMark/>
          </w:tcPr>
          <w:p w14:paraId="21F0F3B2"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4</w:t>
            </w:r>
          </w:p>
        </w:tc>
        <w:tc>
          <w:tcPr>
            <w:tcW w:w="1116" w:type="dxa"/>
            <w:noWrap/>
            <w:vAlign w:val="center"/>
            <w:hideMark/>
          </w:tcPr>
          <w:p w14:paraId="33C1C496"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1.6%</w:t>
            </w:r>
          </w:p>
        </w:tc>
      </w:tr>
      <w:tr w:rsidR="00121E13" w14:paraId="0A189777" w14:textId="77777777" w:rsidTr="00AD7B87">
        <w:trPr>
          <w:trHeight w:val="340"/>
        </w:trPr>
        <w:tc>
          <w:tcPr>
            <w:tcW w:w="5529" w:type="dxa"/>
            <w:noWrap/>
            <w:vAlign w:val="center"/>
            <w:hideMark/>
          </w:tcPr>
          <w:p w14:paraId="233AEB2C"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The University of Western Ontario</w:t>
            </w:r>
          </w:p>
        </w:tc>
        <w:tc>
          <w:tcPr>
            <w:tcW w:w="1440" w:type="dxa"/>
            <w:noWrap/>
            <w:vAlign w:val="center"/>
            <w:hideMark/>
          </w:tcPr>
          <w:p w14:paraId="265CBEF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Canada</w:t>
            </w:r>
          </w:p>
        </w:tc>
        <w:tc>
          <w:tcPr>
            <w:tcW w:w="977" w:type="dxa"/>
            <w:noWrap/>
            <w:vAlign w:val="center"/>
            <w:hideMark/>
          </w:tcPr>
          <w:p w14:paraId="4F17DF1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4</w:t>
            </w:r>
          </w:p>
        </w:tc>
        <w:tc>
          <w:tcPr>
            <w:tcW w:w="1116" w:type="dxa"/>
            <w:noWrap/>
            <w:vAlign w:val="center"/>
            <w:hideMark/>
          </w:tcPr>
          <w:p w14:paraId="61D6D790"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1.6%</w:t>
            </w:r>
          </w:p>
        </w:tc>
      </w:tr>
      <w:tr w:rsidR="00121E13" w14:paraId="5E997D3D" w14:textId="77777777" w:rsidTr="00AD7B87">
        <w:trPr>
          <w:trHeight w:val="340"/>
        </w:trPr>
        <w:tc>
          <w:tcPr>
            <w:tcW w:w="5529" w:type="dxa"/>
            <w:noWrap/>
            <w:vAlign w:val="center"/>
            <w:hideMark/>
          </w:tcPr>
          <w:p w14:paraId="6C777623"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Norwegian University of Science and Technology</w:t>
            </w:r>
          </w:p>
        </w:tc>
        <w:tc>
          <w:tcPr>
            <w:tcW w:w="1440" w:type="dxa"/>
            <w:noWrap/>
            <w:vAlign w:val="center"/>
            <w:hideMark/>
          </w:tcPr>
          <w:p w14:paraId="3DFC089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Norway</w:t>
            </w:r>
          </w:p>
        </w:tc>
        <w:tc>
          <w:tcPr>
            <w:tcW w:w="977" w:type="dxa"/>
            <w:noWrap/>
            <w:vAlign w:val="center"/>
            <w:hideMark/>
          </w:tcPr>
          <w:p w14:paraId="08E33818"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3</w:t>
            </w:r>
          </w:p>
        </w:tc>
        <w:tc>
          <w:tcPr>
            <w:tcW w:w="1116" w:type="dxa"/>
            <w:noWrap/>
            <w:vAlign w:val="center"/>
            <w:hideMark/>
          </w:tcPr>
          <w:p w14:paraId="0FEBA80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1.2%</w:t>
            </w:r>
          </w:p>
        </w:tc>
      </w:tr>
      <w:tr w:rsidR="00121E13" w14:paraId="5A5AF901" w14:textId="77777777" w:rsidTr="00AD7B87">
        <w:trPr>
          <w:trHeight w:val="340"/>
        </w:trPr>
        <w:tc>
          <w:tcPr>
            <w:tcW w:w="5529" w:type="dxa"/>
            <w:noWrap/>
            <w:vAlign w:val="center"/>
            <w:hideMark/>
          </w:tcPr>
          <w:p w14:paraId="41667A8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Aberdeen</w:t>
            </w:r>
          </w:p>
        </w:tc>
        <w:tc>
          <w:tcPr>
            <w:tcW w:w="1440" w:type="dxa"/>
            <w:noWrap/>
            <w:vAlign w:val="center"/>
            <w:hideMark/>
          </w:tcPr>
          <w:p w14:paraId="13787AEC"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UK</w:t>
            </w:r>
          </w:p>
        </w:tc>
        <w:tc>
          <w:tcPr>
            <w:tcW w:w="977" w:type="dxa"/>
            <w:noWrap/>
            <w:vAlign w:val="center"/>
            <w:hideMark/>
          </w:tcPr>
          <w:p w14:paraId="1010615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3</w:t>
            </w:r>
          </w:p>
        </w:tc>
        <w:tc>
          <w:tcPr>
            <w:tcW w:w="1116" w:type="dxa"/>
            <w:noWrap/>
            <w:vAlign w:val="center"/>
            <w:hideMark/>
          </w:tcPr>
          <w:p w14:paraId="5F73038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1.2%</w:t>
            </w:r>
          </w:p>
        </w:tc>
      </w:tr>
      <w:tr w:rsidR="00121E13" w14:paraId="02EAEB8B" w14:textId="77777777" w:rsidTr="00AD7B87">
        <w:trPr>
          <w:trHeight w:val="340"/>
        </w:trPr>
        <w:tc>
          <w:tcPr>
            <w:tcW w:w="5529" w:type="dxa"/>
            <w:noWrap/>
            <w:vAlign w:val="center"/>
            <w:hideMark/>
          </w:tcPr>
          <w:p w14:paraId="6F0F8695"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California</w:t>
            </w:r>
          </w:p>
        </w:tc>
        <w:tc>
          <w:tcPr>
            <w:tcW w:w="1440" w:type="dxa"/>
            <w:noWrap/>
            <w:vAlign w:val="center"/>
            <w:hideMark/>
          </w:tcPr>
          <w:p w14:paraId="41AAFF8F"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581AED7C"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3</w:t>
            </w:r>
          </w:p>
        </w:tc>
        <w:tc>
          <w:tcPr>
            <w:tcW w:w="1116" w:type="dxa"/>
            <w:noWrap/>
            <w:vAlign w:val="center"/>
            <w:hideMark/>
          </w:tcPr>
          <w:p w14:paraId="1C15946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1.2%</w:t>
            </w:r>
          </w:p>
        </w:tc>
      </w:tr>
      <w:tr w:rsidR="00121E13" w14:paraId="60781253" w14:textId="77777777" w:rsidTr="00AD7B87">
        <w:trPr>
          <w:trHeight w:val="340"/>
        </w:trPr>
        <w:tc>
          <w:tcPr>
            <w:tcW w:w="5529" w:type="dxa"/>
            <w:noWrap/>
            <w:vAlign w:val="center"/>
            <w:hideMark/>
          </w:tcPr>
          <w:p w14:paraId="095AE8D9"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 London School of Economics and Political Science</w:t>
            </w:r>
          </w:p>
        </w:tc>
        <w:tc>
          <w:tcPr>
            <w:tcW w:w="1440" w:type="dxa"/>
            <w:noWrap/>
            <w:vAlign w:val="center"/>
            <w:hideMark/>
          </w:tcPr>
          <w:p w14:paraId="7FA38CE5"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UK</w:t>
            </w:r>
          </w:p>
        </w:tc>
        <w:tc>
          <w:tcPr>
            <w:tcW w:w="977" w:type="dxa"/>
            <w:noWrap/>
            <w:vAlign w:val="center"/>
            <w:hideMark/>
          </w:tcPr>
          <w:p w14:paraId="406129A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6A8737E4"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457321F3" w14:textId="77777777" w:rsidTr="00AD7B87">
        <w:trPr>
          <w:trHeight w:val="340"/>
        </w:trPr>
        <w:tc>
          <w:tcPr>
            <w:tcW w:w="5529" w:type="dxa"/>
            <w:noWrap/>
            <w:vAlign w:val="center"/>
            <w:hideMark/>
          </w:tcPr>
          <w:p w14:paraId="7963D49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University of Ottawa</w:t>
            </w:r>
          </w:p>
        </w:tc>
        <w:tc>
          <w:tcPr>
            <w:tcW w:w="1440" w:type="dxa"/>
            <w:noWrap/>
            <w:vAlign w:val="center"/>
            <w:hideMark/>
          </w:tcPr>
          <w:p w14:paraId="05DF87EA"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Canada</w:t>
            </w:r>
          </w:p>
        </w:tc>
        <w:tc>
          <w:tcPr>
            <w:tcW w:w="977" w:type="dxa"/>
            <w:noWrap/>
            <w:vAlign w:val="center"/>
            <w:hideMark/>
          </w:tcPr>
          <w:p w14:paraId="6B6DD494"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6F8110EC"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0B207630" w14:textId="77777777" w:rsidTr="00AD7B87">
        <w:trPr>
          <w:trHeight w:val="340"/>
        </w:trPr>
        <w:tc>
          <w:tcPr>
            <w:tcW w:w="5529" w:type="dxa"/>
            <w:noWrap/>
            <w:vAlign w:val="center"/>
            <w:hideMark/>
          </w:tcPr>
          <w:p w14:paraId="6CEA36A0"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Washington</w:t>
            </w:r>
          </w:p>
        </w:tc>
        <w:tc>
          <w:tcPr>
            <w:tcW w:w="1440" w:type="dxa"/>
            <w:noWrap/>
            <w:vAlign w:val="center"/>
            <w:hideMark/>
          </w:tcPr>
          <w:p w14:paraId="703E7FAC"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28B4EAE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3FA3D49E"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38F437EB" w14:textId="77777777" w:rsidTr="00AD7B87">
        <w:trPr>
          <w:trHeight w:val="340"/>
        </w:trPr>
        <w:tc>
          <w:tcPr>
            <w:tcW w:w="5529" w:type="dxa"/>
            <w:noWrap/>
            <w:vAlign w:val="center"/>
            <w:hideMark/>
          </w:tcPr>
          <w:p w14:paraId="7762B92B"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King's College London</w:t>
            </w:r>
          </w:p>
        </w:tc>
        <w:tc>
          <w:tcPr>
            <w:tcW w:w="1440" w:type="dxa"/>
            <w:noWrap/>
            <w:vAlign w:val="center"/>
            <w:hideMark/>
          </w:tcPr>
          <w:p w14:paraId="2166AD7F"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UK</w:t>
            </w:r>
          </w:p>
        </w:tc>
        <w:tc>
          <w:tcPr>
            <w:tcW w:w="977" w:type="dxa"/>
            <w:noWrap/>
            <w:vAlign w:val="center"/>
            <w:hideMark/>
          </w:tcPr>
          <w:p w14:paraId="7B1A92D0"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457F1FD0"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21CF2105" w14:textId="77777777" w:rsidTr="00AD7B87">
        <w:trPr>
          <w:trHeight w:val="340"/>
        </w:trPr>
        <w:tc>
          <w:tcPr>
            <w:tcW w:w="5529" w:type="dxa"/>
            <w:noWrap/>
            <w:vAlign w:val="center"/>
            <w:hideMark/>
          </w:tcPr>
          <w:p w14:paraId="0C12058C"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Radboud University Nijmegen</w:t>
            </w:r>
          </w:p>
        </w:tc>
        <w:tc>
          <w:tcPr>
            <w:tcW w:w="1440" w:type="dxa"/>
            <w:noWrap/>
            <w:vAlign w:val="center"/>
            <w:hideMark/>
          </w:tcPr>
          <w:p w14:paraId="2A6B70C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Netherlands</w:t>
            </w:r>
          </w:p>
        </w:tc>
        <w:tc>
          <w:tcPr>
            <w:tcW w:w="977" w:type="dxa"/>
            <w:noWrap/>
            <w:vAlign w:val="center"/>
            <w:hideMark/>
          </w:tcPr>
          <w:p w14:paraId="76D33100"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1F0BC69C"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4FFC87A3" w14:textId="77777777" w:rsidTr="00AD7B87">
        <w:trPr>
          <w:trHeight w:val="340"/>
        </w:trPr>
        <w:tc>
          <w:tcPr>
            <w:tcW w:w="5529" w:type="dxa"/>
            <w:noWrap/>
            <w:vAlign w:val="center"/>
            <w:hideMark/>
          </w:tcPr>
          <w:p w14:paraId="22328832"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Université Claude Bernard</w:t>
            </w:r>
          </w:p>
        </w:tc>
        <w:tc>
          <w:tcPr>
            <w:tcW w:w="1440" w:type="dxa"/>
            <w:noWrap/>
            <w:vAlign w:val="center"/>
            <w:hideMark/>
          </w:tcPr>
          <w:p w14:paraId="079FB5AB"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France</w:t>
            </w:r>
          </w:p>
        </w:tc>
        <w:tc>
          <w:tcPr>
            <w:tcW w:w="977" w:type="dxa"/>
            <w:noWrap/>
            <w:vAlign w:val="center"/>
            <w:hideMark/>
          </w:tcPr>
          <w:p w14:paraId="150909E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16CCF5C0"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40CB5CD3" w14:textId="77777777" w:rsidTr="00AD7B87">
        <w:trPr>
          <w:trHeight w:val="340"/>
        </w:trPr>
        <w:tc>
          <w:tcPr>
            <w:tcW w:w="5529" w:type="dxa"/>
            <w:noWrap/>
            <w:vAlign w:val="center"/>
            <w:hideMark/>
          </w:tcPr>
          <w:p w14:paraId="25EC5D98"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Liverpool School of Tropical Medicine</w:t>
            </w:r>
          </w:p>
        </w:tc>
        <w:tc>
          <w:tcPr>
            <w:tcW w:w="1440" w:type="dxa"/>
            <w:noWrap/>
            <w:vAlign w:val="center"/>
            <w:hideMark/>
          </w:tcPr>
          <w:p w14:paraId="77CF60D7"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UK</w:t>
            </w:r>
          </w:p>
        </w:tc>
        <w:tc>
          <w:tcPr>
            <w:tcW w:w="977" w:type="dxa"/>
            <w:noWrap/>
            <w:vAlign w:val="center"/>
            <w:hideMark/>
          </w:tcPr>
          <w:p w14:paraId="69C3030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7958052C"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4CE4259E" w14:textId="77777777" w:rsidTr="00AD7B87">
        <w:trPr>
          <w:trHeight w:val="340"/>
        </w:trPr>
        <w:tc>
          <w:tcPr>
            <w:tcW w:w="5529" w:type="dxa"/>
            <w:noWrap/>
            <w:vAlign w:val="center"/>
            <w:hideMark/>
          </w:tcPr>
          <w:p w14:paraId="54B4DD99"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Ernst-Moritz-Arndt-Universität Greifswald (University of Greifswald)</w:t>
            </w:r>
          </w:p>
        </w:tc>
        <w:tc>
          <w:tcPr>
            <w:tcW w:w="1440" w:type="dxa"/>
            <w:noWrap/>
            <w:vAlign w:val="center"/>
            <w:hideMark/>
          </w:tcPr>
          <w:p w14:paraId="39A6135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Germany</w:t>
            </w:r>
          </w:p>
        </w:tc>
        <w:tc>
          <w:tcPr>
            <w:tcW w:w="977" w:type="dxa"/>
            <w:noWrap/>
            <w:vAlign w:val="center"/>
            <w:hideMark/>
          </w:tcPr>
          <w:p w14:paraId="3340EBDD"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5CA54F68"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4D093A76" w14:textId="77777777" w:rsidTr="00AD7B87">
        <w:trPr>
          <w:trHeight w:val="340"/>
        </w:trPr>
        <w:tc>
          <w:tcPr>
            <w:tcW w:w="5529" w:type="dxa"/>
            <w:noWrap/>
            <w:vAlign w:val="center"/>
            <w:hideMark/>
          </w:tcPr>
          <w:p w14:paraId="6783FA42"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University of Illinois</w:t>
            </w:r>
          </w:p>
        </w:tc>
        <w:tc>
          <w:tcPr>
            <w:tcW w:w="1440" w:type="dxa"/>
            <w:noWrap/>
            <w:vAlign w:val="center"/>
            <w:hideMark/>
          </w:tcPr>
          <w:p w14:paraId="4D24AA57"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12A7A8D2"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45043244"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4A80534C" w14:textId="77777777" w:rsidTr="00AD7B87">
        <w:trPr>
          <w:trHeight w:val="340"/>
        </w:trPr>
        <w:tc>
          <w:tcPr>
            <w:tcW w:w="5529" w:type="dxa"/>
            <w:noWrap/>
            <w:vAlign w:val="center"/>
            <w:hideMark/>
          </w:tcPr>
          <w:p w14:paraId="76149FF3"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Aarhus University</w:t>
            </w:r>
          </w:p>
        </w:tc>
        <w:tc>
          <w:tcPr>
            <w:tcW w:w="1440" w:type="dxa"/>
            <w:noWrap/>
            <w:vAlign w:val="center"/>
            <w:hideMark/>
          </w:tcPr>
          <w:p w14:paraId="10491A60"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Denmark</w:t>
            </w:r>
          </w:p>
        </w:tc>
        <w:tc>
          <w:tcPr>
            <w:tcW w:w="977" w:type="dxa"/>
            <w:noWrap/>
            <w:vAlign w:val="center"/>
            <w:hideMark/>
          </w:tcPr>
          <w:p w14:paraId="5F859A5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237E975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5AAA4055" w14:textId="77777777" w:rsidTr="00AD7B87">
        <w:trPr>
          <w:trHeight w:val="340"/>
        </w:trPr>
        <w:tc>
          <w:tcPr>
            <w:tcW w:w="5529" w:type="dxa"/>
            <w:noWrap/>
            <w:vAlign w:val="center"/>
            <w:hideMark/>
          </w:tcPr>
          <w:p w14:paraId="38086606" w14:textId="77777777" w:rsidR="00121E13" w:rsidRDefault="00121E13" w:rsidP="00AD7B87">
            <w:pPr>
              <w:spacing w:after="0" w:line="240" w:lineRule="auto"/>
              <w:rPr>
                <w:rFonts w:eastAsia="Times New Roman" w:cs="Times New Roman"/>
                <w:color w:val="000000"/>
                <w:sz w:val="20"/>
                <w:szCs w:val="20"/>
                <w:lang w:val="fr-FR"/>
              </w:rPr>
            </w:pPr>
            <w:r>
              <w:rPr>
                <w:rFonts w:eastAsia="Times New Roman" w:cs="Times New Roman"/>
                <w:color w:val="000000"/>
                <w:sz w:val="20"/>
                <w:szCs w:val="20"/>
                <w:lang w:val="fr-FR"/>
              </w:rPr>
              <w:t>Institut d'etudes politiques de Grenoble</w:t>
            </w:r>
          </w:p>
        </w:tc>
        <w:tc>
          <w:tcPr>
            <w:tcW w:w="1440" w:type="dxa"/>
            <w:noWrap/>
            <w:vAlign w:val="center"/>
            <w:hideMark/>
          </w:tcPr>
          <w:p w14:paraId="353EBEBC" w14:textId="77777777" w:rsidR="00121E13" w:rsidRDefault="00121E13" w:rsidP="00AD7B87">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fr-FR"/>
              </w:rPr>
              <w:t>France</w:t>
            </w:r>
          </w:p>
        </w:tc>
        <w:tc>
          <w:tcPr>
            <w:tcW w:w="977" w:type="dxa"/>
            <w:noWrap/>
            <w:vAlign w:val="center"/>
            <w:hideMark/>
          </w:tcPr>
          <w:p w14:paraId="432801DF"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70DC9E1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39146ED0" w14:textId="77777777" w:rsidTr="00AD7B87">
        <w:trPr>
          <w:trHeight w:val="340"/>
        </w:trPr>
        <w:tc>
          <w:tcPr>
            <w:tcW w:w="5529" w:type="dxa"/>
            <w:noWrap/>
            <w:vAlign w:val="center"/>
            <w:hideMark/>
          </w:tcPr>
          <w:p w14:paraId="5072E481"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Graduate Institute of International and Development Studies</w:t>
            </w:r>
          </w:p>
        </w:tc>
        <w:tc>
          <w:tcPr>
            <w:tcW w:w="1440" w:type="dxa"/>
            <w:noWrap/>
            <w:vAlign w:val="center"/>
            <w:hideMark/>
          </w:tcPr>
          <w:p w14:paraId="62B50AB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Switzerland</w:t>
            </w:r>
          </w:p>
        </w:tc>
        <w:tc>
          <w:tcPr>
            <w:tcW w:w="977" w:type="dxa"/>
            <w:noWrap/>
            <w:vAlign w:val="center"/>
            <w:hideMark/>
          </w:tcPr>
          <w:p w14:paraId="56691739"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18ACD28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279163FF" w14:textId="77777777" w:rsidTr="00AD7B87">
        <w:trPr>
          <w:trHeight w:val="340"/>
        </w:trPr>
        <w:tc>
          <w:tcPr>
            <w:tcW w:w="5529" w:type="dxa"/>
            <w:noWrap/>
            <w:vAlign w:val="center"/>
            <w:hideMark/>
          </w:tcPr>
          <w:p w14:paraId="5FEBF422"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McGill University</w:t>
            </w:r>
          </w:p>
        </w:tc>
        <w:tc>
          <w:tcPr>
            <w:tcW w:w="1440" w:type="dxa"/>
            <w:noWrap/>
            <w:vAlign w:val="center"/>
            <w:hideMark/>
          </w:tcPr>
          <w:p w14:paraId="7A019CA2"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Canada</w:t>
            </w:r>
          </w:p>
        </w:tc>
        <w:tc>
          <w:tcPr>
            <w:tcW w:w="977" w:type="dxa"/>
            <w:noWrap/>
            <w:vAlign w:val="center"/>
            <w:hideMark/>
          </w:tcPr>
          <w:p w14:paraId="2AE2DC5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5C2C38F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5501C3DA" w14:textId="77777777" w:rsidTr="00AD7B87">
        <w:trPr>
          <w:trHeight w:val="340"/>
        </w:trPr>
        <w:tc>
          <w:tcPr>
            <w:tcW w:w="5529" w:type="dxa"/>
            <w:noWrap/>
            <w:vAlign w:val="center"/>
            <w:hideMark/>
          </w:tcPr>
          <w:p w14:paraId="0FB5FD70"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Université Catholique de Louvain</w:t>
            </w:r>
          </w:p>
        </w:tc>
        <w:tc>
          <w:tcPr>
            <w:tcW w:w="1440" w:type="dxa"/>
            <w:noWrap/>
            <w:vAlign w:val="center"/>
            <w:hideMark/>
          </w:tcPr>
          <w:p w14:paraId="53C87652"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Belgium</w:t>
            </w:r>
          </w:p>
        </w:tc>
        <w:tc>
          <w:tcPr>
            <w:tcW w:w="977" w:type="dxa"/>
            <w:noWrap/>
            <w:vAlign w:val="center"/>
            <w:hideMark/>
          </w:tcPr>
          <w:p w14:paraId="4C701050"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022EB5D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35A591CB" w14:textId="77777777" w:rsidTr="00AD7B87">
        <w:trPr>
          <w:trHeight w:val="340"/>
        </w:trPr>
        <w:tc>
          <w:tcPr>
            <w:tcW w:w="5529" w:type="dxa"/>
            <w:noWrap/>
            <w:vAlign w:val="center"/>
            <w:hideMark/>
          </w:tcPr>
          <w:p w14:paraId="3FC3737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Alabama</w:t>
            </w:r>
          </w:p>
        </w:tc>
        <w:tc>
          <w:tcPr>
            <w:tcW w:w="1440" w:type="dxa"/>
            <w:noWrap/>
            <w:vAlign w:val="center"/>
            <w:hideMark/>
          </w:tcPr>
          <w:p w14:paraId="48326577"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506B6504"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430F1BAD"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5A6F31CE" w14:textId="77777777" w:rsidTr="00AD7B87">
        <w:trPr>
          <w:trHeight w:val="340"/>
        </w:trPr>
        <w:tc>
          <w:tcPr>
            <w:tcW w:w="5529" w:type="dxa"/>
            <w:noWrap/>
            <w:vAlign w:val="center"/>
            <w:hideMark/>
          </w:tcPr>
          <w:p w14:paraId="2BD6D95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Birmingham</w:t>
            </w:r>
          </w:p>
        </w:tc>
        <w:tc>
          <w:tcPr>
            <w:tcW w:w="1440" w:type="dxa"/>
            <w:noWrap/>
            <w:vAlign w:val="center"/>
            <w:hideMark/>
          </w:tcPr>
          <w:p w14:paraId="6C5C81BF"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UK</w:t>
            </w:r>
          </w:p>
        </w:tc>
        <w:tc>
          <w:tcPr>
            <w:tcW w:w="977" w:type="dxa"/>
            <w:noWrap/>
            <w:vAlign w:val="center"/>
            <w:hideMark/>
          </w:tcPr>
          <w:p w14:paraId="33EA5D7F"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4111943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44B5ABB4" w14:textId="77777777" w:rsidTr="00AD7B87">
        <w:trPr>
          <w:trHeight w:val="340"/>
        </w:trPr>
        <w:tc>
          <w:tcPr>
            <w:tcW w:w="5529" w:type="dxa"/>
            <w:noWrap/>
            <w:vAlign w:val="center"/>
            <w:hideMark/>
          </w:tcPr>
          <w:p w14:paraId="76D69E6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North Carolina</w:t>
            </w:r>
          </w:p>
        </w:tc>
        <w:tc>
          <w:tcPr>
            <w:tcW w:w="1440" w:type="dxa"/>
            <w:noWrap/>
            <w:vAlign w:val="center"/>
            <w:hideMark/>
          </w:tcPr>
          <w:p w14:paraId="2287A4D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48CBBAA0"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4AC362E4"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52C0E708" w14:textId="77777777" w:rsidTr="00AD7B87">
        <w:trPr>
          <w:trHeight w:val="340"/>
        </w:trPr>
        <w:tc>
          <w:tcPr>
            <w:tcW w:w="5529" w:type="dxa"/>
            <w:noWrap/>
            <w:vAlign w:val="center"/>
            <w:hideMark/>
          </w:tcPr>
          <w:p w14:paraId="0889014B"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Sydney</w:t>
            </w:r>
          </w:p>
        </w:tc>
        <w:tc>
          <w:tcPr>
            <w:tcW w:w="1440" w:type="dxa"/>
            <w:noWrap/>
            <w:vAlign w:val="center"/>
            <w:hideMark/>
          </w:tcPr>
          <w:p w14:paraId="0B03591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Australia</w:t>
            </w:r>
          </w:p>
        </w:tc>
        <w:tc>
          <w:tcPr>
            <w:tcW w:w="977" w:type="dxa"/>
            <w:noWrap/>
            <w:vAlign w:val="center"/>
            <w:hideMark/>
          </w:tcPr>
          <w:p w14:paraId="1A7E7039"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7FA4078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082C2F0C" w14:textId="77777777" w:rsidTr="00AD7B87">
        <w:trPr>
          <w:trHeight w:val="340"/>
        </w:trPr>
        <w:tc>
          <w:tcPr>
            <w:tcW w:w="5529" w:type="dxa"/>
            <w:noWrap/>
            <w:vAlign w:val="center"/>
            <w:hideMark/>
          </w:tcPr>
          <w:p w14:paraId="4D6C11D2"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Toronto</w:t>
            </w:r>
          </w:p>
        </w:tc>
        <w:tc>
          <w:tcPr>
            <w:tcW w:w="1440" w:type="dxa"/>
            <w:noWrap/>
            <w:vAlign w:val="center"/>
            <w:hideMark/>
          </w:tcPr>
          <w:p w14:paraId="45F47F0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Canada</w:t>
            </w:r>
          </w:p>
        </w:tc>
        <w:tc>
          <w:tcPr>
            <w:tcW w:w="977" w:type="dxa"/>
            <w:noWrap/>
            <w:vAlign w:val="center"/>
            <w:hideMark/>
          </w:tcPr>
          <w:p w14:paraId="4FBB06C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550050E4"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512EAA61" w14:textId="77777777" w:rsidTr="00AD7B87">
        <w:trPr>
          <w:trHeight w:val="340"/>
        </w:trPr>
        <w:tc>
          <w:tcPr>
            <w:tcW w:w="5529" w:type="dxa"/>
            <w:noWrap/>
            <w:vAlign w:val="center"/>
            <w:hideMark/>
          </w:tcPr>
          <w:p w14:paraId="2215884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of Western Australia</w:t>
            </w:r>
          </w:p>
        </w:tc>
        <w:tc>
          <w:tcPr>
            <w:tcW w:w="1440" w:type="dxa"/>
            <w:noWrap/>
            <w:vAlign w:val="center"/>
            <w:hideMark/>
          </w:tcPr>
          <w:p w14:paraId="2F199FA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Australia</w:t>
            </w:r>
          </w:p>
        </w:tc>
        <w:tc>
          <w:tcPr>
            <w:tcW w:w="977" w:type="dxa"/>
            <w:noWrap/>
            <w:vAlign w:val="center"/>
            <w:hideMark/>
          </w:tcPr>
          <w:p w14:paraId="050E825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18AA1D3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77787822" w14:textId="77777777" w:rsidTr="00AD7B87">
        <w:trPr>
          <w:trHeight w:val="340"/>
        </w:trPr>
        <w:tc>
          <w:tcPr>
            <w:tcW w:w="5529" w:type="dxa"/>
            <w:noWrap/>
            <w:vAlign w:val="center"/>
            <w:hideMark/>
          </w:tcPr>
          <w:p w14:paraId="064B3351"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Hebrew University, Jerusalem</w:t>
            </w:r>
          </w:p>
        </w:tc>
        <w:tc>
          <w:tcPr>
            <w:tcW w:w="1440" w:type="dxa"/>
            <w:noWrap/>
            <w:vAlign w:val="center"/>
            <w:hideMark/>
          </w:tcPr>
          <w:p w14:paraId="0DFC695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North</w:t>
            </w:r>
          </w:p>
        </w:tc>
        <w:tc>
          <w:tcPr>
            <w:tcW w:w="977" w:type="dxa"/>
            <w:noWrap/>
            <w:vAlign w:val="center"/>
            <w:hideMark/>
          </w:tcPr>
          <w:p w14:paraId="276304CE"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1CBC1B8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56D111C5" w14:textId="77777777" w:rsidTr="00AD7B87">
        <w:trPr>
          <w:trHeight w:val="340"/>
        </w:trPr>
        <w:tc>
          <w:tcPr>
            <w:tcW w:w="5529" w:type="dxa"/>
            <w:noWrap/>
            <w:vAlign w:val="center"/>
            <w:hideMark/>
          </w:tcPr>
          <w:p w14:paraId="63A5A0B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Vrije Universitat Amsterdam</w:t>
            </w:r>
          </w:p>
        </w:tc>
        <w:tc>
          <w:tcPr>
            <w:tcW w:w="1440" w:type="dxa"/>
            <w:noWrap/>
            <w:vAlign w:val="center"/>
            <w:hideMark/>
          </w:tcPr>
          <w:p w14:paraId="6414848B"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Netherlands</w:t>
            </w:r>
          </w:p>
        </w:tc>
        <w:tc>
          <w:tcPr>
            <w:tcW w:w="977" w:type="dxa"/>
            <w:noWrap/>
            <w:vAlign w:val="center"/>
            <w:hideMark/>
          </w:tcPr>
          <w:p w14:paraId="022DBB7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2F7C839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3A2C97FC" w14:textId="77777777" w:rsidTr="00AD7B87">
        <w:trPr>
          <w:trHeight w:val="340"/>
        </w:trPr>
        <w:tc>
          <w:tcPr>
            <w:tcW w:w="5529" w:type="dxa"/>
            <w:noWrap/>
            <w:vAlign w:val="center"/>
            <w:hideMark/>
          </w:tcPr>
          <w:p w14:paraId="2DA3A23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rPr>
              <w:t>Concordia University</w:t>
            </w:r>
          </w:p>
        </w:tc>
        <w:tc>
          <w:tcPr>
            <w:tcW w:w="1440" w:type="dxa"/>
            <w:noWrap/>
            <w:vAlign w:val="center"/>
            <w:hideMark/>
          </w:tcPr>
          <w:p w14:paraId="7992BDD1"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rPr>
              <w:t>Canada</w:t>
            </w:r>
          </w:p>
        </w:tc>
        <w:tc>
          <w:tcPr>
            <w:tcW w:w="977" w:type="dxa"/>
            <w:noWrap/>
            <w:vAlign w:val="center"/>
            <w:hideMark/>
          </w:tcPr>
          <w:p w14:paraId="0D88F0B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rPr>
              <w:t>1</w:t>
            </w:r>
          </w:p>
        </w:tc>
        <w:tc>
          <w:tcPr>
            <w:tcW w:w="1116" w:type="dxa"/>
            <w:noWrap/>
            <w:vAlign w:val="center"/>
            <w:hideMark/>
          </w:tcPr>
          <w:p w14:paraId="598764A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53A911CD" w14:textId="77777777" w:rsidTr="00AD7B87">
        <w:trPr>
          <w:trHeight w:val="340"/>
        </w:trPr>
        <w:tc>
          <w:tcPr>
            <w:tcW w:w="5529" w:type="dxa"/>
            <w:noWrap/>
            <w:vAlign w:val="center"/>
            <w:hideMark/>
          </w:tcPr>
          <w:p w14:paraId="5BCF5F0F"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Yale School of Public Health</w:t>
            </w:r>
          </w:p>
        </w:tc>
        <w:tc>
          <w:tcPr>
            <w:tcW w:w="1440" w:type="dxa"/>
            <w:noWrap/>
            <w:vAlign w:val="center"/>
            <w:hideMark/>
          </w:tcPr>
          <w:p w14:paraId="3D7EAB59"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3F805A8F"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3A1F0900"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5B33EC53" w14:textId="77777777" w:rsidTr="00AD7B87">
        <w:trPr>
          <w:trHeight w:val="340"/>
        </w:trPr>
        <w:tc>
          <w:tcPr>
            <w:tcW w:w="5529" w:type="dxa"/>
            <w:noWrap/>
            <w:vAlign w:val="center"/>
            <w:hideMark/>
          </w:tcPr>
          <w:p w14:paraId="181CC64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1440" w:type="dxa"/>
            <w:noWrap/>
            <w:vAlign w:val="center"/>
            <w:hideMark/>
          </w:tcPr>
          <w:p w14:paraId="22EF85B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977" w:type="dxa"/>
            <w:noWrap/>
            <w:vAlign w:val="center"/>
            <w:hideMark/>
          </w:tcPr>
          <w:p w14:paraId="59E94A84"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100</w:t>
            </w:r>
          </w:p>
        </w:tc>
        <w:tc>
          <w:tcPr>
            <w:tcW w:w="1116" w:type="dxa"/>
            <w:noWrap/>
            <w:vAlign w:val="center"/>
            <w:hideMark/>
          </w:tcPr>
          <w:p w14:paraId="65DC9B0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40.7%</w:t>
            </w:r>
          </w:p>
        </w:tc>
      </w:tr>
      <w:tr w:rsidR="00121E13" w:rsidRPr="004222B6" w14:paraId="6D955AE1" w14:textId="77777777" w:rsidTr="00AD7B87">
        <w:trPr>
          <w:trHeight w:val="340"/>
        </w:trPr>
        <w:tc>
          <w:tcPr>
            <w:tcW w:w="5529" w:type="dxa"/>
            <w:noWrap/>
            <w:vAlign w:val="center"/>
            <w:hideMark/>
          </w:tcPr>
          <w:p w14:paraId="71FE205D"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NORTHERN RESEARCH INSTITUTES AND GROUPS (NON UNIVERSITY)</w:t>
            </w:r>
          </w:p>
        </w:tc>
        <w:tc>
          <w:tcPr>
            <w:tcW w:w="1440" w:type="dxa"/>
            <w:noWrap/>
            <w:vAlign w:val="center"/>
            <w:hideMark/>
          </w:tcPr>
          <w:p w14:paraId="3D2C856C"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 </w:t>
            </w:r>
          </w:p>
        </w:tc>
        <w:tc>
          <w:tcPr>
            <w:tcW w:w="977" w:type="dxa"/>
            <w:noWrap/>
            <w:vAlign w:val="center"/>
            <w:hideMark/>
          </w:tcPr>
          <w:p w14:paraId="700760F7"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 </w:t>
            </w:r>
          </w:p>
        </w:tc>
        <w:tc>
          <w:tcPr>
            <w:tcW w:w="1116" w:type="dxa"/>
            <w:noWrap/>
            <w:vAlign w:val="center"/>
            <w:hideMark/>
          </w:tcPr>
          <w:p w14:paraId="661FD0AD" w14:textId="77777777" w:rsidR="00121E13" w:rsidRPr="00121E13" w:rsidRDefault="00121E13" w:rsidP="00AD7B87">
            <w:pPr>
              <w:spacing w:after="0" w:line="240" w:lineRule="auto"/>
              <w:jc w:val="right"/>
              <w:rPr>
                <w:rFonts w:eastAsia="Times New Roman" w:cs="Times New Roman"/>
                <w:color w:val="000000"/>
                <w:sz w:val="20"/>
                <w:szCs w:val="20"/>
                <w:lang w:val="en-CA"/>
              </w:rPr>
            </w:pPr>
            <w:r w:rsidRPr="00121E13">
              <w:rPr>
                <w:rFonts w:eastAsia="Times New Roman" w:cs="Times New Roman"/>
                <w:color w:val="000000"/>
                <w:sz w:val="20"/>
                <w:szCs w:val="20"/>
                <w:lang w:val="en-CA"/>
              </w:rPr>
              <w:t> </w:t>
            </w:r>
          </w:p>
        </w:tc>
      </w:tr>
      <w:tr w:rsidR="00121E13" w14:paraId="74DDB91B" w14:textId="77777777" w:rsidTr="00AD7B87">
        <w:trPr>
          <w:trHeight w:val="340"/>
        </w:trPr>
        <w:tc>
          <w:tcPr>
            <w:tcW w:w="5529" w:type="dxa"/>
            <w:noWrap/>
            <w:vAlign w:val="center"/>
            <w:hideMark/>
          </w:tcPr>
          <w:p w14:paraId="15CC685F" w14:textId="77777777" w:rsidR="00121E13" w:rsidRDefault="00121E13" w:rsidP="00AD7B87">
            <w:pPr>
              <w:spacing w:after="0" w:line="240" w:lineRule="auto"/>
              <w:rPr>
                <w:rFonts w:eastAsia="Times New Roman" w:cs="Times New Roman"/>
                <w:color w:val="000000"/>
                <w:sz w:val="20"/>
                <w:szCs w:val="20"/>
                <w:lang w:val="fr-FR"/>
              </w:rPr>
            </w:pPr>
            <w:r w:rsidRPr="00121E13">
              <w:rPr>
                <w:rFonts w:eastAsia="Times New Roman" w:cs="Times New Roman"/>
                <w:color w:val="000000"/>
                <w:sz w:val="20"/>
                <w:szCs w:val="20"/>
                <w:lang w:val="en-CA"/>
              </w:rPr>
              <w:t xml:space="preserve"> </w:t>
            </w:r>
            <w:r>
              <w:rPr>
                <w:rFonts w:eastAsia="Times New Roman" w:cs="Times New Roman"/>
                <w:color w:val="000000"/>
                <w:sz w:val="20"/>
                <w:szCs w:val="20"/>
                <w:lang w:val="fr-FR"/>
              </w:rPr>
              <w:t>Institut français de recherche scientifique pour le développement en coopération</w:t>
            </w:r>
          </w:p>
        </w:tc>
        <w:tc>
          <w:tcPr>
            <w:tcW w:w="1440" w:type="dxa"/>
            <w:noWrap/>
            <w:vAlign w:val="center"/>
            <w:hideMark/>
          </w:tcPr>
          <w:p w14:paraId="5DCCB716" w14:textId="77777777" w:rsidR="00121E13" w:rsidRDefault="00121E13" w:rsidP="00AD7B87">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fr-FR"/>
              </w:rPr>
              <w:t>North</w:t>
            </w:r>
          </w:p>
        </w:tc>
        <w:tc>
          <w:tcPr>
            <w:tcW w:w="977" w:type="dxa"/>
            <w:noWrap/>
            <w:vAlign w:val="center"/>
            <w:hideMark/>
          </w:tcPr>
          <w:p w14:paraId="1198B82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2ADCD4D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0E37C6EE" w14:textId="77777777" w:rsidTr="00AD7B87">
        <w:trPr>
          <w:trHeight w:val="340"/>
        </w:trPr>
        <w:tc>
          <w:tcPr>
            <w:tcW w:w="5529" w:type="dxa"/>
            <w:noWrap/>
            <w:vAlign w:val="center"/>
            <w:hideMark/>
          </w:tcPr>
          <w:p w14:paraId="791336D1"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Centre de Recherche Warocqué</w:t>
            </w:r>
          </w:p>
        </w:tc>
        <w:tc>
          <w:tcPr>
            <w:tcW w:w="1440" w:type="dxa"/>
            <w:noWrap/>
            <w:vAlign w:val="center"/>
            <w:hideMark/>
          </w:tcPr>
          <w:p w14:paraId="712AF36C"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Belgium</w:t>
            </w:r>
          </w:p>
        </w:tc>
        <w:tc>
          <w:tcPr>
            <w:tcW w:w="977" w:type="dxa"/>
            <w:noWrap/>
            <w:vAlign w:val="center"/>
            <w:hideMark/>
          </w:tcPr>
          <w:p w14:paraId="17C96E0C"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258F86EC"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453C8D5C" w14:textId="77777777" w:rsidTr="00AD7B87">
        <w:trPr>
          <w:trHeight w:val="340"/>
        </w:trPr>
        <w:tc>
          <w:tcPr>
            <w:tcW w:w="5529" w:type="dxa"/>
            <w:noWrap/>
            <w:vAlign w:val="center"/>
            <w:hideMark/>
          </w:tcPr>
          <w:p w14:paraId="0CD75EF9"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Institute for Medical Technology Assessment</w:t>
            </w:r>
          </w:p>
        </w:tc>
        <w:tc>
          <w:tcPr>
            <w:tcW w:w="1440" w:type="dxa"/>
            <w:noWrap/>
            <w:vAlign w:val="center"/>
            <w:hideMark/>
          </w:tcPr>
          <w:p w14:paraId="3D632703"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Netherlands</w:t>
            </w:r>
          </w:p>
        </w:tc>
        <w:tc>
          <w:tcPr>
            <w:tcW w:w="977" w:type="dxa"/>
            <w:noWrap/>
            <w:vAlign w:val="center"/>
            <w:hideMark/>
          </w:tcPr>
          <w:p w14:paraId="1FDC6C8B"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663CCAC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03B9C99F" w14:textId="77777777" w:rsidTr="00AD7B87">
        <w:trPr>
          <w:trHeight w:val="340"/>
        </w:trPr>
        <w:tc>
          <w:tcPr>
            <w:tcW w:w="5529" w:type="dxa"/>
            <w:noWrap/>
            <w:vAlign w:val="center"/>
            <w:hideMark/>
          </w:tcPr>
          <w:p w14:paraId="3F07E46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Institute of Development Studies</w:t>
            </w:r>
          </w:p>
        </w:tc>
        <w:tc>
          <w:tcPr>
            <w:tcW w:w="1440" w:type="dxa"/>
            <w:noWrap/>
            <w:vAlign w:val="center"/>
            <w:hideMark/>
          </w:tcPr>
          <w:p w14:paraId="2CD319EB"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UK</w:t>
            </w:r>
          </w:p>
        </w:tc>
        <w:tc>
          <w:tcPr>
            <w:tcW w:w="977" w:type="dxa"/>
            <w:noWrap/>
            <w:vAlign w:val="center"/>
            <w:hideMark/>
          </w:tcPr>
          <w:p w14:paraId="39960A90"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4C20070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78769914" w14:textId="77777777" w:rsidTr="00AD7B87">
        <w:trPr>
          <w:trHeight w:val="340"/>
        </w:trPr>
        <w:tc>
          <w:tcPr>
            <w:tcW w:w="5529" w:type="dxa"/>
            <w:noWrap/>
            <w:vAlign w:val="center"/>
            <w:hideMark/>
          </w:tcPr>
          <w:p w14:paraId="09788FD6"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Institute of Tropical Medicine-Antwerp</w:t>
            </w:r>
          </w:p>
        </w:tc>
        <w:tc>
          <w:tcPr>
            <w:tcW w:w="1440" w:type="dxa"/>
            <w:noWrap/>
            <w:vAlign w:val="center"/>
            <w:hideMark/>
          </w:tcPr>
          <w:p w14:paraId="7132CB9F"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Belgium</w:t>
            </w:r>
          </w:p>
        </w:tc>
        <w:tc>
          <w:tcPr>
            <w:tcW w:w="977" w:type="dxa"/>
            <w:noWrap/>
            <w:vAlign w:val="center"/>
            <w:hideMark/>
          </w:tcPr>
          <w:p w14:paraId="44BA8C8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4</w:t>
            </w:r>
          </w:p>
        </w:tc>
        <w:tc>
          <w:tcPr>
            <w:tcW w:w="1116" w:type="dxa"/>
            <w:noWrap/>
            <w:vAlign w:val="center"/>
            <w:hideMark/>
          </w:tcPr>
          <w:p w14:paraId="43ADAA99"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1.6%</w:t>
            </w:r>
          </w:p>
        </w:tc>
      </w:tr>
      <w:tr w:rsidR="00121E13" w14:paraId="507BD787" w14:textId="77777777" w:rsidTr="00AD7B87">
        <w:trPr>
          <w:trHeight w:val="340"/>
        </w:trPr>
        <w:tc>
          <w:tcPr>
            <w:tcW w:w="5529" w:type="dxa"/>
            <w:noWrap/>
            <w:vAlign w:val="center"/>
            <w:hideMark/>
          </w:tcPr>
          <w:p w14:paraId="78DB8AE0"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Memorial Sloan-Kettering Cancer Center</w:t>
            </w:r>
          </w:p>
        </w:tc>
        <w:tc>
          <w:tcPr>
            <w:tcW w:w="1440" w:type="dxa"/>
            <w:noWrap/>
            <w:vAlign w:val="center"/>
            <w:hideMark/>
          </w:tcPr>
          <w:p w14:paraId="196BA1E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512EA508"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057E11C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7A2B6922" w14:textId="77777777" w:rsidTr="00AD7B87">
        <w:trPr>
          <w:trHeight w:val="340"/>
        </w:trPr>
        <w:tc>
          <w:tcPr>
            <w:tcW w:w="5529" w:type="dxa"/>
            <w:noWrap/>
            <w:vAlign w:val="center"/>
            <w:hideMark/>
          </w:tcPr>
          <w:p w14:paraId="3A083BA5"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Royal Tropical Institute</w:t>
            </w:r>
          </w:p>
        </w:tc>
        <w:tc>
          <w:tcPr>
            <w:tcW w:w="1440" w:type="dxa"/>
            <w:noWrap/>
            <w:vAlign w:val="center"/>
            <w:hideMark/>
          </w:tcPr>
          <w:p w14:paraId="68E50E7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Netherlands</w:t>
            </w:r>
          </w:p>
        </w:tc>
        <w:tc>
          <w:tcPr>
            <w:tcW w:w="977" w:type="dxa"/>
            <w:noWrap/>
            <w:vAlign w:val="center"/>
            <w:hideMark/>
          </w:tcPr>
          <w:p w14:paraId="3668F02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72D1EAD9"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1A23E6A2" w14:textId="77777777" w:rsidTr="00AD7B87">
        <w:trPr>
          <w:trHeight w:val="340"/>
        </w:trPr>
        <w:tc>
          <w:tcPr>
            <w:tcW w:w="5529" w:type="dxa"/>
            <w:noWrap/>
            <w:vAlign w:val="center"/>
            <w:hideMark/>
          </w:tcPr>
          <w:p w14:paraId="6E6D498A"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1440" w:type="dxa"/>
            <w:noWrap/>
            <w:vAlign w:val="center"/>
            <w:hideMark/>
          </w:tcPr>
          <w:p w14:paraId="71AB2DA3"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977" w:type="dxa"/>
            <w:noWrap/>
            <w:vAlign w:val="center"/>
            <w:hideMark/>
          </w:tcPr>
          <w:p w14:paraId="4F02C5D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w:t>
            </w:r>
          </w:p>
        </w:tc>
        <w:tc>
          <w:tcPr>
            <w:tcW w:w="1116" w:type="dxa"/>
            <w:noWrap/>
            <w:vAlign w:val="center"/>
            <w:hideMark/>
          </w:tcPr>
          <w:p w14:paraId="386BC9A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4.1%</w:t>
            </w:r>
          </w:p>
        </w:tc>
      </w:tr>
      <w:tr w:rsidR="00121E13" w:rsidRPr="004222B6" w14:paraId="2B7CD1F4" w14:textId="77777777" w:rsidTr="00AD7B87">
        <w:trPr>
          <w:trHeight w:val="340"/>
        </w:trPr>
        <w:tc>
          <w:tcPr>
            <w:tcW w:w="5529" w:type="dxa"/>
            <w:noWrap/>
            <w:vAlign w:val="center"/>
            <w:hideMark/>
          </w:tcPr>
          <w:p w14:paraId="6E539BF5"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SOUTHERN RESEARCH INSTITUTES AND GROUPS (NON UNIVERSITY)</w:t>
            </w:r>
          </w:p>
        </w:tc>
        <w:tc>
          <w:tcPr>
            <w:tcW w:w="1440" w:type="dxa"/>
            <w:noWrap/>
            <w:vAlign w:val="center"/>
            <w:hideMark/>
          </w:tcPr>
          <w:p w14:paraId="1892EE4F"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 </w:t>
            </w:r>
          </w:p>
        </w:tc>
        <w:tc>
          <w:tcPr>
            <w:tcW w:w="977" w:type="dxa"/>
            <w:noWrap/>
            <w:vAlign w:val="center"/>
            <w:hideMark/>
          </w:tcPr>
          <w:p w14:paraId="57CCFA2E"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 </w:t>
            </w:r>
          </w:p>
        </w:tc>
        <w:tc>
          <w:tcPr>
            <w:tcW w:w="1116" w:type="dxa"/>
            <w:noWrap/>
            <w:vAlign w:val="center"/>
            <w:hideMark/>
          </w:tcPr>
          <w:p w14:paraId="6DA69A5D" w14:textId="77777777" w:rsidR="00121E13" w:rsidRPr="00121E13" w:rsidRDefault="00121E13" w:rsidP="00AD7B87">
            <w:pPr>
              <w:spacing w:after="0" w:line="240" w:lineRule="auto"/>
              <w:jc w:val="right"/>
              <w:rPr>
                <w:rFonts w:eastAsia="Times New Roman" w:cs="Times New Roman"/>
                <w:color w:val="000000"/>
                <w:sz w:val="20"/>
                <w:szCs w:val="20"/>
                <w:lang w:val="en-CA"/>
              </w:rPr>
            </w:pPr>
            <w:r w:rsidRPr="00121E13">
              <w:rPr>
                <w:rFonts w:eastAsia="Times New Roman" w:cs="Times New Roman"/>
                <w:color w:val="000000"/>
                <w:sz w:val="20"/>
                <w:szCs w:val="20"/>
                <w:lang w:val="en-CA"/>
              </w:rPr>
              <w:t> </w:t>
            </w:r>
          </w:p>
        </w:tc>
      </w:tr>
      <w:tr w:rsidR="00121E13" w14:paraId="2E09E19F" w14:textId="77777777" w:rsidTr="00AD7B87">
        <w:trPr>
          <w:trHeight w:val="340"/>
        </w:trPr>
        <w:tc>
          <w:tcPr>
            <w:tcW w:w="5529" w:type="dxa"/>
            <w:noWrap/>
            <w:vAlign w:val="center"/>
            <w:hideMark/>
          </w:tcPr>
          <w:p w14:paraId="6E8F5455"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Centre Muraz</w:t>
            </w:r>
          </w:p>
        </w:tc>
        <w:tc>
          <w:tcPr>
            <w:tcW w:w="1440" w:type="dxa"/>
            <w:noWrap/>
            <w:vAlign w:val="center"/>
            <w:hideMark/>
          </w:tcPr>
          <w:p w14:paraId="0BA320CA"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Burkina Faso</w:t>
            </w:r>
          </w:p>
        </w:tc>
        <w:tc>
          <w:tcPr>
            <w:tcW w:w="977" w:type="dxa"/>
            <w:noWrap/>
            <w:vAlign w:val="center"/>
            <w:hideMark/>
          </w:tcPr>
          <w:p w14:paraId="0C2DAC0B"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6</w:t>
            </w:r>
          </w:p>
        </w:tc>
        <w:tc>
          <w:tcPr>
            <w:tcW w:w="1116" w:type="dxa"/>
            <w:noWrap/>
            <w:vAlign w:val="center"/>
            <w:hideMark/>
          </w:tcPr>
          <w:p w14:paraId="4F2DE07C"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2.4%</w:t>
            </w:r>
          </w:p>
        </w:tc>
      </w:tr>
      <w:tr w:rsidR="00121E13" w14:paraId="258687C5" w14:textId="77777777" w:rsidTr="00AD7B87">
        <w:trPr>
          <w:trHeight w:val="340"/>
        </w:trPr>
        <w:tc>
          <w:tcPr>
            <w:tcW w:w="5529" w:type="dxa"/>
            <w:noWrap/>
            <w:vAlign w:val="center"/>
            <w:hideMark/>
          </w:tcPr>
          <w:p w14:paraId="4C214BC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Navrongo Health Research Centre</w:t>
            </w:r>
          </w:p>
        </w:tc>
        <w:tc>
          <w:tcPr>
            <w:tcW w:w="1440" w:type="dxa"/>
            <w:noWrap/>
            <w:vAlign w:val="center"/>
            <w:hideMark/>
          </w:tcPr>
          <w:p w14:paraId="3465FCC5"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Ghana</w:t>
            </w:r>
          </w:p>
        </w:tc>
        <w:tc>
          <w:tcPr>
            <w:tcW w:w="977" w:type="dxa"/>
            <w:noWrap/>
            <w:vAlign w:val="center"/>
            <w:hideMark/>
          </w:tcPr>
          <w:p w14:paraId="479EF0B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6</w:t>
            </w:r>
          </w:p>
        </w:tc>
        <w:tc>
          <w:tcPr>
            <w:tcW w:w="1116" w:type="dxa"/>
            <w:noWrap/>
            <w:vAlign w:val="center"/>
            <w:hideMark/>
          </w:tcPr>
          <w:p w14:paraId="3785DD46"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2.4%</w:t>
            </w:r>
          </w:p>
        </w:tc>
      </w:tr>
      <w:tr w:rsidR="00121E13" w14:paraId="71F78A7A" w14:textId="77777777" w:rsidTr="00AD7B87">
        <w:trPr>
          <w:trHeight w:val="340"/>
        </w:trPr>
        <w:tc>
          <w:tcPr>
            <w:tcW w:w="5529" w:type="dxa"/>
            <w:noWrap/>
            <w:vAlign w:val="center"/>
            <w:hideMark/>
          </w:tcPr>
          <w:p w14:paraId="35135307" w14:textId="77777777" w:rsidR="00121E13" w:rsidRDefault="00121E13" w:rsidP="00AD7B87">
            <w:pPr>
              <w:spacing w:after="0" w:line="240" w:lineRule="auto"/>
              <w:rPr>
                <w:rFonts w:eastAsia="Times New Roman" w:cs="Times New Roman"/>
                <w:color w:val="000000"/>
                <w:sz w:val="20"/>
                <w:szCs w:val="20"/>
                <w:lang w:val="fr-FR"/>
              </w:rPr>
            </w:pPr>
            <w:r>
              <w:rPr>
                <w:rFonts w:eastAsia="Times New Roman" w:cs="Times New Roman"/>
                <w:color w:val="000000"/>
                <w:sz w:val="20"/>
                <w:szCs w:val="20"/>
                <w:lang w:val="fr-FR"/>
              </w:rPr>
              <w:t>Institut régional de santé publique</w:t>
            </w:r>
          </w:p>
        </w:tc>
        <w:tc>
          <w:tcPr>
            <w:tcW w:w="1440" w:type="dxa"/>
            <w:noWrap/>
            <w:vAlign w:val="center"/>
            <w:hideMark/>
          </w:tcPr>
          <w:p w14:paraId="416511CE" w14:textId="77777777" w:rsidR="00121E13" w:rsidRDefault="00121E13" w:rsidP="00AD7B87">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fr-FR"/>
              </w:rPr>
              <w:t>Benin</w:t>
            </w:r>
          </w:p>
        </w:tc>
        <w:tc>
          <w:tcPr>
            <w:tcW w:w="977" w:type="dxa"/>
            <w:noWrap/>
            <w:vAlign w:val="center"/>
            <w:hideMark/>
          </w:tcPr>
          <w:p w14:paraId="5D68D2A4"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4</w:t>
            </w:r>
          </w:p>
        </w:tc>
        <w:tc>
          <w:tcPr>
            <w:tcW w:w="1116" w:type="dxa"/>
            <w:noWrap/>
            <w:vAlign w:val="center"/>
            <w:hideMark/>
          </w:tcPr>
          <w:p w14:paraId="1965D05F"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1.6%</w:t>
            </w:r>
          </w:p>
        </w:tc>
      </w:tr>
      <w:tr w:rsidR="00121E13" w14:paraId="7AF67588" w14:textId="77777777" w:rsidTr="00AD7B87">
        <w:trPr>
          <w:trHeight w:val="340"/>
        </w:trPr>
        <w:tc>
          <w:tcPr>
            <w:tcW w:w="5529" w:type="dxa"/>
            <w:noWrap/>
            <w:vAlign w:val="center"/>
            <w:hideMark/>
          </w:tcPr>
          <w:p w14:paraId="40884C7A" w14:textId="77777777" w:rsidR="00121E13" w:rsidRDefault="00121E13" w:rsidP="00AD7B87">
            <w:pPr>
              <w:spacing w:after="0" w:line="240" w:lineRule="auto"/>
              <w:rPr>
                <w:rFonts w:eastAsia="Times New Roman" w:cs="Times New Roman"/>
                <w:color w:val="000000"/>
                <w:sz w:val="20"/>
                <w:szCs w:val="20"/>
                <w:lang w:val="fr-FR"/>
              </w:rPr>
            </w:pPr>
            <w:r>
              <w:rPr>
                <w:rFonts w:eastAsia="Times New Roman" w:cs="Times New Roman"/>
                <w:color w:val="000000"/>
                <w:sz w:val="20"/>
                <w:szCs w:val="20"/>
                <w:lang w:val="fr-FR"/>
              </w:rPr>
              <w:t> Centre de Recherche en Santé de Nouna</w:t>
            </w:r>
          </w:p>
        </w:tc>
        <w:tc>
          <w:tcPr>
            <w:tcW w:w="1440" w:type="dxa"/>
            <w:noWrap/>
            <w:vAlign w:val="center"/>
            <w:hideMark/>
          </w:tcPr>
          <w:p w14:paraId="47EABC5C" w14:textId="77777777" w:rsidR="00121E13" w:rsidRDefault="00121E13" w:rsidP="00AD7B87">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fr-FR"/>
              </w:rPr>
              <w:t>Burkina Faso</w:t>
            </w:r>
          </w:p>
        </w:tc>
        <w:tc>
          <w:tcPr>
            <w:tcW w:w="977" w:type="dxa"/>
            <w:noWrap/>
            <w:vAlign w:val="center"/>
            <w:hideMark/>
          </w:tcPr>
          <w:p w14:paraId="1348FFAC"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728532B0"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06F6B945" w14:textId="77777777" w:rsidTr="00AD7B87">
        <w:trPr>
          <w:trHeight w:val="340"/>
        </w:trPr>
        <w:tc>
          <w:tcPr>
            <w:tcW w:w="5529" w:type="dxa"/>
            <w:noWrap/>
            <w:vAlign w:val="center"/>
            <w:hideMark/>
          </w:tcPr>
          <w:p w14:paraId="5C07DC50" w14:textId="77777777" w:rsidR="00121E13" w:rsidRDefault="00121E13" w:rsidP="00AD7B87">
            <w:pPr>
              <w:pStyle w:val="Heading3"/>
              <w:shd w:val="clear" w:color="auto" w:fill="FFFFFF"/>
              <w:spacing w:before="0" w:line="240" w:lineRule="auto"/>
              <w:rPr>
                <w:rFonts w:asciiTheme="minorHAnsi" w:eastAsia="Times New Roman" w:hAnsiTheme="minorHAnsi" w:cs="Times New Roman"/>
                <w:color w:val="auto"/>
                <w:sz w:val="20"/>
                <w:szCs w:val="20"/>
              </w:rPr>
            </w:pPr>
            <w:r>
              <w:rPr>
                <w:rFonts w:asciiTheme="minorHAnsi" w:hAnsiTheme="minorHAnsi"/>
                <w:b/>
                <w:sz w:val="20"/>
                <w:szCs w:val="20"/>
              </w:rPr>
              <w:t>Laboratoire d'Etudes et de Recherche sur les Dynamiques Sociales et le Développement Local</w:t>
            </w:r>
          </w:p>
        </w:tc>
        <w:tc>
          <w:tcPr>
            <w:tcW w:w="1440" w:type="dxa"/>
            <w:noWrap/>
            <w:vAlign w:val="center"/>
            <w:hideMark/>
          </w:tcPr>
          <w:p w14:paraId="349BD74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w:t>
            </w:r>
          </w:p>
        </w:tc>
        <w:tc>
          <w:tcPr>
            <w:tcW w:w="977" w:type="dxa"/>
            <w:noWrap/>
            <w:vAlign w:val="center"/>
            <w:hideMark/>
          </w:tcPr>
          <w:p w14:paraId="599EC669"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3B2EA182"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0E767441" w14:textId="77777777" w:rsidTr="00AD7B87">
        <w:trPr>
          <w:trHeight w:val="340"/>
        </w:trPr>
        <w:tc>
          <w:tcPr>
            <w:tcW w:w="5529" w:type="dxa"/>
            <w:noWrap/>
            <w:vAlign w:val="center"/>
            <w:hideMark/>
          </w:tcPr>
          <w:p w14:paraId="422E32A8"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African Population and Health Research institute</w:t>
            </w:r>
          </w:p>
        </w:tc>
        <w:tc>
          <w:tcPr>
            <w:tcW w:w="1440" w:type="dxa"/>
            <w:noWrap/>
            <w:vAlign w:val="center"/>
            <w:hideMark/>
          </w:tcPr>
          <w:p w14:paraId="015A1F6B"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Kenya</w:t>
            </w:r>
          </w:p>
        </w:tc>
        <w:tc>
          <w:tcPr>
            <w:tcW w:w="977" w:type="dxa"/>
            <w:noWrap/>
            <w:vAlign w:val="center"/>
            <w:hideMark/>
          </w:tcPr>
          <w:p w14:paraId="7973EAD0"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6F042E70"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471E98BD" w14:textId="77777777" w:rsidTr="00AD7B87">
        <w:trPr>
          <w:trHeight w:val="340"/>
        </w:trPr>
        <w:tc>
          <w:tcPr>
            <w:tcW w:w="5529" w:type="dxa"/>
            <w:noWrap/>
            <w:vAlign w:val="center"/>
            <w:hideMark/>
          </w:tcPr>
          <w:p w14:paraId="715694F0" w14:textId="77777777" w:rsidR="00121E13" w:rsidRDefault="00121E13" w:rsidP="00AD7B87">
            <w:pPr>
              <w:spacing w:after="0" w:line="240" w:lineRule="auto"/>
              <w:rPr>
                <w:rFonts w:eastAsia="Times New Roman" w:cs="Times New Roman"/>
                <w:color w:val="000000"/>
                <w:sz w:val="20"/>
                <w:szCs w:val="20"/>
                <w:lang w:val="fr-FR"/>
              </w:rPr>
            </w:pPr>
            <w:r>
              <w:rPr>
                <w:rFonts w:eastAsia="Times New Roman" w:cs="Times New Roman"/>
                <w:color w:val="000000"/>
                <w:sz w:val="20"/>
                <w:szCs w:val="20"/>
                <w:lang w:val="fr-FR"/>
              </w:rPr>
              <w:t xml:space="preserve">Consortium de Recherche en Economie Sociale </w:t>
            </w:r>
          </w:p>
        </w:tc>
        <w:tc>
          <w:tcPr>
            <w:tcW w:w="1440" w:type="dxa"/>
            <w:noWrap/>
            <w:vAlign w:val="center"/>
            <w:hideMark/>
          </w:tcPr>
          <w:p w14:paraId="219CA54A" w14:textId="77777777" w:rsidR="00121E13" w:rsidRDefault="00121E13" w:rsidP="00AD7B87">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fr-FR"/>
              </w:rPr>
              <w:t>Senegal</w:t>
            </w:r>
          </w:p>
        </w:tc>
        <w:tc>
          <w:tcPr>
            <w:tcW w:w="977" w:type="dxa"/>
            <w:noWrap/>
            <w:vAlign w:val="center"/>
            <w:hideMark/>
          </w:tcPr>
          <w:p w14:paraId="117DC32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20B47CA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6CB699D9" w14:textId="77777777" w:rsidTr="00AD7B87">
        <w:trPr>
          <w:trHeight w:val="340"/>
        </w:trPr>
        <w:tc>
          <w:tcPr>
            <w:tcW w:w="5529" w:type="dxa"/>
            <w:noWrap/>
            <w:vAlign w:val="center"/>
            <w:hideMark/>
          </w:tcPr>
          <w:p w14:paraId="7BD6597B" w14:textId="77777777" w:rsidR="00121E13" w:rsidRDefault="00121E13" w:rsidP="00AD7B87">
            <w:pPr>
              <w:spacing w:after="0" w:line="240" w:lineRule="auto"/>
              <w:rPr>
                <w:rFonts w:eastAsia="Times New Roman" w:cs="Times New Roman"/>
                <w:color w:val="000000"/>
                <w:sz w:val="20"/>
                <w:szCs w:val="20"/>
                <w:lang w:val="fr-FR"/>
              </w:rPr>
            </w:pPr>
            <w:r>
              <w:rPr>
                <w:rFonts w:eastAsia="Times New Roman" w:cs="Times New Roman"/>
                <w:color w:val="000000"/>
                <w:sz w:val="20"/>
                <w:szCs w:val="20"/>
                <w:lang w:val="fr-FR"/>
              </w:rPr>
              <w:t>Ecole Nationale Supérieure de Statistiques et d'Economie Appliquée</w:t>
            </w:r>
          </w:p>
        </w:tc>
        <w:tc>
          <w:tcPr>
            <w:tcW w:w="1440" w:type="dxa"/>
            <w:noWrap/>
            <w:vAlign w:val="center"/>
            <w:hideMark/>
          </w:tcPr>
          <w:p w14:paraId="6933C72E" w14:textId="77777777" w:rsidR="00121E13" w:rsidRDefault="00121E13" w:rsidP="00AD7B87">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fr-FR"/>
              </w:rPr>
              <w:t>Cote d'Ivoire</w:t>
            </w:r>
          </w:p>
        </w:tc>
        <w:tc>
          <w:tcPr>
            <w:tcW w:w="977" w:type="dxa"/>
            <w:noWrap/>
            <w:vAlign w:val="center"/>
            <w:hideMark/>
          </w:tcPr>
          <w:p w14:paraId="026D2786"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3092042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4D0140B3" w14:textId="77777777" w:rsidTr="00AD7B87">
        <w:trPr>
          <w:trHeight w:val="340"/>
        </w:trPr>
        <w:tc>
          <w:tcPr>
            <w:tcW w:w="5529" w:type="dxa"/>
            <w:noWrap/>
            <w:vAlign w:val="center"/>
            <w:hideMark/>
          </w:tcPr>
          <w:p w14:paraId="3438FB77" w14:textId="77777777" w:rsidR="00121E13" w:rsidRDefault="00121E13" w:rsidP="00AD7B87">
            <w:pPr>
              <w:spacing w:after="0" w:line="240" w:lineRule="auto"/>
              <w:rPr>
                <w:rFonts w:eastAsia="Times New Roman" w:cs="Times New Roman"/>
                <w:color w:val="000000"/>
                <w:sz w:val="20"/>
                <w:szCs w:val="20"/>
                <w:lang w:val="fr-FR"/>
              </w:rPr>
            </w:pPr>
            <w:r>
              <w:rPr>
                <w:rFonts w:eastAsia="Times New Roman" w:cs="Times New Roman"/>
                <w:color w:val="000000"/>
                <w:sz w:val="20"/>
                <w:szCs w:val="20"/>
                <w:lang w:val="fr-FR"/>
              </w:rPr>
              <w:t xml:space="preserve">Institut de recherche en sciences de la santé </w:t>
            </w:r>
          </w:p>
        </w:tc>
        <w:tc>
          <w:tcPr>
            <w:tcW w:w="1440" w:type="dxa"/>
            <w:noWrap/>
            <w:vAlign w:val="center"/>
            <w:hideMark/>
          </w:tcPr>
          <w:p w14:paraId="0913D1C9" w14:textId="77777777" w:rsidR="00121E13" w:rsidRDefault="00121E13" w:rsidP="00AD7B87">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fr-FR"/>
              </w:rPr>
              <w:t>Burkina Faso</w:t>
            </w:r>
          </w:p>
        </w:tc>
        <w:tc>
          <w:tcPr>
            <w:tcW w:w="977" w:type="dxa"/>
            <w:noWrap/>
            <w:vAlign w:val="center"/>
            <w:hideMark/>
          </w:tcPr>
          <w:p w14:paraId="5863BF6B"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05B35CF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2DAA46C6" w14:textId="77777777" w:rsidTr="00AD7B87">
        <w:trPr>
          <w:trHeight w:val="340"/>
        </w:trPr>
        <w:tc>
          <w:tcPr>
            <w:tcW w:w="5529" w:type="dxa"/>
            <w:noWrap/>
            <w:vAlign w:val="center"/>
            <w:hideMark/>
          </w:tcPr>
          <w:p w14:paraId="441BE0E1" w14:textId="77777777" w:rsidR="00121E13" w:rsidRDefault="00121E13" w:rsidP="00AD7B87">
            <w:pPr>
              <w:spacing w:after="0" w:line="240" w:lineRule="auto"/>
              <w:rPr>
                <w:rFonts w:eastAsia="Times New Roman" w:cs="Times New Roman"/>
                <w:color w:val="000000"/>
                <w:sz w:val="20"/>
                <w:szCs w:val="20"/>
                <w:lang w:val="fr-FR"/>
              </w:rPr>
            </w:pPr>
            <w:r>
              <w:rPr>
                <w:rFonts w:eastAsia="Times New Roman" w:cs="Times New Roman"/>
                <w:color w:val="000000"/>
                <w:sz w:val="20"/>
                <w:szCs w:val="20"/>
                <w:lang w:val="fr-FR"/>
              </w:rPr>
              <w:t>Institut National de Recherches en Santé Publique</w:t>
            </w:r>
          </w:p>
        </w:tc>
        <w:tc>
          <w:tcPr>
            <w:tcW w:w="1440" w:type="dxa"/>
            <w:noWrap/>
            <w:vAlign w:val="center"/>
            <w:hideMark/>
          </w:tcPr>
          <w:p w14:paraId="7C8EE702" w14:textId="77777777" w:rsidR="00121E13" w:rsidRDefault="00121E13" w:rsidP="00AD7B87">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fr-FR"/>
              </w:rPr>
              <w:t>Mali</w:t>
            </w:r>
          </w:p>
        </w:tc>
        <w:tc>
          <w:tcPr>
            <w:tcW w:w="977" w:type="dxa"/>
            <w:noWrap/>
            <w:vAlign w:val="center"/>
            <w:hideMark/>
          </w:tcPr>
          <w:p w14:paraId="11413EAD"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0F0E2B92"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34B094F2" w14:textId="77777777" w:rsidTr="00AD7B87">
        <w:trPr>
          <w:trHeight w:val="340"/>
        </w:trPr>
        <w:tc>
          <w:tcPr>
            <w:tcW w:w="5529" w:type="dxa"/>
            <w:noWrap/>
            <w:vAlign w:val="center"/>
            <w:hideMark/>
          </w:tcPr>
          <w:p w14:paraId="7869DF63" w14:textId="77777777" w:rsidR="00121E13" w:rsidRDefault="00121E13" w:rsidP="00AD7B87">
            <w:pPr>
              <w:spacing w:after="0" w:line="240" w:lineRule="auto"/>
              <w:rPr>
                <w:rFonts w:eastAsia="Times New Roman" w:cs="Times New Roman"/>
                <w:color w:val="000000"/>
                <w:sz w:val="20"/>
                <w:szCs w:val="20"/>
                <w:lang w:val="fr-FR"/>
              </w:rPr>
            </w:pPr>
            <w:r>
              <w:rPr>
                <w:rFonts w:eastAsia="Times New Roman" w:cs="Times New Roman"/>
                <w:color w:val="000000"/>
                <w:sz w:val="20"/>
                <w:szCs w:val="20"/>
                <w:lang w:val="fr-FR"/>
              </w:rPr>
              <w:t>Institut de Recherche en Science de la Santé</w:t>
            </w:r>
          </w:p>
        </w:tc>
        <w:tc>
          <w:tcPr>
            <w:tcW w:w="1440" w:type="dxa"/>
            <w:noWrap/>
            <w:vAlign w:val="center"/>
            <w:hideMark/>
          </w:tcPr>
          <w:p w14:paraId="10ABC16B" w14:textId="77777777" w:rsidR="00121E13" w:rsidRDefault="00121E13" w:rsidP="00AD7B87">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fr-FR"/>
              </w:rPr>
              <w:t>Burkina Faso</w:t>
            </w:r>
          </w:p>
        </w:tc>
        <w:tc>
          <w:tcPr>
            <w:tcW w:w="977" w:type="dxa"/>
            <w:noWrap/>
            <w:vAlign w:val="center"/>
            <w:hideMark/>
          </w:tcPr>
          <w:p w14:paraId="2827E17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1D006F0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77ADB629" w14:textId="77777777" w:rsidTr="00AD7B87">
        <w:trPr>
          <w:trHeight w:val="340"/>
        </w:trPr>
        <w:tc>
          <w:tcPr>
            <w:tcW w:w="5529" w:type="dxa"/>
            <w:noWrap/>
            <w:vAlign w:val="center"/>
            <w:hideMark/>
          </w:tcPr>
          <w:p w14:paraId="754ED83C"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Public Health Research &amp; Development Centre</w:t>
            </w:r>
          </w:p>
        </w:tc>
        <w:tc>
          <w:tcPr>
            <w:tcW w:w="1440" w:type="dxa"/>
            <w:noWrap/>
            <w:vAlign w:val="center"/>
            <w:hideMark/>
          </w:tcPr>
          <w:p w14:paraId="6CCA6B35"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Gambia</w:t>
            </w:r>
          </w:p>
        </w:tc>
        <w:tc>
          <w:tcPr>
            <w:tcW w:w="977" w:type="dxa"/>
            <w:noWrap/>
            <w:vAlign w:val="center"/>
            <w:hideMark/>
          </w:tcPr>
          <w:p w14:paraId="2C7FC25F"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3C50829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481E74D1" w14:textId="77777777" w:rsidTr="00AD7B87">
        <w:trPr>
          <w:trHeight w:val="340"/>
        </w:trPr>
        <w:tc>
          <w:tcPr>
            <w:tcW w:w="5529" w:type="dxa"/>
            <w:noWrap/>
            <w:vAlign w:val="center"/>
            <w:hideMark/>
          </w:tcPr>
          <w:p w14:paraId="5E3239A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1440" w:type="dxa"/>
            <w:noWrap/>
            <w:vAlign w:val="center"/>
            <w:hideMark/>
          </w:tcPr>
          <w:p w14:paraId="47DAB820"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977" w:type="dxa"/>
            <w:noWrap/>
            <w:vAlign w:val="center"/>
            <w:hideMark/>
          </w:tcPr>
          <w:p w14:paraId="2CD6722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w:t>
            </w:r>
          </w:p>
        </w:tc>
        <w:tc>
          <w:tcPr>
            <w:tcW w:w="1116" w:type="dxa"/>
            <w:noWrap/>
            <w:vAlign w:val="center"/>
            <w:hideMark/>
          </w:tcPr>
          <w:p w14:paraId="39E6036E"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11.0%</w:t>
            </w:r>
          </w:p>
        </w:tc>
      </w:tr>
      <w:tr w:rsidR="00121E13" w14:paraId="3C8131C8" w14:textId="77777777" w:rsidTr="00AD7B87">
        <w:trPr>
          <w:trHeight w:val="340"/>
        </w:trPr>
        <w:tc>
          <w:tcPr>
            <w:tcW w:w="5529" w:type="dxa"/>
            <w:noWrap/>
            <w:vAlign w:val="center"/>
            <w:hideMark/>
          </w:tcPr>
          <w:p w14:paraId="5374584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NORTHERN INSTITUTES - ALL OTHERS</w:t>
            </w:r>
          </w:p>
        </w:tc>
        <w:tc>
          <w:tcPr>
            <w:tcW w:w="1440" w:type="dxa"/>
            <w:noWrap/>
            <w:vAlign w:val="center"/>
            <w:hideMark/>
          </w:tcPr>
          <w:p w14:paraId="316C9522"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977" w:type="dxa"/>
            <w:noWrap/>
            <w:vAlign w:val="center"/>
            <w:hideMark/>
          </w:tcPr>
          <w:p w14:paraId="2DA2094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1116" w:type="dxa"/>
            <w:noWrap/>
            <w:vAlign w:val="center"/>
            <w:hideMark/>
          </w:tcPr>
          <w:p w14:paraId="3C4BA18B"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rPr>
              <w:t> </w:t>
            </w:r>
          </w:p>
        </w:tc>
      </w:tr>
      <w:tr w:rsidR="00121E13" w14:paraId="5992B593" w14:textId="77777777" w:rsidTr="00AD7B87">
        <w:trPr>
          <w:trHeight w:val="340"/>
        </w:trPr>
        <w:tc>
          <w:tcPr>
            <w:tcW w:w="5529" w:type="dxa"/>
            <w:noWrap/>
            <w:vAlign w:val="center"/>
            <w:hideMark/>
          </w:tcPr>
          <w:p w14:paraId="435F88CB"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Center for Disease Control , Atlanta</w:t>
            </w:r>
          </w:p>
        </w:tc>
        <w:tc>
          <w:tcPr>
            <w:tcW w:w="1440" w:type="dxa"/>
            <w:noWrap/>
            <w:vAlign w:val="center"/>
            <w:hideMark/>
          </w:tcPr>
          <w:p w14:paraId="430FA3FF"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4A1335B8"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4</w:t>
            </w:r>
          </w:p>
        </w:tc>
        <w:tc>
          <w:tcPr>
            <w:tcW w:w="1116" w:type="dxa"/>
            <w:noWrap/>
            <w:vAlign w:val="center"/>
            <w:hideMark/>
          </w:tcPr>
          <w:p w14:paraId="5E00A3A4"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1.6%</w:t>
            </w:r>
          </w:p>
        </w:tc>
      </w:tr>
      <w:tr w:rsidR="00121E13" w14:paraId="069D6D6C" w14:textId="77777777" w:rsidTr="00AD7B87">
        <w:trPr>
          <w:trHeight w:val="340"/>
        </w:trPr>
        <w:tc>
          <w:tcPr>
            <w:tcW w:w="5529" w:type="dxa"/>
            <w:noWrap/>
            <w:vAlign w:val="center"/>
            <w:hideMark/>
          </w:tcPr>
          <w:p w14:paraId="6C4CB0E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Africa Development Bank</w:t>
            </w:r>
          </w:p>
        </w:tc>
        <w:tc>
          <w:tcPr>
            <w:tcW w:w="1440" w:type="dxa"/>
            <w:noWrap/>
            <w:vAlign w:val="center"/>
            <w:hideMark/>
          </w:tcPr>
          <w:p w14:paraId="552C5CD9" w14:textId="77777777" w:rsidR="00121E13" w:rsidRDefault="00121E13" w:rsidP="00AD7B87">
            <w:pPr>
              <w:spacing w:after="0" w:line="240" w:lineRule="auto"/>
              <w:rPr>
                <w:rFonts w:eastAsia="Times New Roman" w:cs="Times New Roman"/>
                <w:color w:val="000000"/>
                <w:sz w:val="20"/>
                <w:szCs w:val="20"/>
                <w:lang w:val="fr-FR"/>
              </w:rPr>
            </w:pPr>
            <w:r>
              <w:rPr>
                <w:rFonts w:eastAsia="Times New Roman" w:cs="Times New Roman"/>
                <w:color w:val="000000"/>
                <w:sz w:val="20"/>
                <w:szCs w:val="20"/>
                <w:lang w:val="fr-FR"/>
              </w:rPr>
              <w:t>Multilateral</w:t>
            </w:r>
          </w:p>
        </w:tc>
        <w:tc>
          <w:tcPr>
            <w:tcW w:w="977" w:type="dxa"/>
            <w:noWrap/>
            <w:vAlign w:val="center"/>
            <w:hideMark/>
          </w:tcPr>
          <w:p w14:paraId="21F2C847" w14:textId="77777777" w:rsidR="00121E13" w:rsidRDefault="00121E13" w:rsidP="00AD7B87">
            <w:pPr>
              <w:spacing w:after="0" w:line="240" w:lineRule="auto"/>
              <w:jc w:val="right"/>
              <w:rPr>
                <w:rFonts w:eastAsia="Times New Roman" w:cs="Times New Roman"/>
                <w:color w:val="000000"/>
                <w:sz w:val="20"/>
                <w:szCs w:val="20"/>
                <w:lang w:val="en-US"/>
              </w:rPr>
            </w:pPr>
            <w:r>
              <w:rPr>
                <w:rFonts w:eastAsia="Times New Roman" w:cs="Times New Roman"/>
                <w:color w:val="000000"/>
                <w:sz w:val="20"/>
                <w:szCs w:val="20"/>
                <w:lang w:val="fr-FR"/>
              </w:rPr>
              <w:t>3</w:t>
            </w:r>
          </w:p>
        </w:tc>
        <w:tc>
          <w:tcPr>
            <w:tcW w:w="1116" w:type="dxa"/>
            <w:noWrap/>
            <w:vAlign w:val="center"/>
            <w:hideMark/>
          </w:tcPr>
          <w:p w14:paraId="79F9FE4B"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1.2%</w:t>
            </w:r>
          </w:p>
        </w:tc>
      </w:tr>
      <w:tr w:rsidR="00121E13" w14:paraId="1613FB38" w14:textId="77777777" w:rsidTr="00AD7B87">
        <w:trPr>
          <w:trHeight w:val="340"/>
        </w:trPr>
        <w:tc>
          <w:tcPr>
            <w:tcW w:w="5529" w:type="dxa"/>
            <w:noWrap/>
            <w:vAlign w:val="center"/>
            <w:hideMark/>
          </w:tcPr>
          <w:p w14:paraId="607B8A8B"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Abt Associates</w:t>
            </w:r>
          </w:p>
        </w:tc>
        <w:tc>
          <w:tcPr>
            <w:tcW w:w="1440" w:type="dxa"/>
            <w:noWrap/>
            <w:vAlign w:val="center"/>
            <w:hideMark/>
          </w:tcPr>
          <w:p w14:paraId="7E7EED2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665DF31F"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3</w:t>
            </w:r>
          </w:p>
        </w:tc>
        <w:tc>
          <w:tcPr>
            <w:tcW w:w="1116" w:type="dxa"/>
            <w:noWrap/>
            <w:vAlign w:val="center"/>
            <w:hideMark/>
          </w:tcPr>
          <w:p w14:paraId="3D44DE6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1.2%</w:t>
            </w:r>
          </w:p>
        </w:tc>
      </w:tr>
      <w:tr w:rsidR="00121E13" w14:paraId="724792C6" w14:textId="77777777" w:rsidTr="00AD7B87">
        <w:trPr>
          <w:trHeight w:val="340"/>
        </w:trPr>
        <w:tc>
          <w:tcPr>
            <w:tcW w:w="5529" w:type="dxa"/>
            <w:noWrap/>
            <w:vAlign w:val="center"/>
            <w:hideMark/>
          </w:tcPr>
          <w:p w14:paraId="17994DD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Astellas Pharma UK Ltd</w:t>
            </w:r>
          </w:p>
        </w:tc>
        <w:tc>
          <w:tcPr>
            <w:tcW w:w="1440" w:type="dxa"/>
            <w:noWrap/>
            <w:vAlign w:val="center"/>
            <w:hideMark/>
          </w:tcPr>
          <w:p w14:paraId="6F4CEBC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UK</w:t>
            </w:r>
          </w:p>
        </w:tc>
        <w:tc>
          <w:tcPr>
            <w:tcW w:w="977" w:type="dxa"/>
            <w:noWrap/>
            <w:vAlign w:val="center"/>
            <w:hideMark/>
          </w:tcPr>
          <w:p w14:paraId="74FF137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789B20D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18A5D88A" w14:textId="77777777" w:rsidTr="00AD7B87">
        <w:trPr>
          <w:trHeight w:val="340"/>
        </w:trPr>
        <w:tc>
          <w:tcPr>
            <w:tcW w:w="5529" w:type="dxa"/>
            <w:noWrap/>
            <w:vAlign w:val="center"/>
            <w:hideMark/>
          </w:tcPr>
          <w:p w14:paraId="3ED6987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ICF International</w:t>
            </w:r>
          </w:p>
        </w:tc>
        <w:tc>
          <w:tcPr>
            <w:tcW w:w="1440" w:type="dxa"/>
            <w:noWrap/>
            <w:vAlign w:val="center"/>
            <w:hideMark/>
          </w:tcPr>
          <w:p w14:paraId="49A3BB50"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2955BABD"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58E9B3DC"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786C0CCF" w14:textId="77777777" w:rsidTr="00AD7B87">
        <w:trPr>
          <w:trHeight w:val="340"/>
        </w:trPr>
        <w:tc>
          <w:tcPr>
            <w:tcW w:w="5529" w:type="dxa"/>
            <w:noWrap/>
            <w:vAlign w:val="center"/>
            <w:hideMark/>
          </w:tcPr>
          <w:p w14:paraId="2D70E2E7"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United Nations Children Emergency Fund</w:t>
            </w:r>
          </w:p>
        </w:tc>
        <w:tc>
          <w:tcPr>
            <w:tcW w:w="1440" w:type="dxa"/>
            <w:noWrap/>
            <w:vAlign w:val="center"/>
            <w:hideMark/>
          </w:tcPr>
          <w:p w14:paraId="5EBD774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Multilateral</w:t>
            </w:r>
          </w:p>
        </w:tc>
        <w:tc>
          <w:tcPr>
            <w:tcW w:w="977" w:type="dxa"/>
            <w:noWrap/>
            <w:vAlign w:val="center"/>
            <w:hideMark/>
          </w:tcPr>
          <w:p w14:paraId="2596DECD"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27EE34CB"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0F30E135" w14:textId="77777777" w:rsidTr="00AD7B87">
        <w:trPr>
          <w:trHeight w:val="340"/>
        </w:trPr>
        <w:tc>
          <w:tcPr>
            <w:tcW w:w="5529" w:type="dxa"/>
            <w:noWrap/>
            <w:vAlign w:val="center"/>
            <w:hideMark/>
          </w:tcPr>
          <w:p w14:paraId="643462D3"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Massachusetts General Hospital</w:t>
            </w:r>
          </w:p>
        </w:tc>
        <w:tc>
          <w:tcPr>
            <w:tcW w:w="1440" w:type="dxa"/>
            <w:noWrap/>
            <w:vAlign w:val="center"/>
            <w:hideMark/>
          </w:tcPr>
          <w:p w14:paraId="48C01BC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0CF6AD6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6E67623E"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3B3E0499" w14:textId="77777777" w:rsidTr="00AD7B87">
        <w:trPr>
          <w:trHeight w:val="340"/>
        </w:trPr>
        <w:tc>
          <w:tcPr>
            <w:tcW w:w="5529" w:type="dxa"/>
            <w:noWrap/>
            <w:vAlign w:val="center"/>
            <w:hideMark/>
          </w:tcPr>
          <w:p w14:paraId="613C6B52"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xml:space="preserve">German Development Cooperation </w:t>
            </w:r>
          </w:p>
        </w:tc>
        <w:tc>
          <w:tcPr>
            <w:tcW w:w="1440" w:type="dxa"/>
            <w:noWrap/>
            <w:vAlign w:val="center"/>
            <w:hideMark/>
          </w:tcPr>
          <w:p w14:paraId="65EE040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Germany</w:t>
            </w:r>
          </w:p>
        </w:tc>
        <w:tc>
          <w:tcPr>
            <w:tcW w:w="977" w:type="dxa"/>
            <w:noWrap/>
            <w:vAlign w:val="center"/>
            <w:hideMark/>
          </w:tcPr>
          <w:p w14:paraId="771E49B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5FFE5634"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12D051D7" w14:textId="77777777" w:rsidTr="00AD7B87">
        <w:trPr>
          <w:trHeight w:val="340"/>
        </w:trPr>
        <w:tc>
          <w:tcPr>
            <w:tcW w:w="5529" w:type="dxa"/>
            <w:noWrap/>
            <w:vAlign w:val="center"/>
            <w:hideMark/>
          </w:tcPr>
          <w:p w14:paraId="5543372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United States Peace Corps</w:t>
            </w:r>
          </w:p>
        </w:tc>
        <w:tc>
          <w:tcPr>
            <w:tcW w:w="1440" w:type="dxa"/>
            <w:noWrap/>
            <w:vAlign w:val="center"/>
            <w:hideMark/>
          </w:tcPr>
          <w:p w14:paraId="0EA7974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4E635CE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54EFE92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69EDF14F" w14:textId="77777777" w:rsidTr="00AD7B87">
        <w:trPr>
          <w:trHeight w:val="340"/>
        </w:trPr>
        <w:tc>
          <w:tcPr>
            <w:tcW w:w="5529" w:type="dxa"/>
            <w:noWrap/>
            <w:vAlign w:val="center"/>
            <w:hideMark/>
          </w:tcPr>
          <w:p w14:paraId="5CE06252"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World Bank</w:t>
            </w:r>
          </w:p>
        </w:tc>
        <w:tc>
          <w:tcPr>
            <w:tcW w:w="1440" w:type="dxa"/>
            <w:noWrap/>
            <w:vAlign w:val="center"/>
            <w:hideMark/>
          </w:tcPr>
          <w:p w14:paraId="2728CCF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Multilateral</w:t>
            </w:r>
          </w:p>
        </w:tc>
        <w:tc>
          <w:tcPr>
            <w:tcW w:w="977" w:type="dxa"/>
            <w:noWrap/>
            <w:vAlign w:val="center"/>
            <w:hideMark/>
          </w:tcPr>
          <w:p w14:paraId="634CE0A6"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175318DF"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5D06E34E" w14:textId="77777777" w:rsidTr="00AD7B87">
        <w:trPr>
          <w:trHeight w:val="340"/>
        </w:trPr>
        <w:tc>
          <w:tcPr>
            <w:tcW w:w="5529" w:type="dxa"/>
            <w:noWrap/>
            <w:vAlign w:val="center"/>
            <w:hideMark/>
          </w:tcPr>
          <w:p w14:paraId="684F5CC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Institut de Veille sanitaire</w:t>
            </w:r>
          </w:p>
        </w:tc>
        <w:tc>
          <w:tcPr>
            <w:tcW w:w="1440" w:type="dxa"/>
            <w:noWrap/>
            <w:vAlign w:val="center"/>
            <w:hideMark/>
          </w:tcPr>
          <w:p w14:paraId="47A752E0"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France</w:t>
            </w:r>
          </w:p>
        </w:tc>
        <w:tc>
          <w:tcPr>
            <w:tcW w:w="977" w:type="dxa"/>
            <w:noWrap/>
            <w:vAlign w:val="center"/>
            <w:hideMark/>
          </w:tcPr>
          <w:p w14:paraId="79233CA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57D9E3D9"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4F7C101B" w14:textId="77777777" w:rsidTr="00AD7B87">
        <w:trPr>
          <w:trHeight w:val="340"/>
        </w:trPr>
        <w:tc>
          <w:tcPr>
            <w:tcW w:w="5529" w:type="dxa"/>
            <w:noWrap/>
            <w:vAlign w:val="center"/>
            <w:hideMark/>
          </w:tcPr>
          <w:p w14:paraId="6C4B219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Family Care International</w:t>
            </w:r>
          </w:p>
        </w:tc>
        <w:tc>
          <w:tcPr>
            <w:tcW w:w="1440" w:type="dxa"/>
            <w:noWrap/>
            <w:vAlign w:val="center"/>
            <w:hideMark/>
          </w:tcPr>
          <w:p w14:paraId="1955950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0342CCF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34BCF126"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6FD66CB4" w14:textId="77777777" w:rsidTr="00AD7B87">
        <w:trPr>
          <w:trHeight w:val="340"/>
        </w:trPr>
        <w:tc>
          <w:tcPr>
            <w:tcW w:w="5529" w:type="dxa"/>
            <w:noWrap/>
            <w:vAlign w:val="center"/>
            <w:hideMark/>
          </w:tcPr>
          <w:p w14:paraId="6582A95B"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Helen Keller International</w:t>
            </w:r>
          </w:p>
        </w:tc>
        <w:tc>
          <w:tcPr>
            <w:tcW w:w="1440" w:type="dxa"/>
            <w:noWrap/>
            <w:vAlign w:val="center"/>
            <w:hideMark/>
          </w:tcPr>
          <w:p w14:paraId="60A8082F"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294EE42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52931696"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6937392B" w14:textId="77777777" w:rsidTr="00AD7B87">
        <w:trPr>
          <w:trHeight w:val="340"/>
        </w:trPr>
        <w:tc>
          <w:tcPr>
            <w:tcW w:w="5529" w:type="dxa"/>
            <w:noWrap/>
            <w:vAlign w:val="center"/>
            <w:hideMark/>
          </w:tcPr>
          <w:p w14:paraId="10152B0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Save the Children</w:t>
            </w:r>
          </w:p>
        </w:tc>
        <w:tc>
          <w:tcPr>
            <w:tcW w:w="1440" w:type="dxa"/>
            <w:noWrap/>
            <w:vAlign w:val="center"/>
            <w:hideMark/>
          </w:tcPr>
          <w:p w14:paraId="17208C47"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56B24660"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1042AEC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687DEC75" w14:textId="77777777" w:rsidTr="00AD7B87">
        <w:trPr>
          <w:trHeight w:val="340"/>
        </w:trPr>
        <w:tc>
          <w:tcPr>
            <w:tcW w:w="5529" w:type="dxa"/>
            <w:noWrap/>
            <w:vAlign w:val="center"/>
            <w:hideMark/>
          </w:tcPr>
          <w:p w14:paraId="069907A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xml:space="preserve">Surgeons OverSeas </w:t>
            </w:r>
          </w:p>
        </w:tc>
        <w:tc>
          <w:tcPr>
            <w:tcW w:w="1440" w:type="dxa"/>
            <w:noWrap/>
            <w:vAlign w:val="center"/>
            <w:hideMark/>
          </w:tcPr>
          <w:p w14:paraId="37C77420"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79BEBD06"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2566815F"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55184BEE" w14:textId="77777777" w:rsidTr="00AD7B87">
        <w:trPr>
          <w:trHeight w:val="340"/>
        </w:trPr>
        <w:tc>
          <w:tcPr>
            <w:tcW w:w="5529" w:type="dxa"/>
            <w:noWrap/>
            <w:vAlign w:val="center"/>
            <w:hideMark/>
          </w:tcPr>
          <w:p w14:paraId="41E52144"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University Research Co.</w:t>
            </w:r>
          </w:p>
        </w:tc>
        <w:tc>
          <w:tcPr>
            <w:tcW w:w="1440" w:type="dxa"/>
            <w:noWrap/>
            <w:vAlign w:val="center"/>
            <w:hideMark/>
          </w:tcPr>
          <w:p w14:paraId="0E3A029A"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USA</w:t>
            </w:r>
          </w:p>
        </w:tc>
        <w:tc>
          <w:tcPr>
            <w:tcW w:w="977" w:type="dxa"/>
            <w:noWrap/>
            <w:vAlign w:val="center"/>
            <w:hideMark/>
          </w:tcPr>
          <w:p w14:paraId="628279B4"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4283CB3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03468C31" w14:textId="77777777" w:rsidTr="00AD7B87">
        <w:trPr>
          <w:trHeight w:val="340"/>
        </w:trPr>
        <w:tc>
          <w:tcPr>
            <w:tcW w:w="5529" w:type="dxa"/>
            <w:noWrap/>
            <w:vAlign w:val="center"/>
            <w:hideMark/>
          </w:tcPr>
          <w:p w14:paraId="2025DDD4"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1440" w:type="dxa"/>
            <w:noWrap/>
            <w:vAlign w:val="center"/>
            <w:hideMark/>
          </w:tcPr>
          <w:p w14:paraId="67BBC4DC"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977" w:type="dxa"/>
            <w:noWrap/>
            <w:vAlign w:val="center"/>
            <w:hideMark/>
          </w:tcPr>
          <w:p w14:paraId="297C2AA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26</w:t>
            </w:r>
          </w:p>
        </w:tc>
        <w:tc>
          <w:tcPr>
            <w:tcW w:w="1116" w:type="dxa"/>
            <w:noWrap/>
            <w:vAlign w:val="center"/>
            <w:hideMark/>
          </w:tcPr>
          <w:p w14:paraId="1B7C1BE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10.6%</w:t>
            </w:r>
          </w:p>
        </w:tc>
      </w:tr>
      <w:tr w:rsidR="00121E13" w14:paraId="23F52601" w14:textId="77777777" w:rsidTr="00AD7B87">
        <w:trPr>
          <w:trHeight w:val="340"/>
        </w:trPr>
        <w:tc>
          <w:tcPr>
            <w:tcW w:w="5529" w:type="dxa"/>
            <w:noWrap/>
            <w:vAlign w:val="center"/>
            <w:hideMark/>
          </w:tcPr>
          <w:p w14:paraId="447CD42B"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SOUTHERN INSTITUTES - ALL OTHERS</w:t>
            </w:r>
          </w:p>
        </w:tc>
        <w:tc>
          <w:tcPr>
            <w:tcW w:w="1440" w:type="dxa"/>
            <w:noWrap/>
            <w:vAlign w:val="center"/>
            <w:hideMark/>
          </w:tcPr>
          <w:p w14:paraId="03E46173"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977" w:type="dxa"/>
            <w:noWrap/>
            <w:vAlign w:val="center"/>
            <w:hideMark/>
          </w:tcPr>
          <w:p w14:paraId="6B7B2B80"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1116" w:type="dxa"/>
            <w:noWrap/>
            <w:vAlign w:val="center"/>
            <w:hideMark/>
          </w:tcPr>
          <w:p w14:paraId="6F40CC9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rPr>
              <w:t> </w:t>
            </w:r>
          </w:p>
        </w:tc>
      </w:tr>
      <w:tr w:rsidR="00121E13" w14:paraId="4F39D3C0" w14:textId="77777777" w:rsidTr="00AD7B87">
        <w:trPr>
          <w:trHeight w:val="340"/>
        </w:trPr>
        <w:tc>
          <w:tcPr>
            <w:tcW w:w="5529" w:type="dxa"/>
            <w:noWrap/>
            <w:vAlign w:val="center"/>
            <w:hideMark/>
          </w:tcPr>
          <w:p w14:paraId="0EBFBEEC"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Ghana Health Service</w:t>
            </w:r>
          </w:p>
        </w:tc>
        <w:tc>
          <w:tcPr>
            <w:tcW w:w="1440" w:type="dxa"/>
            <w:noWrap/>
            <w:vAlign w:val="center"/>
            <w:hideMark/>
          </w:tcPr>
          <w:p w14:paraId="6D0C0CF1"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Ghana</w:t>
            </w:r>
          </w:p>
        </w:tc>
        <w:tc>
          <w:tcPr>
            <w:tcW w:w="977" w:type="dxa"/>
            <w:noWrap/>
            <w:vAlign w:val="center"/>
            <w:hideMark/>
          </w:tcPr>
          <w:p w14:paraId="0259760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4</w:t>
            </w:r>
          </w:p>
        </w:tc>
        <w:tc>
          <w:tcPr>
            <w:tcW w:w="1116" w:type="dxa"/>
            <w:noWrap/>
            <w:vAlign w:val="center"/>
            <w:hideMark/>
          </w:tcPr>
          <w:p w14:paraId="3D10F954"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1.6%</w:t>
            </w:r>
          </w:p>
        </w:tc>
      </w:tr>
      <w:tr w:rsidR="00121E13" w14:paraId="248A4348" w14:textId="77777777" w:rsidTr="00AD7B87">
        <w:trPr>
          <w:trHeight w:val="340"/>
        </w:trPr>
        <w:tc>
          <w:tcPr>
            <w:tcW w:w="5529" w:type="dxa"/>
            <w:noWrap/>
            <w:vAlign w:val="center"/>
            <w:hideMark/>
          </w:tcPr>
          <w:p w14:paraId="787D3B1F"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National Primary Health Care Development agency</w:t>
            </w:r>
          </w:p>
        </w:tc>
        <w:tc>
          <w:tcPr>
            <w:tcW w:w="1440" w:type="dxa"/>
            <w:noWrap/>
            <w:vAlign w:val="center"/>
            <w:hideMark/>
          </w:tcPr>
          <w:p w14:paraId="77521450"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22E22B3D"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2</w:t>
            </w:r>
          </w:p>
        </w:tc>
        <w:tc>
          <w:tcPr>
            <w:tcW w:w="1116" w:type="dxa"/>
            <w:noWrap/>
            <w:vAlign w:val="center"/>
            <w:hideMark/>
          </w:tcPr>
          <w:p w14:paraId="59A18578"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0.8%</w:t>
            </w:r>
          </w:p>
        </w:tc>
      </w:tr>
      <w:tr w:rsidR="00121E13" w14:paraId="55B7ACBF" w14:textId="77777777" w:rsidTr="00AD7B87">
        <w:trPr>
          <w:trHeight w:val="340"/>
        </w:trPr>
        <w:tc>
          <w:tcPr>
            <w:tcW w:w="5529" w:type="dxa"/>
            <w:noWrap/>
            <w:vAlign w:val="center"/>
            <w:hideMark/>
          </w:tcPr>
          <w:p w14:paraId="6743F034"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Agogo Presbyterian Hospital</w:t>
            </w:r>
          </w:p>
        </w:tc>
        <w:tc>
          <w:tcPr>
            <w:tcW w:w="1440" w:type="dxa"/>
            <w:noWrap/>
            <w:vAlign w:val="center"/>
            <w:hideMark/>
          </w:tcPr>
          <w:p w14:paraId="3462ECEF"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Ghana</w:t>
            </w:r>
          </w:p>
        </w:tc>
        <w:tc>
          <w:tcPr>
            <w:tcW w:w="977" w:type="dxa"/>
            <w:noWrap/>
            <w:vAlign w:val="center"/>
            <w:hideMark/>
          </w:tcPr>
          <w:p w14:paraId="522851D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6FD83D6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24FC9665" w14:textId="77777777" w:rsidTr="00AD7B87">
        <w:trPr>
          <w:trHeight w:val="340"/>
        </w:trPr>
        <w:tc>
          <w:tcPr>
            <w:tcW w:w="5529" w:type="dxa"/>
            <w:noWrap/>
            <w:vAlign w:val="center"/>
            <w:hideMark/>
          </w:tcPr>
          <w:p w14:paraId="026AF4A1"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Aminu Kano Teaching Hospital</w:t>
            </w:r>
          </w:p>
        </w:tc>
        <w:tc>
          <w:tcPr>
            <w:tcW w:w="1440" w:type="dxa"/>
            <w:noWrap/>
            <w:vAlign w:val="center"/>
            <w:hideMark/>
          </w:tcPr>
          <w:p w14:paraId="5C3784C6"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58ED9A4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2E44EB1D"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37F48D9D" w14:textId="77777777" w:rsidTr="00AD7B87">
        <w:trPr>
          <w:trHeight w:val="340"/>
        </w:trPr>
        <w:tc>
          <w:tcPr>
            <w:tcW w:w="5529" w:type="dxa"/>
            <w:noWrap/>
            <w:vAlign w:val="center"/>
            <w:hideMark/>
          </w:tcPr>
          <w:p w14:paraId="092278E3"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Federal Medical Centre</w:t>
            </w:r>
          </w:p>
        </w:tc>
        <w:tc>
          <w:tcPr>
            <w:tcW w:w="1440" w:type="dxa"/>
            <w:noWrap/>
            <w:vAlign w:val="center"/>
            <w:hideMark/>
          </w:tcPr>
          <w:p w14:paraId="0A8447ED"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0FC81010"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091CFBCD"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79A9569F" w14:textId="77777777" w:rsidTr="00AD7B87">
        <w:trPr>
          <w:trHeight w:val="340"/>
        </w:trPr>
        <w:tc>
          <w:tcPr>
            <w:tcW w:w="5529" w:type="dxa"/>
            <w:noWrap/>
            <w:vAlign w:val="center"/>
            <w:hideMark/>
          </w:tcPr>
          <w:p w14:paraId="3BE984F8" w14:textId="77777777" w:rsidR="00121E13" w:rsidRDefault="00121E13" w:rsidP="00AD7B87">
            <w:pPr>
              <w:spacing w:after="0" w:line="240" w:lineRule="auto"/>
              <w:rPr>
                <w:rFonts w:eastAsia="Times New Roman" w:cs="Times New Roman"/>
                <w:color w:val="000000"/>
                <w:sz w:val="20"/>
                <w:szCs w:val="20"/>
                <w:lang w:val="fr-FR"/>
              </w:rPr>
            </w:pPr>
            <w:r>
              <w:rPr>
                <w:rFonts w:eastAsia="Times New Roman" w:cs="Times New Roman"/>
                <w:color w:val="000000"/>
                <w:sz w:val="20"/>
                <w:szCs w:val="20"/>
                <w:lang w:val="fr-FR"/>
              </w:rPr>
              <w:t>Institut National de Santé Publique</w:t>
            </w:r>
          </w:p>
        </w:tc>
        <w:tc>
          <w:tcPr>
            <w:tcW w:w="1440" w:type="dxa"/>
            <w:noWrap/>
            <w:vAlign w:val="center"/>
            <w:hideMark/>
          </w:tcPr>
          <w:p w14:paraId="089EFC22" w14:textId="77777777" w:rsidR="00121E13" w:rsidRDefault="00121E13" w:rsidP="00AD7B87">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fr-FR"/>
              </w:rPr>
              <w:t>Cote d'Ivoire</w:t>
            </w:r>
          </w:p>
        </w:tc>
        <w:tc>
          <w:tcPr>
            <w:tcW w:w="977" w:type="dxa"/>
            <w:noWrap/>
            <w:vAlign w:val="center"/>
            <w:hideMark/>
          </w:tcPr>
          <w:p w14:paraId="563B564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3D68D46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64325881" w14:textId="77777777" w:rsidTr="00AD7B87">
        <w:trPr>
          <w:trHeight w:val="340"/>
        </w:trPr>
        <w:tc>
          <w:tcPr>
            <w:tcW w:w="5529" w:type="dxa"/>
            <w:noWrap/>
            <w:vAlign w:val="center"/>
            <w:hideMark/>
          </w:tcPr>
          <w:p w14:paraId="706CFE7B"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Irrua Specialist Teaching Hospital</w:t>
            </w:r>
          </w:p>
        </w:tc>
        <w:tc>
          <w:tcPr>
            <w:tcW w:w="1440" w:type="dxa"/>
            <w:noWrap/>
            <w:vAlign w:val="center"/>
            <w:hideMark/>
          </w:tcPr>
          <w:p w14:paraId="206BA41B"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5C83572E"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35B46278"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7A5F1348" w14:textId="77777777" w:rsidTr="00AD7B87">
        <w:trPr>
          <w:trHeight w:val="340"/>
        </w:trPr>
        <w:tc>
          <w:tcPr>
            <w:tcW w:w="5529" w:type="dxa"/>
            <w:noWrap/>
            <w:vAlign w:val="center"/>
            <w:hideMark/>
          </w:tcPr>
          <w:p w14:paraId="7A7A2E91"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Komfo Anokye Teaching Hospital</w:t>
            </w:r>
          </w:p>
        </w:tc>
        <w:tc>
          <w:tcPr>
            <w:tcW w:w="1440" w:type="dxa"/>
            <w:noWrap/>
            <w:vAlign w:val="center"/>
            <w:hideMark/>
          </w:tcPr>
          <w:p w14:paraId="3C596B7C"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Ghana</w:t>
            </w:r>
          </w:p>
        </w:tc>
        <w:tc>
          <w:tcPr>
            <w:tcW w:w="977" w:type="dxa"/>
            <w:noWrap/>
            <w:vAlign w:val="center"/>
            <w:hideMark/>
          </w:tcPr>
          <w:p w14:paraId="4D7D42CC"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5978624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47B66526" w14:textId="77777777" w:rsidTr="00AD7B87">
        <w:trPr>
          <w:trHeight w:val="340"/>
        </w:trPr>
        <w:tc>
          <w:tcPr>
            <w:tcW w:w="5529" w:type="dxa"/>
            <w:noWrap/>
            <w:vAlign w:val="center"/>
            <w:hideMark/>
          </w:tcPr>
          <w:p w14:paraId="2C73BB07"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National Hospital</w:t>
            </w:r>
          </w:p>
        </w:tc>
        <w:tc>
          <w:tcPr>
            <w:tcW w:w="1440" w:type="dxa"/>
            <w:noWrap/>
            <w:vAlign w:val="center"/>
            <w:hideMark/>
          </w:tcPr>
          <w:p w14:paraId="6EDAB76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57BB160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3F47FCB4"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3BCA1863" w14:textId="77777777" w:rsidTr="00AD7B87">
        <w:trPr>
          <w:trHeight w:val="340"/>
        </w:trPr>
        <w:tc>
          <w:tcPr>
            <w:tcW w:w="5529" w:type="dxa"/>
            <w:noWrap/>
            <w:vAlign w:val="center"/>
            <w:hideMark/>
          </w:tcPr>
          <w:p w14:paraId="3B5341E4"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Federal Ministry of Health, Abuja</w:t>
            </w:r>
          </w:p>
        </w:tc>
        <w:tc>
          <w:tcPr>
            <w:tcW w:w="1440" w:type="dxa"/>
            <w:noWrap/>
            <w:vAlign w:val="center"/>
            <w:hideMark/>
          </w:tcPr>
          <w:p w14:paraId="04138E90"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7D50EFC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250B4105"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44825855" w14:textId="77777777" w:rsidTr="00AD7B87">
        <w:trPr>
          <w:trHeight w:val="340"/>
        </w:trPr>
        <w:tc>
          <w:tcPr>
            <w:tcW w:w="5529" w:type="dxa"/>
            <w:noWrap/>
            <w:vAlign w:val="center"/>
            <w:hideMark/>
          </w:tcPr>
          <w:p w14:paraId="531650F3" w14:textId="77777777" w:rsidR="00121E13" w:rsidRDefault="00121E13" w:rsidP="00AD7B87">
            <w:pPr>
              <w:spacing w:after="0" w:line="240" w:lineRule="auto"/>
              <w:rPr>
                <w:rFonts w:eastAsia="Times New Roman" w:cs="Times New Roman"/>
                <w:color w:val="000000"/>
                <w:sz w:val="20"/>
                <w:szCs w:val="20"/>
                <w:lang w:val="fr-FR"/>
              </w:rPr>
            </w:pPr>
            <w:r>
              <w:rPr>
                <w:rFonts w:eastAsia="Times New Roman" w:cs="Times New Roman"/>
                <w:color w:val="000000"/>
                <w:sz w:val="20"/>
                <w:szCs w:val="20"/>
                <w:lang w:val="fr-FR"/>
              </w:rPr>
              <w:t>Ministère de la Santé et de l’Hygiène Publique</w:t>
            </w:r>
          </w:p>
        </w:tc>
        <w:tc>
          <w:tcPr>
            <w:tcW w:w="1440" w:type="dxa"/>
            <w:noWrap/>
            <w:vAlign w:val="center"/>
            <w:hideMark/>
          </w:tcPr>
          <w:p w14:paraId="1A2C62F4" w14:textId="77777777" w:rsidR="00121E13" w:rsidRDefault="00121E13" w:rsidP="00AD7B87">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fr-FR"/>
              </w:rPr>
              <w:t>Cote d'Ivoire</w:t>
            </w:r>
          </w:p>
        </w:tc>
        <w:tc>
          <w:tcPr>
            <w:tcW w:w="977" w:type="dxa"/>
            <w:noWrap/>
            <w:vAlign w:val="center"/>
            <w:hideMark/>
          </w:tcPr>
          <w:p w14:paraId="33DCFAF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3F94A4C8"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032F9723" w14:textId="77777777" w:rsidTr="00AD7B87">
        <w:trPr>
          <w:trHeight w:val="340"/>
        </w:trPr>
        <w:tc>
          <w:tcPr>
            <w:tcW w:w="5529" w:type="dxa"/>
            <w:noWrap/>
            <w:vAlign w:val="center"/>
            <w:hideMark/>
          </w:tcPr>
          <w:p w14:paraId="5783A040" w14:textId="77777777" w:rsidR="00121E13" w:rsidRDefault="00121E13" w:rsidP="00AD7B87">
            <w:pPr>
              <w:spacing w:after="0" w:line="240" w:lineRule="auto"/>
              <w:rPr>
                <w:rFonts w:eastAsia="Times New Roman" w:cs="Times New Roman"/>
                <w:color w:val="000000"/>
                <w:sz w:val="20"/>
                <w:szCs w:val="20"/>
                <w:lang w:val="fr-FR"/>
              </w:rPr>
            </w:pPr>
            <w:r>
              <w:rPr>
                <w:rFonts w:eastAsia="Times New Roman" w:cs="Times New Roman"/>
                <w:color w:val="000000"/>
                <w:sz w:val="20"/>
                <w:szCs w:val="20"/>
                <w:lang w:val="fr-FR"/>
              </w:rPr>
              <w:t>Ministère de la santé publique/Mission de coopération</w:t>
            </w:r>
          </w:p>
        </w:tc>
        <w:tc>
          <w:tcPr>
            <w:tcW w:w="1440" w:type="dxa"/>
            <w:noWrap/>
            <w:vAlign w:val="center"/>
            <w:hideMark/>
          </w:tcPr>
          <w:p w14:paraId="6FA79C40" w14:textId="77777777" w:rsidR="00121E13" w:rsidRDefault="00121E13" w:rsidP="00AD7B87">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fr-FR"/>
              </w:rPr>
              <w:t>Niger</w:t>
            </w:r>
          </w:p>
        </w:tc>
        <w:tc>
          <w:tcPr>
            <w:tcW w:w="977" w:type="dxa"/>
            <w:noWrap/>
            <w:vAlign w:val="center"/>
            <w:hideMark/>
          </w:tcPr>
          <w:p w14:paraId="0C223DC3"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18A814B8"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2A6EE85B" w14:textId="77777777" w:rsidTr="00AD7B87">
        <w:trPr>
          <w:trHeight w:val="340"/>
        </w:trPr>
        <w:tc>
          <w:tcPr>
            <w:tcW w:w="5529" w:type="dxa"/>
            <w:noWrap/>
            <w:vAlign w:val="center"/>
            <w:hideMark/>
          </w:tcPr>
          <w:p w14:paraId="53C5C758"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Burkinabe Public Health Association </w:t>
            </w:r>
          </w:p>
        </w:tc>
        <w:tc>
          <w:tcPr>
            <w:tcW w:w="1440" w:type="dxa"/>
            <w:noWrap/>
            <w:vAlign w:val="center"/>
            <w:hideMark/>
          </w:tcPr>
          <w:p w14:paraId="657D6C8F"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Burkina Faso</w:t>
            </w:r>
          </w:p>
        </w:tc>
        <w:tc>
          <w:tcPr>
            <w:tcW w:w="977" w:type="dxa"/>
            <w:noWrap/>
            <w:vAlign w:val="center"/>
            <w:hideMark/>
          </w:tcPr>
          <w:p w14:paraId="17BAA8E1"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6EED8E09"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19C483B2" w14:textId="77777777" w:rsidTr="00AD7B87">
        <w:trPr>
          <w:trHeight w:val="340"/>
        </w:trPr>
        <w:tc>
          <w:tcPr>
            <w:tcW w:w="5529" w:type="dxa"/>
            <w:noWrap/>
            <w:vAlign w:val="center"/>
            <w:hideMark/>
          </w:tcPr>
          <w:p w14:paraId="7BD4B2E9" w14:textId="77777777" w:rsidR="00121E13" w:rsidRDefault="00121E13" w:rsidP="00AD7B87">
            <w:pPr>
              <w:spacing w:after="0" w:line="240" w:lineRule="auto"/>
              <w:rPr>
                <w:rFonts w:eastAsia="Times New Roman" w:cs="Times New Roman"/>
                <w:color w:val="000000"/>
                <w:sz w:val="20"/>
                <w:szCs w:val="20"/>
                <w:lang w:val="fr-FR"/>
              </w:rPr>
            </w:pPr>
            <w:r>
              <w:rPr>
                <w:rFonts w:eastAsia="Times New Roman" w:cs="Times New Roman"/>
                <w:color w:val="000000"/>
                <w:sz w:val="20"/>
                <w:szCs w:val="20"/>
                <w:lang w:val="fr-FR"/>
              </w:rPr>
              <w:t xml:space="preserve">Cellule d’Analyse et de Prospective en Développement </w:t>
            </w:r>
          </w:p>
        </w:tc>
        <w:tc>
          <w:tcPr>
            <w:tcW w:w="1440" w:type="dxa"/>
            <w:noWrap/>
            <w:vAlign w:val="center"/>
            <w:hideMark/>
          </w:tcPr>
          <w:p w14:paraId="29E09C44" w14:textId="77777777" w:rsidR="00121E13" w:rsidRDefault="00121E13" w:rsidP="00AD7B87">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fr-FR"/>
              </w:rPr>
              <w:t>Niger</w:t>
            </w:r>
          </w:p>
        </w:tc>
        <w:tc>
          <w:tcPr>
            <w:tcW w:w="977" w:type="dxa"/>
            <w:noWrap/>
            <w:vAlign w:val="center"/>
            <w:hideMark/>
          </w:tcPr>
          <w:p w14:paraId="28D7ADDA"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7535532B"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50FD8819" w14:textId="77777777" w:rsidTr="00AD7B87">
        <w:trPr>
          <w:trHeight w:val="340"/>
        </w:trPr>
        <w:tc>
          <w:tcPr>
            <w:tcW w:w="5529" w:type="dxa"/>
            <w:noWrap/>
            <w:vAlign w:val="center"/>
            <w:hideMark/>
          </w:tcPr>
          <w:p w14:paraId="22FD0CDF" w14:textId="77777777" w:rsidR="00121E13" w:rsidRPr="00121E13" w:rsidRDefault="00121E13" w:rsidP="00AD7B87">
            <w:pPr>
              <w:spacing w:after="0" w:line="240" w:lineRule="auto"/>
              <w:rPr>
                <w:rFonts w:eastAsia="Times New Roman" w:cs="Times New Roman"/>
                <w:color w:val="000000"/>
                <w:sz w:val="20"/>
                <w:szCs w:val="20"/>
                <w:lang w:val="en-CA"/>
              </w:rPr>
            </w:pPr>
            <w:r w:rsidRPr="00121E13">
              <w:rPr>
                <w:rFonts w:eastAsia="Times New Roman" w:cs="Times New Roman"/>
                <w:color w:val="000000"/>
                <w:sz w:val="20"/>
                <w:szCs w:val="20"/>
                <w:lang w:val="en-CA"/>
              </w:rPr>
              <w:t>Partnership for Reviving Routine Immunisation in Northern-Maternal Newborn and Child Health </w:t>
            </w:r>
          </w:p>
        </w:tc>
        <w:tc>
          <w:tcPr>
            <w:tcW w:w="1440" w:type="dxa"/>
            <w:noWrap/>
            <w:vAlign w:val="center"/>
            <w:hideMark/>
          </w:tcPr>
          <w:p w14:paraId="60E38C3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1488206F"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45510A1B"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12EA0320" w14:textId="77777777" w:rsidTr="00AD7B87">
        <w:trPr>
          <w:trHeight w:val="340"/>
        </w:trPr>
        <w:tc>
          <w:tcPr>
            <w:tcW w:w="5529" w:type="dxa"/>
            <w:noWrap/>
            <w:vAlign w:val="center"/>
            <w:hideMark/>
          </w:tcPr>
          <w:p w14:paraId="295AFC34"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Mediplan healthcare limited</w:t>
            </w:r>
          </w:p>
        </w:tc>
        <w:tc>
          <w:tcPr>
            <w:tcW w:w="1440" w:type="dxa"/>
            <w:noWrap/>
            <w:vAlign w:val="center"/>
            <w:hideMark/>
          </w:tcPr>
          <w:p w14:paraId="228A178E"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26B67310"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4068E36F"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5C2695F5" w14:textId="77777777" w:rsidTr="00AD7B87">
        <w:trPr>
          <w:trHeight w:val="340"/>
        </w:trPr>
        <w:tc>
          <w:tcPr>
            <w:tcW w:w="5529" w:type="dxa"/>
            <w:noWrap/>
            <w:vAlign w:val="center"/>
            <w:hideMark/>
          </w:tcPr>
          <w:p w14:paraId="3686A862"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 Reinsurance Corporation</w:t>
            </w:r>
          </w:p>
        </w:tc>
        <w:tc>
          <w:tcPr>
            <w:tcW w:w="1440" w:type="dxa"/>
            <w:noWrap/>
            <w:vAlign w:val="center"/>
            <w:hideMark/>
          </w:tcPr>
          <w:p w14:paraId="66F6958F"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Nigeria</w:t>
            </w:r>
          </w:p>
        </w:tc>
        <w:tc>
          <w:tcPr>
            <w:tcW w:w="977" w:type="dxa"/>
            <w:noWrap/>
            <w:vAlign w:val="center"/>
            <w:hideMark/>
          </w:tcPr>
          <w:p w14:paraId="1CD4869D"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1</w:t>
            </w:r>
          </w:p>
        </w:tc>
        <w:tc>
          <w:tcPr>
            <w:tcW w:w="1116" w:type="dxa"/>
            <w:noWrap/>
            <w:vAlign w:val="center"/>
            <w:hideMark/>
          </w:tcPr>
          <w:p w14:paraId="203CEB96"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0.4%</w:t>
            </w:r>
          </w:p>
        </w:tc>
      </w:tr>
      <w:tr w:rsidR="00121E13" w14:paraId="3511F35F" w14:textId="77777777" w:rsidTr="00AD7B87">
        <w:trPr>
          <w:trHeight w:val="340"/>
        </w:trPr>
        <w:tc>
          <w:tcPr>
            <w:tcW w:w="5529" w:type="dxa"/>
            <w:noWrap/>
            <w:vAlign w:val="center"/>
            <w:hideMark/>
          </w:tcPr>
          <w:p w14:paraId="4F53C83F"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1440" w:type="dxa"/>
            <w:noWrap/>
            <w:vAlign w:val="center"/>
            <w:hideMark/>
          </w:tcPr>
          <w:p w14:paraId="5C35F679" w14:textId="77777777" w:rsidR="00121E13" w:rsidRDefault="00121E13" w:rsidP="00AD7B87">
            <w:pPr>
              <w:spacing w:after="0" w:line="240" w:lineRule="auto"/>
              <w:rPr>
                <w:rFonts w:eastAsia="Times New Roman" w:cs="Times New Roman"/>
                <w:color w:val="000000"/>
                <w:sz w:val="20"/>
                <w:szCs w:val="20"/>
              </w:rPr>
            </w:pPr>
            <w:r>
              <w:rPr>
                <w:rFonts w:eastAsia="Times New Roman" w:cs="Times New Roman"/>
                <w:color w:val="000000"/>
                <w:sz w:val="20"/>
                <w:szCs w:val="20"/>
                <w:lang w:val="fr-FR"/>
              </w:rPr>
              <w:t> </w:t>
            </w:r>
          </w:p>
        </w:tc>
        <w:tc>
          <w:tcPr>
            <w:tcW w:w="977" w:type="dxa"/>
            <w:noWrap/>
            <w:vAlign w:val="center"/>
            <w:hideMark/>
          </w:tcPr>
          <w:p w14:paraId="1D3D54C7"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w:t>
            </w:r>
          </w:p>
        </w:tc>
        <w:tc>
          <w:tcPr>
            <w:tcW w:w="1116" w:type="dxa"/>
            <w:noWrap/>
            <w:vAlign w:val="center"/>
            <w:hideMark/>
          </w:tcPr>
          <w:p w14:paraId="54EA2172" w14:textId="77777777" w:rsidR="00121E13" w:rsidRDefault="00121E13" w:rsidP="00AD7B87">
            <w:pPr>
              <w:spacing w:after="0" w:line="240" w:lineRule="auto"/>
              <w:jc w:val="right"/>
              <w:rPr>
                <w:rFonts w:eastAsia="Times New Roman" w:cs="Times New Roman"/>
                <w:color w:val="000000"/>
                <w:sz w:val="20"/>
                <w:szCs w:val="20"/>
              </w:rPr>
            </w:pPr>
            <w:r>
              <w:rPr>
                <w:rFonts w:eastAsia="Times New Roman" w:cs="Times New Roman"/>
                <w:color w:val="000000"/>
                <w:sz w:val="20"/>
                <w:szCs w:val="20"/>
                <w:lang w:val="fr-FR"/>
              </w:rPr>
              <w:t>8.5%</w:t>
            </w:r>
          </w:p>
        </w:tc>
      </w:tr>
      <w:tr w:rsidR="00121E13" w14:paraId="1B943D4B" w14:textId="77777777" w:rsidTr="00AD7B87">
        <w:trPr>
          <w:trHeight w:val="320"/>
        </w:trPr>
        <w:tc>
          <w:tcPr>
            <w:tcW w:w="5529" w:type="dxa"/>
            <w:noWrap/>
            <w:vAlign w:val="center"/>
            <w:hideMark/>
          </w:tcPr>
          <w:p w14:paraId="0CB25F01" w14:textId="77777777" w:rsidR="00121E13" w:rsidRDefault="00121E13" w:rsidP="00AD7B87">
            <w:pPr>
              <w:spacing w:after="0" w:line="240" w:lineRule="auto"/>
              <w:rPr>
                <w:rFonts w:eastAsia="Times New Roman" w:cs="Times New Roman"/>
                <w:color w:val="000000"/>
                <w:sz w:val="20"/>
                <w:szCs w:val="20"/>
              </w:rPr>
            </w:pPr>
          </w:p>
        </w:tc>
        <w:tc>
          <w:tcPr>
            <w:tcW w:w="1440" w:type="dxa"/>
            <w:noWrap/>
            <w:vAlign w:val="bottom"/>
            <w:hideMark/>
          </w:tcPr>
          <w:p w14:paraId="31F35486" w14:textId="77777777" w:rsidR="00121E13" w:rsidRDefault="00121E13" w:rsidP="00AD7B87">
            <w:pPr>
              <w:spacing w:after="0" w:line="240" w:lineRule="auto"/>
              <w:rPr>
                <w:sz w:val="20"/>
                <w:szCs w:val="20"/>
                <w:lang w:val="en-CA" w:eastAsia="en-CA"/>
              </w:rPr>
            </w:pPr>
          </w:p>
        </w:tc>
        <w:tc>
          <w:tcPr>
            <w:tcW w:w="977" w:type="dxa"/>
            <w:noWrap/>
            <w:vAlign w:val="bottom"/>
            <w:hideMark/>
          </w:tcPr>
          <w:p w14:paraId="5EFE6422" w14:textId="77777777" w:rsidR="00121E13" w:rsidRDefault="00121E13" w:rsidP="00AD7B87">
            <w:pPr>
              <w:spacing w:after="0" w:line="240" w:lineRule="auto"/>
              <w:rPr>
                <w:sz w:val="20"/>
                <w:szCs w:val="20"/>
                <w:lang w:val="en-CA" w:eastAsia="en-CA"/>
              </w:rPr>
            </w:pPr>
          </w:p>
        </w:tc>
        <w:tc>
          <w:tcPr>
            <w:tcW w:w="1116" w:type="dxa"/>
            <w:noWrap/>
            <w:vAlign w:val="bottom"/>
            <w:hideMark/>
          </w:tcPr>
          <w:p w14:paraId="605442D1" w14:textId="77777777" w:rsidR="00121E13" w:rsidRDefault="00121E13" w:rsidP="00AD7B87">
            <w:pPr>
              <w:spacing w:after="0" w:line="240" w:lineRule="auto"/>
              <w:rPr>
                <w:sz w:val="20"/>
                <w:szCs w:val="20"/>
                <w:lang w:val="en-CA" w:eastAsia="en-CA"/>
              </w:rPr>
            </w:pPr>
          </w:p>
        </w:tc>
      </w:tr>
      <w:tr w:rsidR="00121E13" w14:paraId="6DE4EC27" w14:textId="77777777" w:rsidTr="00AD7B87">
        <w:trPr>
          <w:trHeight w:val="320"/>
        </w:trPr>
        <w:tc>
          <w:tcPr>
            <w:tcW w:w="5529" w:type="dxa"/>
            <w:noWrap/>
            <w:vAlign w:val="center"/>
            <w:hideMark/>
          </w:tcPr>
          <w:p w14:paraId="21003945" w14:textId="77777777" w:rsidR="00121E13" w:rsidRDefault="00121E13" w:rsidP="00AD7B87">
            <w:pPr>
              <w:spacing w:after="0" w:line="240" w:lineRule="auto"/>
              <w:rPr>
                <w:rFonts w:eastAsia="Times New Roman" w:cs="Times New Roman"/>
                <w:color w:val="000000"/>
                <w:sz w:val="20"/>
                <w:szCs w:val="20"/>
                <w:lang w:val="en-US"/>
              </w:rPr>
            </w:pPr>
            <w:r>
              <w:rPr>
                <w:rFonts w:eastAsia="Times New Roman" w:cs="Times New Roman"/>
                <w:color w:val="000000"/>
                <w:sz w:val="20"/>
                <w:szCs w:val="20"/>
              </w:rPr>
              <w:t>Total</w:t>
            </w:r>
          </w:p>
        </w:tc>
        <w:tc>
          <w:tcPr>
            <w:tcW w:w="1440" w:type="dxa"/>
            <w:noWrap/>
            <w:vAlign w:val="bottom"/>
            <w:hideMark/>
          </w:tcPr>
          <w:p w14:paraId="20A1C96F" w14:textId="77777777" w:rsidR="00121E13" w:rsidRDefault="00121E13" w:rsidP="00AD7B87">
            <w:pPr>
              <w:spacing w:after="0" w:line="240" w:lineRule="auto"/>
              <w:rPr>
                <w:rFonts w:eastAsia="Times New Roman" w:cs="Times New Roman"/>
                <w:color w:val="000000"/>
                <w:sz w:val="20"/>
                <w:szCs w:val="20"/>
              </w:rPr>
            </w:pPr>
          </w:p>
        </w:tc>
        <w:tc>
          <w:tcPr>
            <w:tcW w:w="977" w:type="dxa"/>
            <w:noWrap/>
            <w:vAlign w:val="bottom"/>
            <w:hideMark/>
          </w:tcPr>
          <w:p w14:paraId="79B97818" w14:textId="77777777" w:rsidR="00121E13" w:rsidRDefault="00121E13" w:rsidP="00AD7B87">
            <w:pPr>
              <w:spacing w:after="0" w:line="240" w:lineRule="auto"/>
              <w:jc w:val="right"/>
              <w:rPr>
                <w:rFonts w:eastAsia="Times New Roman" w:cs="Times New Roman"/>
                <w:color w:val="000000"/>
                <w:sz w:val="20"/>
                <w:szCs w:val="20"/>
                <w:lang w:val="en-US"/>
              </w:rPr>
            </w:pPr>
            <w:r>
              <w:rPr>
                <w:rFonts w:eastAsia="Times New Roman" w:cs="Times New Roman"/>
                <w:color w:val="000000"/>
                <w:sz w:val="20"/>
                <w:szCs w:val="20"/>
              </w:rPr>
              <w:t>246</w:t>
            </w:r>
          </w:p>
        </w:tc>
        <w:tc>
          <w:tcPr>
            <w:tcW w:w="1116" w:type="dxa"/>
            <w:noWrap/>
            <w:vAlign w:val="bottom"/>
            <w:hideMark/>
          </w:tcPr>
          <w:p w14:paraId="5B412994" w14:textId="77777777" w:rsidR="00121E13" w:rsidRDefault="00121E13" w:rsidP="00AD7B87">
            <w:pPr>
              <w:spacing w:after="0" w:line="240" w:lineRule="auto"/>
              <w:rPr>
                <w:rFonts w:eastAsia="Times New Roman" w:cs="Times New Roman"/>
                <w:color w:val="000000"/>
                <w:sz w:val="20"/>
                <w:szCs w:val="20"/>
              </w:rPr>
            </w:pPr>
          </w:p>
        </w:tc>
      </w:tr>
    </w:tbl>
    <w:p w14:paraId="1F8830D9" w14:textId="77777777" w:rsidR="00950A81" w:rsidRDefault="00950A81" w:rsidP="00C923CD">
      <w:pPr>
        <w:suppressLineNumbers/>
        <w:spacing w:after="0" w:line="240" w:lineRule="auto"/>
        <w:jc w:val="both"/>
        <w:rPr>
          <w:lang w:val="en-US"/>
        </w:rPr>
      </w:pPr>
    </w:p>
    <w:p w14:paraId="5DC2C415" w14:textId="77777777" w:rsidR="00837BE1" w:rsidRDefault="00837BE1" w:rsidP="00837BE1">
      <w:pPr>
        <w:suppressLineNumbers/>
        <w:spacing w:after="0" w:line="240" w:lineRule="auto"/>
        <w:jc w:val="both"/>
      </w:pPr>
    </w:p>
    <w:p w14:paraId="13E931AC" w14:textId="77777777" w:rsidR="00837BE1" w:rsidRPr="00495A8C" w:rsidRDefault="00837BE1" w:rsidP="00837BE1">
      <w:pPr>
        <w:suppressLineNumbers/>
        <w:outlineLvl w:val="0"/>
        <w:rPr>
          <w:b/>
          <w:sz w:val="20"/>
        </w:rPr>
      </w:pPr>
      <w:r w:rsidRPr="00495A8C">
        <w:rPr>
          <w:b/>
          <w:sz w:val="20"/>
        </w:rPr>
        <w:t>Tableau </w:t>
      </w:r>
      <w:r>
        <w:rPr>
          <w:b/>
          <w:sz w:val="20"/>
        </w:rPr>
        <w:t>4</w:t>
      </w:r>
      <w:r w:rsidRPr="00495A8C">
        <w:rPr>
          <w:b/>
          <w:sz w:val="20"/>
        </w:rPr>
        <w:t> : Résumé des établissements des auteurs principaux</w:t>
      </w:r>
    </w:p>
    <w:tbl>
      <w:tblPr>
        <w:tblStyle w:val="TableGrid"/>
        <w:tblW w:w="0" w:type="auto"/>
        <w:tblLook w:val="04A0" w:firstRow="1" w:lastRow="0" w:firstColumn="1" w:lastColumn="0" w:noHBand="0" w:noVBand="1"/>
      </w:tblPr>
      <w:tblGrid>
        <w:gridCol w:w="2162"/>
        <w:gridCol w:w="2339"/>
        <w:gridCol w:w="2339"/>
        <w:gridCol w:w="2222"/>
      </w:tblGrid>
      <w:tr w:rsidR="00837BE1" w:rsidRPr="006E18BA" w14:paraId="26B17827" w14:textId="77777777" w:rsidTr="007173CC">
        <w:tc>
          <w:tcPr>
            <w:tcW w:w="0" w:type="auto"/>
          </w:tcPr>
          <w:p w14:paraId="7423575E" w14:textId="77777777" w:rsidR="00837BE1" w:rsidRPr="006E18BA" w:rsidRDefault="00837BE1" w:rsidP="007173CC">
            <w:r>
              <w:t>Type d’établissement</w:t>
            </w:r>
          </w:p>
        </w:tc>
        <w:tc>
          <w:tcPr>
            <w:tcW w:w="0" w:type="auto"/>
            <w:gridSpan w:val="3"/>
          </w:tcPr>
          <w:p w14:paraId="0ADBA0B8" w14:textId="77777777" w:rsidR="00837BE1" w:rsidRPr="006E18BA" w:rsidRDefault="00837BE1" w:rsidP="007173CC">
            <w:r>
              <w:t>Lieu</w:t>
            </w:r>
          </w:p>
        </w:tc>
      </w:tr>
      <w:tr w:rsidR="00837BE1" w:rsidRPr="006E18BA" w14:paraId="57348D52" w14:textId="77777777" w:rsidTr="007173CC">
        <w:tc>
          <w:tcPr>
            <w:tcW w:w="0" w:type="auto"/>
          </w:tcPr>
          <w:p w14:paraId="015B4AAF" w14:textId="77777777" w:rsidR="00837BE1" w:rsidRPr="006E18BA" w:rsidRDefault="00837BE1" w:rsidP="007173CC"/>
        </w:tc>
        <w:tc>
          <w:tcPr>
            <w:tcW w:w="0" w:type="auto"/>
          </w:tcPr>
          <w:p w14:paraId="264CDF3D" w14:textId="77777777" w:rsidR="00837BE1" w:rsidRPr="006E18BA" w:rsidRDefault="00837BE1" w:rsidP="007173CC">
            <w:r>
              <w:t>Nord</w:t>
            </w:r>
          </w:p>
          <w:p w14:paraId="6E1CDB75" w14:textId="77777777" w:rsidR="00837BE1" w:rsidRPr="006E18BA" w:rsidRDefault="00837BE1" w:rsidP="007173CC">
            <w:r>
              <w:t>(% des types d’établissements)</w:t>
            </w:r>
          </w:p>
        </w:tc>
        <w:tc>
          <w:tcPr>
            <w:tcW w:w="0" w:type="auto"/>
          </w:tcPr>
          <w:p w14:paraId="641C1AF7" w14:textId="77777777" w:rsidR="00837BE1" w:rsidRPr="006E18BA" w:rsidRDefault="00837BE1" w:rsidP="007173CC">
            <w:r>
              <w:t>Sud</w:t>
            </w:r>
          </w:p>
          <w:p w14:paraId="254356EA" w14:textId="77777777" w:rsidR="00837BE1" w:rsidRPr="006E18BA" w:rsidRDefault="00837BE1" w:rsidP="007173CC">
            <w:r>
              <w:t xml:space="preserve">(% des types d’établissements) </w:t>
            </w:r>
          </w:p>
        </w:tc>
        <w:tc>
          <w:tcPr>
            <w:tcW w:w="0" w:type="auto"/>
          </w:tcPr>
          <w:p w14:paraId="236A190A" w14:textId="77777777" w:rsidR="00837BE1" w:rsidRPr="006E18BA" w:rsidRDefault="00837BE1" w:rsidP="007173CC">
            <w:r>
              <w:t xml:space="preserve">Total </w:t>
            </w:r>
          </w:p>
          <w:p w14:paraId="384F59CB" w14:textId="77777777" w:rsidR="00837BE1" w:rsidRPr="006E18BA" w:rsidRDefault="00837BE1" w:rsidP="007173CC">
            <w:r>
              <w:t>(% de tous les établissements)</w:t>
            </w:r>
          </w:p>
        </w:tc>
      </w:tr>
      <w:tr w:rsidR="00837BE1" w:rsidRPr="006E18BA" w14:paraId="53D4F76E" w14:textId="77777777" w:rsidTr="007173CC">
        <w:tc>
          <w:tcPr>
            <w:tcW w:w="0" w:type="auto"/>
          </w:tcPr>
          <w:p w14:paraId="161E750F" w14:textId="77777777" w:rsidR="00837BE1" w:rsidRPr="006E18BA" w:rsidRDefault="00837BE1" w:rsidP="007173CC">
            <w:r>
              <w:t>Organisme gouvernemental</w:t>
            </w:r>
          </w:p>
        </w:tc>
        <w:tc>
          <w:tcPr>
            <w:tcW w:w="0" w:type="auto"/>
          </w:tcPr>
          <w:p w14:paraId="297D7400" w14:textId="77777777" w:rsidR="00837BE1" w:rsidRPr="006E18BA" w:rsidRDefault="00837BE1" w:rsidP="007173CC">
            <w:r>
              <w:t>6 (40 %)</w:t>
            </w:r>
          </w:p>
        </w:tc>
        <w:tc>
          <w:tcPr>
            <w:tcW w:w="0" w:type="auto"/>
          </w:tcPr>
          <w:p w14:paraId="4CD7FCA4" w14:textId="77777777" w:rsidR="00837BE1" w:rsidRPr="006E18BA" w:rsidRDefault="00837BE1" w:rsidP="007173CC">
            <w:r>
              <w:t>9 (60 %)</w:t>
            </w:r>
          </w:p>
        </w:tc>
        <w:tc>
          <w:tcPr>
            <w:tcW w:w="0" w:type="auto"/>
          </w:tcPr>
          <w:p w14:paraId="1503F4D9" w14:textId="77777777" w:rsidR="00837BE1" w:rsidRPr="006E18BA" w:rsidRDefault="00837BE1" w:rsidP="007173CC">
            <w:r>
              <w:t>15 (6 %)</w:t>
            </w:r>
          </w:p>
        </w:tc>
      </w:tr>
      <w:tr w:rsidR="00837BE1" w:rsidRPr="006E18BA" w14:paraId="78828A45" w14:textId="77777777" w:rsidTr="007173CC">
        <w:tc>
          <w:tcPr>
            <w:tcW w:w="0" w:type="auto"/>
          </w:tcPr>
          <w:p w14:paraId="2C25258E" w14:textId="77777777" w:rsidR="00837BE1" w:rsidRPr="006E18BA" w:rsidRDefault="00837BE1" w:rsidP="007173CC">
            <w:r>
              <w:t>Hôpital</w:t>
            </w:r>
          </w:p>
        </w:tc>
        <w:tc>
          <w:tcPr>
            <w:tcW w:w="0" w:type="auto"/>
          </w:tcPr>
          <w:p w14:paraId="281E9653" w14:textId="77777777" w:rsidR="00837BE1" w:rsidRPr="006E18BA" w:rsidRDefault="00837BE1" w:rsidP="007173CC">
            <w:r>
              <w:t>1 (14 %)</w:t>
            </w:r>
          </w:p>
        </w:tc>
        <w:tc>
          <w:tcPr>
            <w:tcW w:w="0" w:type="auto"/>
          </w:tcPr>
          <w:p w14:paraId="3879AA8C" w14:textId="77777777" w:rsidR="00837BE1" w:rsidRPr="006E18BA" w:rsidRDefault="00837BE1" w:rsidP="007173CC">
            <w:r>
              <w:t>6 (86 %)</w:t>
            </w:r>
          </w:p>
        </w:tc>
        <w:tc>
          <w:tcPr>
            <w:tcW w:w="0" w:type="auto"/>
          </w:tcPr>
          <w:p w14:paraId="2E907FC6" w14:textId="77777777" w:rsidR="00837BE1" w:rsidRPr="006E18BA" w:rsidRDefault="00837BE1" w:rsidP="007173CC">
            <w:r>
              <w:t>7 (3 %)</w:t>
            </w:r>
          </w:p>
        </w:tc>
      </w:tr>
      <w:tr w:rsidR="00837BE1" w:rsidRPr="006E18BA" w14:paraId="05E0D0AB" w14:textId="77777777" w:rsidTr="007173CC">
        <w:trPr>
          <w:trHeight w:val="296"/>
        </w:trPr>
        <w:tc>
          <w:tcPr>
            <w:tcW w:w="0" w:type="auto"/>
          </w:tcPr>
          <w:p w14:paraId="42FF73E0" w14:textId="77777777" w:rsidR="00837BE1" w:rsidRPr="006E18BA" w:rsidRDefault="00837BE1" w:rsidP="007173CC">
            <w:r>
              <w:t>International bilatéral</w:t>
            </w:r>
          </w:p>
        </w:tc>
        <w:tc>
          <w:tcPr>
            <w:tcW w:w="0" w:type="auto"/>
          </w:tcPr>
          <w:p w14:paraId="5D0D2720" w14:textId="77777777" w:rsidR="00837BE1" w:rsidRPr="006E18BA" w:rsidRDefault="00837BE1" w:rsidP="007173CC">
            <w:r>
              <w:t>1 (100 %)</w:t>
            </w:r>
          </w:p>
        </w:tc>
        <w:tc>
          <w:tcPr>
            <w:tcW w:w="0" w:type="auto"/>
          </w:tcPr>
          <w:p w14:paraId="5CA2CCCB" w14:textId="77777777" w:rsidR="00837BE1" w:rsidRPr="006E18BA" w:rsidRDefault="00837BE1" w:rsidP="007173CC">
            <w:r>
              <w:t>0 (0 %)</w:t>
            </w:r>
          </w:p>
        </w:tc>
        <w:tc>
          <w:tcPr>
            <w:tcW w:w="0" w:type="auto"/>
          </w:tcPr>
          <w:p w14:paraId="6C975D3D" w14:textId="77777777" w:rsidR="00837BE1" w:rsidRPr="006E18BA" w:rsidRDefault="00837BE1" w:rsidP="007173CC">
            <w:r>
              <w:t>1 (0,4 %)</w:t>
            </w:r>
          </w:p>
        </w:tc>
      </w:tr>
      <w:tr w:rsidR="00837BE1" w:rsidRPr="006E18BA" w14:paraId="1E22C6CF" w14:textId="77777777" w:rsidTr="007173CC">
        <w:tc>
          <w:tcPr>
            <w:tcW w:w="0" w:type="auto"/>
          </w:tcPr>
          <w:p w14:paraId="1CB1EBFE" w14:textId="77777777" w:rsidR="00837BE1" w:rsidRPr="006E18BA" w:rsidRDefault="00837BE1" w:rsidP="007173CC">
            <w:r>
              <w:t>International multilatéral</w:t>
            </w:r>
          </w:p>
        </w:tc>
        <w:tc>
          <w:tcPr>
            <w:tcW w:w="0" w:type="auto"/>
          </w:tcPr>
          <w:p w14:paraId="70B727C4" w14:textId="77777777" w:rsidR="00837BE1" w:rsidRPr="006E18BA" w:rsidRDefault="00837BE1" w:rsidP="007173CC">
            <w:r>
              <w:t>6 (100 %)</w:t>
            </w:r>
          </w:p>
        </w:tc>
        <w:tc>
          <w:tcPr>
            <w:tcW w:w="0" w:type="auto"/>
          </w:tcPr>
          <w:p w14:paraId="3D7D88C2" w14:textId="77777777" w:rsidR="00837BE1" w:rsidRPr="006E18BA" w:rsidRDefault="00837BE1" w:rsidP="007173CC">
            <w:r>
              <w:t>0 (0 %)</w:t>
            </w:r>
          </w:p>
        </w:tc>
        <w:tc>
          <w:tcPr>
            <w:tcW w:w="0" w:type="auto"/>
          </w:tcPr>
          <w:p w14:paraId="13F44C60" w14:textId="77777777" w:rsidR="00837BE1" w:rsidRPr="006E18BA" w:rsidRDefault="00837BE1" w:rsidP="007173CC">
            <w:r>
              <w:t>6 (2 %)</w:t>
            </w:r>
          </w:p>
        </w:tc>
      </w:tr>
      <w:tr w:rsidR="00837BE1" w:rsidRPr="006E18BA" w14:paraId="06AE83C9" w14:textId="77777777" w:rsidTr="007173CC">
        <w:tc>
          <w:tcPr>
            <w:tcW w:w="0" w:type="auto"/>
          </w:tcPr>
          <w:p w14:paraId="3731B510" w14:textId="77777777" w:rsidR="00837BE1" w:rsidRPr="006E18BA" w:rsidRDefault="00837BE1" w:rsidP="007173CC">
            <w:r>
              <w:t>ONG/Privé</w:t>
            </w:r>
          </w:p>
        </w:tc>
        <w:tc>
          <w:tcPr>
            <w:tcW w:w="0" w:type="auto"/>
          </w:tcPr>
          <w:p w14:paraId="08FBF3B1" w14:textId="77777777" w:rsidR="00837BE1" w:rsidRPr="006E18BA" w:rsidRDefault="00837BE1" w:rsidP="007173CC">
            <w:r>
              <w:t>11 (73 %)</w:t>
            </w:r>
          </w:p>
        </w:tc>
        <w:tc>
          <w:tcPr>
            <w:tcW w:w="0" w:type="auto"/>
          </w:tcPr>
          <w:p w14:paraId="44C08EB7" w14:textId="77777777" w:rsidR="00837BE1" w:rsidRPr="006E18BA" w:rsidRDefault="00837BE1" w:rsidP="007173CC">
            <w:r>
              <w:t>4 (27 %)</w:t>
            </w:r>
          </w:p>
        </w:tc>
        <w:tc>
          <w:tcPr>
            <w:tcW w:w="0" w:type="auto"/>
          </w:tcPr>
          <w:p w14:paraId="2A2FCBE9" w14:textId="77777777" w:rsidR="00837BE1" w:rsidRPr="006E18BA" w:rsidRDefault="00837BE1" w:rsidP="007173CC">
            <w:r>
              <w:t>15 (6 %)</w:t>
            </w:r>
          </w:p>
        </w:tc>
      </w:tr>
      <w:tr w:rsidR="00837BE1" w:rsidRPr="006E18BA" w14:paraId="1FA23452" w14:textId="77777777" w:rsidTr="007173CC">
        <w:tc>
          <w:tcPr>
            <w:tcW w:w="0" w:type="auto"/>
          </w:tcPr>
          <w:p w14:paraId="70027D33" w14:textId="77777777" w:rsidR="00837BE1" w:rsidRPr="006E18BA" w:rsidRDefault="00837BE1" w:rsidP="007173CC">
            <w:r>
              <w:t>Privé (autre)</w:t>
            </w:r>
          </w:p>
        </w:tc>
        <w:tc>
          <w:tcPr>
            <w:tcW w:w="0" w:type="auto"/>
          </w:tcPr>
          <w:p w14:paraId="2A89FCCC" w14:textId="77777777" w:rsidR="00837BE1" w:rsidRPr="006E18BA" w:rsidRDefault="00837BE1" w:rsidP="007173CC">
            <w:r>
              <w:t>1 (33 %)</w:t>
            </w:r>
          </w:p>
        </w:tc>
        <w:tc>
          <w:tcPr>
            <w:tcW w:w="0" w:type="auto"/>
          </w:tcPr>
          <w:p w14:paraId="0AB3EDE9" w14:textId="77777777" w:rsidR="00837BE1" w:rsidRPr="006E18BA" w:rsidRDefault="00837BE1" w:rsidP="007173CC">
            <w:r>
              <w:t>2 (67 %)</w:t>
            </w:r>
          </w:p>
        </w:tc>
        <w:tc>
          <w:tcPr>
            <w:tcW w:w="0" w:type="auto"/>
          </w:tcPr>
          <w:p w14:paraId="33BAC848" w14:textId="77777777" w:rsidR="00837BE1" w:rsidRPr="006E18BA" w:rsidRDefault="00837BE1" w:rsidP="007173CC">
            <w:r>
              <w:t>3 (1 %)</w:t>
            </w:r>
          </w:p>
        </w:tc>
      </w:tr>
      <w:tr w:rsidR="00837BE1" w:rsidRPr="006E18BA" w14:paraId="5E82FDA4" w14:textId="77777777" w:rsidTr="007173CC">
        <w:tc>
          <w:tcPr>
            <w:tcW w:w="0" w:type="auto"/>
          </w:tcPr>
          <w:p w14:paraId="2CBDF02D" w14:textId="77777777" w:rsidR="00837BE1" w:rsidRPr="006E18BA" w:rsidRDefault="00837BE1" w:rsidP="007173CC">
            <w:r>
              <w:t>Institut de recherche</w:t>
            </w:r>
          </w:p>
        </w:tc>
        <w:tc>
          <w:tcPr>
            <w:tcW w:w="0" w:type="auto"/>
          </w:tcPr>
          <w:p w14:paraId="0DB3C5A4" w14:textId="77777777" w:rsidR="00837BE1" w:rsidRPr="006E18BA" w:rsidRDefault="00837BE1" w:rsidP="007173CC">
            <w:r>
              <w:t>10 (27 %)</w:t>
            </w:r>
          </w:p>
        </w:tc>
        <w:tc>
          <w:tcPr>
            <w:tcW w:w="0" w:type="auto"/>
          </w:tcPr>
          <w:p w14:paraId="44B1EF82" w14:textId="77777777" w:rsidR="00837BE1" w:rsidRPr="006E18BA" w:rsidRDefault="00837BE1" w:rsidP="007173CC">
            <w:r>
              <w:t>27 (73 %)</w:t>
            </w:r>
          </w:p>
        </w:tc>
        <w:tc>
          <w:tcPr>
            <w:tcW w:w="0" w:type="auto"/>
          </w:tcPr>
          <w:p w14:paraId="793E1A47" w14:textId="77777777" w:rsidR="00837BE1" w:rsidRPr="006E18BA" w:rsidRDefault="00837BE1" w:rsidP="007173CC">
            <w:r>
              <w:t>37 (15 %)</w:t>
            </w:r>
          </w:p>
        </w:tc>
      </w:tr>
      <w:tr w:rsidR="00837BE1" w:rsidRPr="006E18BA" w14:paraId="769F5438" w14:textId="77777777" w:rsidTr="007173CC">
        <w:tc>
          <w:tcPr>
            <w:tcW w:w="0" w:type="auto"/>
          </w:tcPr>
          <w:p w14:paraId="6249737D" w14:textId="77777777" w:rsidR="00837BE1" w:rsidRPr="006E18BA" w:rsidRDefault="00837BE1" w:rsidP="007173CC">
            <w:r>
              <w:t>Université</w:t>
            </w:r>
          </w:p>
        </w:tc>
        <w:tc>
          <w:tcPr>
            <w:tcW w:w="0" w:type="auto"/>
          </w:tcPr>
          <w:p w14:paraId="36E0665E" w14:textId="77777777" w:rsidR="00837BE1" w:rsidRPr="006E18BA" w:rsidRDefault="00837BE1" w:rsidP="007173CC">
            <w:r>
              <w:t>100 (62 %)</w:t>
            </w:r>
          </w:p>
        </w:tc>
        <w:tc>
          <w:tcPr>
            <w:tcW w:w="0" w:type="auto"/>
          </w:tcPr>
          <w:p w14:paraId="59C3E376" w14:textId="77777777" w:rsidR="00837BE1" w:rsidRPr="006E18BA" w:rsidRDefault="00837BE1" w:rsidP="007173CC">
            <w:r>
              <w:t>62 (38 %)</w:t>
            </w:r>
          </w:p>
        </w:tc>
        <w:tc>
          <w:tcPr>
            <w:tcW w:w="0" w:type="auto"/>
          </w:tcPr>
          <w:p w14:paraId="4AFA125D" w14:textId="77777777" w:rsidR="00837BE1" w:rsidRPr="006E18BA" w:rsidRDefault="00837BE1" w:rsidP="007173CC">
            <w:r>
              <w:t>162 (66 %)</w:t>
            </w:r>
          </w:p>
        </w:tc>
      </w:tr>
      <w:tr w:rsidR="00837BE1" w:rsidRPr="006E18BA" w14:paraId="70D097C9" w14:textId="77777777" w:rsidTr="007173CC">
        <w:tc>
          <w:tcPr>
            <w:tcW w:w="0" w:type="auto"/>
          </w:tcPr>
          <w:p w14:paraId="596EF1C3" w14:textId="77777777" w:rsidR="00837BE1" w:rsidRPr="006E18BA" w:rsidRDefault="00837BE1" w:rsidP="007173CC">
            <w:r>
              <w:t>Total</w:t>
            </w:r>
          </w:p>
        </w:tc>
        <w:tc>
          <w:tcPr>
            <w:tcW w:w="0" w:type="auto"/>
          </w:tcPr>
          <w:p w14:paraId="103DA4C7" w14:textId="77777777" w:rsidR="00837BE1" w:rsidRPr="006E18BA" w:rsidRDefault="00837BE1" w:rsidP="007173CC">
            <w:r>
              <w:t>136 (55 %)</w:t>
            </w:r>
          </w:p>
        </w:tc>
        <w:tc>
          <w:tcPr>
            <w:tcW w:w="0" w:type="auto"/>
          </w:tcPr>
          <w:p w14:paraId="27E71F17" w14:textId="77777777" w:rsidR="00837BE1" w:rsidRPr="006E18BA" w:rsidRDefault="00837BE1" w:rsidP="007173CC">
            <w:r>
              <w:t>110 (45 %)</w:t>
            </w:r>
          </w:p>
        </w:tc>
        <w:tc>
          <w:tcPr>
            <w:tcW w:w="0" w:type="auto"/>
          </w:tcPr>
          <w:p w14:paraId="68A0830E" w14:textId="77777777" w:rsidR="00837BE1" w:rsidRPr="006E18BA" w:rsidRDefault="00837BE1" w:rsidP="007173CC">
            <w:r>
              <w:t>246 (100 %)</w:t>
            </w:r>
          </w:p>
        </w:tc>
      </w:tr>
    </w:tbl>
    <w:p w14:paraId="0D5BE2D9" w14:textId="77777777" w:rsidR="00837BE1" w:rsidRDefault="00837BE1" w:rsidP="00837BE1">
      <w:pPr>
        <w:suppressLineNumbers/>
        <w:spacing w:after="0" w:line="240" w:lineRule="auto"/>
        <w:jc w:val="both"/>
      </w:pPr>
    </w:p>
    <w:p w14:paraId="0ABBB2B0" w14:textId="77777777" w:rsidR="00837BE1" w:rsidRPr="00C923CD" w:rsidRDefault="00837BE1" w:rsidP="00C923CD">
      <w:pPr>
        <w:suppressLineNumbers/>
        <w:spacing w:after="0" w:line="240" w:lineRule="auto"/>
        <w:jc w:val="both"/>
      </w:pPr>
    </w:p>
    <w:p w14:paraId="61D145A0" w14:textId="77777777" w:rsidR="008C7E2A" w:rsidRPr="00C923CD" w:rsidRDefault="000B4DBB" w:rsidP="00C923CD">
      <w:pPr>
        <w:suppressLineNumbers/>
        <w:spacing w:after="0" w:line="240" w:lineRule="auto"/>
        <w:jc w:val="both"/>
        <w:outlineLvl w:val="0"/>
        <w:rPr>
          <w:b/>
          <w:u w:val="single"/>
        </w:rPr>
      </w:pPr>
      <w:r w:rsidRPr="00C923CD">
        <w:rPr>
          <w:b/>
          <w:u w:val="single"/>
        </w:rPr>
        <w:t>Langue de publication</w:t>
      </w:r>
    </w:p>
    <w:p w14:paraId="3468FB5E" w14:textId="4FE7D4D5" w:rsidR="008C7E2A" w:rsidRPr="00C923CD" w:rsidRDefault="008C7E2A" w:rsidP="00C923CD">
      <w:pPr>
        <w:suppressLineNumbers/>
        <w:spacing w:after="0" w:line="240" w:lineRule="auto"/>
        <w:jc w:val="both"/>
      </w:pPr>
      <w:r w:rsidRPr="00C923CD">
        <w:t xml:space="preserve">Même si le français est largement parlé dans la sous-région, la plupart des publications (84,96 %) étaient en anglais. Ce nombre comprend les publications de travaux effectués dans les pays francophones, et la seule publication de la Guinée-Bissau. </w:t>
      </w:r>
    </w:p>
    <w:p w14:paraId="3A8022BC" w14:textId="77777777" w:rsidR="008C7E2A" w:rsidRPr="00C923CD" w:rsidRDefault="008C7E2A" w:rsidP="00C923CD">
      <w:pPr>
        <w:suppressLineNumbers/>
        <w:spacing w:after="0" w:line="240" w:lineRule="auto"/>
        <w:jc w:val="both"/>
      </w:pPr>
    </w:p>
    <w:p w14:paraId="60C15B1D" w14:textId="0F710167" w:rsidR="008C7E2A" w:rsidRPr="00C923CD" w:rsidRDefault="00BC27E7" w:rsidP="00C923CD">
      <w:pPr>
        <w:suppressLineNumbers/>
        <w:spacing w:after="0" w:line="240" w:lineRule="auto"/>
        <w:jc w:val="both"/>
        <w:outlineLvl w:val="0"/>
        <w:rPr>
          <w:b/>
        </w:rPr>
      </w:pPr>
      <w:r w:rsidRPr="00C923CD">
        <w:rPr>
          <w:b/>
        </w:rPr>
        <w:t>Discussion</w:t>
      </w:r>
    </w:p>
    <w:p w14:paraId="74D1590C" w14:textId="1CE937D1" w:rsidR="008C7E2A" w:rsidRPr="00C923CD" w:rsidRDefault="00996F9F" w:rsidP="00C923CD">
      <w:pPr>
        <w:suppressLineNumbers/>
        <w:spacing w:after="0" w:line="240" w:lineRule="auto"/>
        <w:jc w:val="both"/>
      </w:pPr>
      <w:r w:rsidRPr="00C923CD">
        <w:t>Cette étude confirme l</w:t>
      </w:r>
      <w:r w:rsidR="003275A7" w:rsidRPr="00C923CD">
        <w:t>’</w:t>
      </w:r>
      <w:r w:rsidRPr="00C923CD">
        <w:t>observation d</w:t>
      </w:r>
      <w:r w:rsidR="003275A7" w:rsidRPr="00C923CD">
        <w:t>’</w:t>
      </w:r>
      <w:r w:rsidRPr="00C923CD">
        <w:t>un intérêt accru mondialement pour la RPSS à compter de 2008[</w:t>
      </w:r>
      <w:r w:rsidR="002F7453" w:rsidRPr="00C923CD">
        <w:rPr>
          <w:rStyle w:val="EndnoteReference"/>
          <w:lang w:val="en-GB"/>
        </w:rPr>
        <w:endnoteReference w:id="41"/>
      </w:r>
      <w:r w:rsidRPr="00C923CD">
        <w:t>]. De façon similaire, le taux de publication au sein de la CEDEAO a commencé à augmenter considérablement à partir de 2008. Cette augmentation de publications à comité de lecture peut être attribuée à plusieurs facteurs. Nous émettons l</w:t>
      </w:r>
      <w:r w:rsidR="003275A7" w:rsidRPr="00C923CD">
        <w:t>’</w:t>
      </w:r>
      <w:r w:rsidRPr="00C923CD">
        <w:t>hypothèse que le Sommet de Mexico</w:t>
      </w:r>
      <w:r w:rsidR="0042153C" w:rsidRPr="00C923CD">
        <w:t xml:space="preserve"> de 2004</w:t>
      </w:r>
      <w:r w:rsidRPr="00C923CD">
        <w:t>, la première discussion ministérielle de haut niveau qui a remis la santé mondiale à l</w:t>
      </w:r>
      <w:r w:rsidR="003275A7" w:rsidRPr="00C923CD">
        <w:t>’</w:t>
      </w:r>
      <w:r w:rsidRPr="00C923CD">
        <w:t>ordre du jour, pourrait avoir contribué à cette augmentation</w:t>
      </w:r>
      <w:r w:rsidR="007A6BD8" w:rsidRPr="00C923CD">
        <w:t xml:space="preserve">. </w:t>
      </w:r>
      <w:r w:rsidRPr="00C923CD">
        <w:t>Les séries de forums mondiaux sur la recherche en santé, y compris leurs documents de résultats axés sur l</w:t>
      </w:r>
      <w:r w:rsidR="003275A7" w:rsidRPr="00C923CD">
        <w:t>’</w:t>
      </w:r>
      <w:r w:rsidRPr="00C923CD">
        <w:t>action et les activités qui ont menés au deuxième Forum ministériel en 2008, suivi peu de temps après par le premier Symposium mondial sur la recherche sur les systèmes de santé en 2010, pourraient toutes avoir accru l</w:t>
      </w:r>
      <w:r w:rsidR="003275A7" w:rsidRPr="00C923CD">
        <w:t>’</w:t>
      </w:r>
      <w:r w:rsidRPr="00C923CD">
        <w:t>intérêt et la reconnaissance de la valeur de la RPSS</w:t>
      </w:r>
      <w:r w:rsidR="007A6BD8" w:rsidRPr="00C923CD">
        <w:t xml:space="preserve">. </w:t>
      </w:r>
      <w:r w:rsidRPr="00C923CD">
        <w:t>Un total de 33 articles ont été publiés entre 1991 et 2003, les 12 années précédant le Sommet de Mexico de 2004</w:t>
      </w:r>
      <w:r w:rsidR="007A6BD8" w:rsidRPr="00C923CD">
        <w:t xml:space="preserve">. </w:t>
      </w:r>
      <w:r w:rsidRPr="00C923CD">
        <w:t>La situation s</w:t>
      </w:r>
      <w:r w:rsidR="003275A7" w:rsidRPr="00C923CD">
        <w:t>’</w:t>
      </w:r>
      <w:r w:rsidRPr="00C923CD">
        <w:t>est améliorée grâce à une augmentation par six des publications au cours de la période de 12 ans qui a suivi, de 2004 à 2015, avec un total de 212 publications</w:t>
      </w:r>
      <w:r w:rsidR="007A6BD8" w:rsidRPr="00C923CD">
        <w:t xml:space="preserve">. </w:t>
      </w:r>
    </w:p>
    <w:p w14:paraId="191A56CE" w14:textId="77777777" w:rsidR="00837BE1" w:rsidRDefault="00837BE1" w:rsidP="00C923CD">
      <w:pPr>
        <w:suppressLineNumbers/>
        <w:spacing w:after="0" w:line="240" w:lineRule="auto"/>
        <w:jc w:val="both"/>
      </w:pPr>
    </w:p>
    <w:p w14:paraId="1E5228AF" w14:textId="466BB50D" w:rsidR="008C7E2A" w:rsidRPr="00C923CD" w:rsidRDefault="008C7E2A" w:rsidP="00C923CD">
      <w:pPr>
        <w:suppressLineNumbers/>
        <w:spacing w:after="0" w:line="240" w:lineRule="auto"/>
        <w:jc w:val="both"/>
      </w:pPr>
      <w:r w:rsidRPr="00C923CD">
        <w:t>De multiples actions et événements mondiaux qui ont mis l</w:t>
      </w:r>
      <w:r w:rsidR="003275A7" w:rsidRPr="00C923CD">
        <w:t>’</w:t>
      </w:r>
      <w:r w:rsidRPr="00C923CD">
        <w:t>accent sur l</w:t>
      </w:r>
      <w:r w:rsidR="003275A7" w:rsidRPr="00C923CD">
        <w:t>’</w:t>
      </w:r>
      <w:r w:rsidRPr="00C923CD">
        <w:t>importance de la recherche sur la santé pour le renforcement des systèmes de santé afin d</w:t>
      </w:r>
      <w:r w:rsidR="003275A7" w:rsidRPr="00C923CD">
        <w:t>’</w:t>
      </w:r>
      <w:r w:rsidRPr="00C923CD">
        <w:t>améliorer les résultats sur la santé peuvent également avoir contribué à la situation. Ce sont surtout les Forums mondiaux pour la recherche en santé et les appels à l</w:t>
      </w:r>
      <w:r w:rsidR="003275A7" w:rsidRPr="00C923CD">
        <w:t>’</w:t>
      </w:r>
      <w:r w:rsidRPr="00C923CD">
        <w:t>action</w:t>
      </w:r>
      <w:r w:rsidR="007A08E5" w:rsidRPr="00C923CD">
        <w:t xml:space="preserve"> </w:t>
      </w:r>
      <w:r w:rsidRPr="00C923CD">
        <w:t>[</w:t>
      </w:r>
      <w:r w:rsidRPr="00C923CD">
        <w:rPr>
          <w:rStyle w:val="EndnoteReference"/>
          <w:lang w:val="en-GB"/>
        </w:rPr>
        <w:endnoteReference w:id="42"/>
      </w:r>
      <w:r w:rsidRPr="00C923CD">
        <w:rPr>
          <w:vertAlign w:val="superscript"/>
        </w:rPr>
        <w:t>,</w:t>
      </w:r>
      <w:r w:rsidRPr="00C923CD">
        <w:rPr>
          <w:rStyle w:val="EndnoteReference"/>
          <w:lang w:val="en-GB"/>
        </w:rPr>
        <w:endnoteReference w:id="43"/>
      </w:r>
      <w:r w:rsidRPr="00C923CD">
        <w:rPr>
          <w:vertAlign w:val="superscript"/>
        </w:rPr>
        <w:t>,</w:t>
      </w:r>
      <w:r w:rsidRPr="00C923CD">
        <w:rPr>
          <w:rStyle w:val="EndnoteReference"/>
          <w:lang w:val="en-GB"/>
        </w:rPr>
        <w:endnoteReference w:id="44"/>
      </w:r>
      <w:r w:rsidRPr="00C923CD">
        <w:t>] la Stratégie OMS de recherche pour la santé</w:t>
      </w:r>
      <w:r w:rsidR="007A08E5" w:rsidRPr="00C923CD">
        <w:t xml:space="preserve"> </w:t>
      </w:r>
      <w:r w:rsidRPr="00C923CD">
        <w:t>[</w:t>
      </w:r>
      <w:r w:rsidRPr="00C923CD">
        <w:rPr>
          <w:rStyle w:val="EndnoteReference"/>
          <w:lang w:val="en-GB"/>
        </w:rPr>
        <w:endnoteReference w:id="45"/>
      </w:r>
      <w:r w:rsidRPr="00C923CD">
        <w:t>], et la publication de la stratégie de r</w:t>
      </w:r>
      <w:r w:rsidR="00EF69A4" w:rsidRPr="00C923CD">
        <w:t>echerche 2008-2013 du DFID du Royaume-Uni</w:t>
      </w:r>
      <w:r w:rsidRPr="00C923CD">
        <w:t>, qui mettaient l</w:t>
      </w:r>
      <w:r w:rsidR="003275A7" w:rsidRPr="00C923CD">
        <w:t>’</w:t>
      </w:r>
      <w:r w:rsidRPr="00C923CD">
        <w:t>accent sur le besoin de capacité en recherche pour que les pays africains puissent déterminer leurs priorités en matière de besoins en santé et s</w:t>
      </w:r>
      <w:r w:rsidR="003275A7" w:rsidRPr="00C923CD">
        <w:t>’</w:t>
      </w:r>
      <w:r w:rsidRPr="00C923CD">
        <w:t>en occuper en conséquence</w:t>
      </w:r>
      <w:r w:rsidR="007A08E5" w:rsidRPr="00C923CD">
        <w:t xml:space="preserve"> </w:t>
      </w:r>
      <w:r w:rsidRPr="00C923CD">
        <w:t>[</w:t>
      </w:r>
      <w:r w:rsidRPr="00C923CD">
        <w:rPr>
          <w:rStyle w:val="EndnoteReference"/>
          <w:lang w:val="en-GB"/>
        </w:rPr>
        <w:endnoteReference w:id="46"/>
      </w:r>
      <w:r w:rsidRPr="00C923CD">
        <w:t>]. En reconnaissant le besoin de développer la capacité de recherche multidisciplinaire au niveau national, l</w:t>
      </w:r>
      <w:r w:rsidR="003275A7" w:rsidRPr="00C923CD">
        <w:t>’</w:t>
      </w:r>
      <w:r w:rsidRPr="00C923CD">
        <w:t>Union européenne a procédé à des investissements importants dans la recherche menée par les pays et dans les efforts de production de connaissances. Grâce à un budget de 6 milliards d</w:t>
      </w:r>
      <w:r w:rsidR="003275A7" w:rsidRPr="00C923CD">
        <w:t>’</w:t>
      </w:r>
      <w:r w:rsidRPr="00C923CD">
        <w:t>euros en vertu du septième programme-cadre, l</w:t>
      </w:r>
      <w:r w:rsidR="003275A7" w:rsidRPr="00C923CD">
        <w:t>’</w:t>
      </w:r>
      <w:r w:rsidR="00EF69A4" w:rsidRPr="00C923CD">
        <w:t>Union européenne</w:t>
      </w:r>
      <w:r w:rsidRPr="00C923CD">
        <w:t xml:space="preserve"> a encouragé les collaborations de recherche avec les PFR-PRI pour des programmes coopératifs en recherche sur la santé et a défini la recherche sur l</w:t>
      </w:r>
      <w:r w:rsidR="003275A7" w:rsidRPr="00C923CD">
        <w:t>’</w:t>
      </w:r>
      <w:r w:rsidRPr="00C923CD">
        <w:t>optimisation de la prestation des soins de santé comme un des trois domaines prioritaires</w:t>
      </w:r>
      <w:r w:rsidR="007A08E5" w:rsidRPr="00C923CD">
        <w:t xml:space="preserve"> </w:t>
      </w:r>
      <w:r w:rsidRPr="00C923CD">
        <w:t>[</w:t>
      </w:r>
      <w:r w:rsidRPr="00C923CD">
        <w:rPr>
          <w:rStyle w:val="EndnoteReference"/>
          <w:lang w:val="en-GB"/>
        </w:rPr>
        <w:endnoteReference w:id="47"/>
      </w:r>
      <w:r w:rsidRPr="00C923CD">
        <w:t>].</w:t>
      </w:r>
    </w:p>
    <w:p w14:paraId="063C6DC3" w14:textId="77777777" w:rsidR="000E6B8B" w:rsidRDefault="000E6B8B" w:rsidP="00C923CD">
      <w:pPr>
        <w:suppressLineNumbers/>
        <w:spacing w:after="0" w:line="240" w:lineRule="auto"/>
        <w:jc w:val="both"/>
      </w:pPr>
    </w:p>
    <w:p w14:paraId="50EF76D9" w14:textId="2A142BCD" w:rsidR="008C7E2A" w:rsidRPr="00C923CD" w:rsidRDefault="008C7E2A" w:rsidP="00C923CD">
      <w:pPr>
        <w:suppressLineNumbers/>
        <w:spacing w:after="0" w:line="240" w:lineRule="auto"/>
        <w:jc w:val="both"/>
        <w:rPr>
          <w:vanish/>
          <w:specVanish/>
        </w:rPr>
      </w:pPr>
      <w:r w:rsidRPr="00C923CD">
        <w:t>Bien que le nombre de publications de RPSS a</w:t>
      </w:r>
      <w:r w:rsidR="007A08E5" w:rsidRPr="00C923CD">
        <w:t>it</w:t>
      </w:r>
      <w:r w:rsidRPr="00C923CD">
        <w:t xml:space="preserve"> régulièrement augmenté en Afrique de l</w:t>
      </w:r>
      <w:r w:rsidR="003275A7" w:rsidRPr="00C923CD">
        <w:t>’</w:t>
      </w:r>
      <w:r w:rsidRPr="00C923CD">
        <w:t>Ouest pour la période examinée, elle demeure minime, et l</w:t>
      </w:r>
      <w:r w:rsidR="003275A7" w:rsidRPr="00C923CD">
        <w:t>’</w:t>
      </w:r>
      <w:r w:rsidRPr="00C923CD">
        <w:t>écart de longue date persiste entre les PF</w:t>
      </w:r>
      <w:r w:rsidR="000066E5" w:rsidRPr="00C923CD">
        <w:t>R-PRI et les PRE</w:t>
      </w:r>
      <w:r w:rsidRPr="00C923CD">
        <w:t>. En raison d</w:t>
      </w:r>
      <w:r w:rsidR="003275A7" w:rsidRPr="00C923CD">
        <w:t>’</w:t>
      </w:r>
      <w:r w:rsidRPr="00C923CD">
        <w:t>une quantité de publications équivalant à 212 de 2004 à 2015, l</w:t>
      </w:r>
      <w:r w:rsidR="003275A7" w:rsidRPr="00C923CD">
        <w:t>’</w:t>
      </w:r>
      <w:r w:rsidRPr="00C923CD">
        <w:t>Afrique de l</w:t>
      </w:r>
      <w:r w:rsidR="003275A7" w:rsidRPr="00C923CD">
        <w:t>’</w:t>
      </w:r>
      <w:r w:rsidRPr="00C923CD">
        <w:t>Ouest traîne encore loin derrière d</w:t>
      </w:r>
      <w:r w:rsidR="003275A7" w:rsidRPr="00C923CD">
        <w:t>’</w:t>
      </w:r>
      <w:r w:rsidRPr="00C923CD">
        <w:t>autres régions</w:t>
      </w:r>
      <w:r w:rsidR="007A6BD8" w:rsidRPr="00C923CD">
        <w:t xml:space="preserve">. </w:t>
      </w:r>
      <w:r w:rsidRPr="00C923CD">
        <w:t>Un exercice semblable de constitution d</w:t>
      </w:r>
      <w:r w:rsidR="003275A7" w:rsidRPr="00C923CD">
        <w:t>’</w:t>
      </w:r>
      <w:r w:rsidRPr="00C923CD">
        <w:t>une liste de RPSS effectué dans la région de la Méditerranée orientale sur une période de huit ans (2000 à 2008) a montré un nombre de publications correspondant à 1 489. Dans cette région, le pays ayant produit le moins de publications (Yémen) a présenté la même quantité (n = 71) que le pays ayant produit le plus de publications (Nigéria; n = 71) en Afrique de l</w:t>
      </w:r>
      <w:r w:rsidR="003275A7" w:rsidRPr="00C923CD">
        <w:t>’</w:t>
      </w:r>
      <w:r w:rsidRPr="00C923CD">
        <w:t>Ouest. Une étude qui a examiné les tendances dans les publications internationales en RPSS a conclu qu</w:t>
      </w:r>
      <w:r w:rsidR="003275A7" w:rsidRPr="00C923CD">
        <w:t>’</w:t>
      </w:r>
      <w:r w:rsidRPr="00C923CD">
        <w:t>aux taux actuels de publications, il faudra plus de 42 ans pour que les publications de RPSS du Sud atteignent le taux actuel du Nord</w:t>
      </w:r>
      <w:r w:rsidR="007A08E5" w:rsidRPr="00C923CD">
        <w:t xml:space="preserve"> </w:t>
      </w:r>
      <w:r w:rsidRPr="00C923CD">
        <w:t>[</w:t>
      </w:r>
      <w:r w:rsidRPr="00C923CD">
        <w:rPr>
          <w:rStyle w:val="EndnoteReference"/>
          <w:lang w:val="en-GB"/>
        </w:rPr>
        <w:endnoteReference w:id="48"/>
      </w:r>
      <w:r w:rsidRPr="00C923CD">
        <w:t>]. Plusieurs facteurs pourraient avoir contribué à cet écart persistant en quantité de RPSS dans les PFR-PRI.</w:t>
      </w:r>
    </w:p>
    <w:p w14:paraId="574B7AE6" w14:textId="77777777" w:rsidR="000E6B8B" w:rsidRDefault="000066E5" w:rsidP="00C923CD">
      <w:pPr>
        <w:suppressLineNumbers/>
        <w:spacing w:after="0" w:line="240" w:lineRule="auto"/>
        <w:jc w:val="both"/>
      </w:pPr>
      <w:r w:rsidRPr="00C923CD">
        <w:t xml:space="preserve"> </w:t>
      </w:r>
    </w:p>
    <w:p w14:paraId="4DC087AB" w14:textId="77777777" w:rsidR="000E6B8B" w:rsidRDefault="000E6B8B" w:rsidP="00C923CD">
      <w:pPr>
        <w:suppressLineNumbers/>
        <w:spacing w:after="0" w:line="240" w:lineRule="auto"/>
        <w:jc w:val="both"/>
      </w:pPr>
    </w:p>
    <w:p w14:paraId="0DAF424B" w14:textId="05B6B814" w:rsidR="008C7E2A" w:rsidRPr="00C923CD" w:rsidRDefault="0077346D" w:rsidP="00C923CD">
      <w:pPr>
        <w:suppressLineNumbers/>
        <w:spacing w:after="0" w:line="240" w:lineRule="auto"/>
        <w:jc w:val="both"/>
      </w:pPr>
      <w:r w:rsidRPr="00C923CD">
        <w:t>En premier lieu, les contraintes en matière de ressources financières, particulièrement le manque de financement national pour la recherche sur la santé, ont généralement été perçues comme étant un des facteurs importants qui ralentissait la production de RPSS dans les PFR-PRI</w:t>
      </w:r>
      <w:r w:rsidR="007A08E5" w:rsidRPr="00C923CD">
        <w:t xml:space="preserve"> </w:t>
      </w:r>
      <w:r w:rsidRPr="00C923CD">
        <w:t>[</w:t>
      </w:r>
      <w:r w:rsidR="008C7E2A" w:rsidRPr="00C923CD">
        <w:rPr>
          <w:rStyle w:val="EndnoteReference"/>
          <w:lang w:val="en-GB"/>
        </w:rPr>
        <w:endnoteReference w:id="49"/>
      </w:r>
      <w:r w:rsidRPr="00C923CD">
        <w:t>] et cela est vrai aussi pour l</w:t>
      </w:r>
      <w:r w:rsidR="003275A7" w:rsidRPr="00C923CD">
        <w:t>’</w:t>
      </w:r>
      <w:r w:rsidRPr="00C923CD">
        <w:t>Afrique de l</w:t>
      </w:r>
      <w:r w:rsidR="003275A7" w:rsidRPr="00C923CD">
        <w:t>’</w:t>
      </w:r>
      <w:r w:rsidRPr="00C923CD">
        <w:t>Ouest. Malgré tous les engagements internationaux visant à augmenter les ressources nationales pour la recherche en santé, très peu de ressources nationales sont appliquées à tout type de recherche sur la santé dans la sous-région, y compris la RPSS</w:t>
      </w:r>
      <w:r w:rsidR="007A08E5" w:rsidRPr="00C923CD">
        <w:t xml:space="preserve"> </w:t>
      </w:r>
      <w:r w:rsidRPr="00C923CD">
        <w:t>[</w:t>
      </w:r>
      <w:r w:rsidR="008C7E2A" w:rsidRPr="00C923CD">
        <w:rPr>
          <w:rStyle w:val="EndnoteReference"/>
          <w:lang w:val="en-GB"/>
        </w:rPr>
        <w:endnoteReference w:id="50"/>
      </w:r>
      <w:r w:rsidRPr="00C923CD">
        <w:t>]. Un sondage réalisé par l</w:t>
      </w:r>
      <w:r w:rsidR="003275A7" w:rsidRPr="00C923CD">
        <w:t>’</w:t>
      </w:r>
      <w:r w:rsidRPr="00C923CD">
        <w:t>OOAS a révélé que seul un tiers des pays d</w:t>
      </w:r>
      <w:r w:rsidR="003275A7" w:rsidRPr="00C923CD">
        <w:t>’</w:t>
      </w:r>
      <w:r w:rsidRPr="00C923CD">
        <w:t>Afrique de l</w:t>
      </w:r>
      <w:r w:rsidR="003275A7" w:rsidRPr="00C923CD">
        <w:t>’</w:t>
      </w:r>
      <w:r w:rsidRPr="00C923CD">
        <w:t>Ouest a mis en place des stratégies pour mettre en oeuvre la recommandation internationale pour l</w:t>
      </w:r>
      <w:r w:rsidR="003275A7" w:rsidRPr="00C923CD">
        <w:t>’</w:t>
      </w:r>
      <w:r w:rsidRPr="00C923CD">
        <w:t>allocation de 2 % du budget de ministères de la Santé et de 5 % des budgets pour des projets de recherche</w:t>
      </w:r>
      <w:r w:rsidR="007A6BD8" w:rsidRPr="00C923CD">
        <w:t xml:space="preserve">. </w:t>
      </w:r>
      <w:r w:rsidRPr="00C923CD">
        <w:t>La plupart des documents relatifs au budget de ministères de la Santé vérifiés n</w:t>
      </w:r>
      <w:r w:rsidR="003275A7" w:rsidRPr="00C923CD">
        <w:t>’</w:t>
      </w:r>
      <w:r w:rsidRPr="00C923CD">
        <w:t>avaient aucune ligne budgétaire pour appuyer des projets de recherche du mécanisme de recherche sur la santé au sein du ministère de la Santé</w:t>
      </w:r>
      <w:r w:rsidR="007A08E5" w:rsidRPr="00C923CD">
        <w:t xml:space="preserve"> </w:t>
      </w:r>
      <w:r w:rsidRPr="00C923CD">
        <w:t>[</w:t>
      </w:r>
      <w:r w:rsidR="008C7E2A" w:rsidRPr="00C923CD">
        <w:rPr>
          <w:rStyle w:val="EndnoteReference"/>
          <w:lang w:val="en-GB"/>
        </w:rPr>
        <w:endnoteReference w:id="51"/>
      </w:r>
      <w:r w:rsidRPr="00C923CD">
        <w:t>]. Plusieurs études ont documenté le fait que l</w:t>
      </w:r>
      <w:r w:rsidR="003275A7" w:rsidRPr="00C923CD">
        <w:t>’</w:t>
      </w:r>
      <w:r w:rsidRPr="00C923CD">
        <w:t>aide internationale multilatérale et bilatérale est la principale source de financement pour la RPSS par l</w:t>
      </w:r>
      <w:r w:rsidR="003275A7" w:rsidRPr="00C923CD">
        <w:t>’</w:t>
      </w:r>
      <w:r w:rsidRPr="00C923CD">
        <w:t>entremise de subventions de projets dans les PFR-PRI</w:t>
      </w:r>
      <w:r w:rsidR="007A08E5" w:rsidRPr="00C923CD">
        <w:t xml:space="preserve"> </w:t>
      </w:r>
      <w:r w:rsidRPr="00C923CD">
        <w:t>[</w:t>
      </w:r>
      <w:r w:rsidR="00082AD2" w:rsidRPr="00C923CD">
        <w:rPr>
          <w:rStyle w:val="EndnoteReference"/>
          <w:lang w:val="en-GB"/>
        </w:rPr>
        <w:endnoteReference w:id="52"/>
      </w:r>
      <w:r w:rsidRPr="00C923CD">
        <w:rPr>
          <w:vertAlign w:val="superscript"/>
        </w:rPr>
        <w:t>,</w:t>
      </w:r>
      <w:r w:rsidR="00082AD2" w:rsidRPr="00C923CD">
        <w:rPr>
          <w:rStyle w:val="EndnoteReference"/>
          <w:lang w:val="en-GB"/>
        </w:rPr>
        <w:endnoteReference w:id="53"/>
      </w:r>
      <w:r w:rsidRPr="00C923CD">
        <w:rPr>
          <w:vertAlign w:val="superscript"/>
        </w:rPr>
        <w:t>,</w:t>
      </w:r>
      <w:r w:rsidR="00082AD2" w:rsidRPr="00C923CD">
        <w:rPr>
          <w:rStyle w:val="EndnoteReference"/>
          <w:lang w:val="en-GB"/>
        </w:rPr>
        <w:endnoteReference w:id="54"/>
      </w:r>
      <w:r w:rsidRPr="00C923CD">
        <w:t>]. Cependant, les établissements des PFR-PRI sont moins susceptibles de recevoir du financement de base que les établissements ba</w:t>
      </w:r>
      <w:r w:rsidR="000066E5" w:rsidRPr="00C923CD">
        <w:t>sés dans les PRE</w:t>
      </w:r>
      <w:r w:rsidR="007A08E5" w:rsidRPr="00C923CD">
        <w:t xml:space="preserve"> </w:t>
      </w:r>
      <w:r w:rsidRPr="00C923CD">
        <w:t>[</w:t>
      </w:r>
      <w:r w:rsidR="00082AD2" w:rsidRPr="00C923CD">
        <w:rPr>
          <w:rStyle w:val="EndnoteReference"/>
          <w:lang w:val="en-GB"/>
        </w:rPr>
        <w:endnoteReference w:id="55"/>
      </w:r>
      <w:r w:rsidRPr="00C923CD">
        <w:t>]. Les ressources de donneurs externes sont une source potentielle de financement de la RPSS pour les États membres de la CEDEAO, mais la capacité d</w:t>
      </w:r>
      <w:r w:rsidR="003275A7" w:rsidRPr="00C923CD">
        <w:t>’</w:t>
      </w:r>
      <w:r w:rsidRPr="00C923CD">
        <w:t>élaborer des propositions solides pour se battre afin d</w:t>
      </w:r>
      <w:r w:rsidR="003275A7" w:rsidRPr="00C923CD">
        <w:t>’</w:t>
      </w:r>
      <w:r w:rsidRPr="00C923CD">
        <w:t>obtenir ces fonds est malheureusement également faible en Afrique de l</w:t>
      </w:r>
      <w:r w:rsidR="003275A7" w:rsidRPr="00C923CD">
        <w:t>’</w:t>
      </w:r>
      <w:r w:rsidRPr="00C923CD">
        <w:t>Ouest, ce qui limite les possibilités de puiser dans les occasions de concours internationaux de financement pour la RPSS</w:t>
      </w:r>
      <w:r w:rsidR="007A08E5" w:rsidRPr="00C923CD">
        <w:t xml:space="preserve"> </w:t>
      </w:r>
      <w:r w:rsidRPr="00C923CD">
        <w:t>[</w:t>
      </w:r>
      <w:r w:rsidR="008C7E2A" w:rsidRPr="00C923CD">
        <w:rPr>
          <w:rStyle w:val="EndnoteReference"/>
          <w:lang w:val="en-GB"/>
        </w:rPr>
        <w:endnoteReference w:id="56"/>
      </w:r>
      <w:r w:rsidRPr="00C923CD">
        <w:t>]</w:t>
      </w:r>
      <w:r w:rsidR="007A6BD8" w:rsidRPr="00C923CD">
        <w:t xml:space="preserve">. </w:t>
      </w:r>
    </w:p>
    <w:p w14:paraId="6E2191FF" w14:textId="77777777" w:rsidR="000E6B8B" w:rsidRDefault="000E6B8B" w:rsidP="00C923CD">
      <w:pPr>
        <w:suppressLineNumbers/>
        <w:spacing w:after="0" w:line="240" w:lineRule="auto"/>
        <w:jc w:val="both"/>
      </w:pPr>
    </w:p>
    <w:p w14:paraId="178EFA76" w14:textId="3260FE31" w:rsidR="008C7E2A" w:rsidRPr="00C923CD" w:rsidRDefault="0077346D" w:rsidP="00C923CD">
      <w:pPr>
        <w:suppressLineNumbers/>
        <w:spacing w:after="0" w:line="240" w:lineRule="auto"/>
        <w:jc w:val="both"/>
      </w:pPr>
      <w:r w:rsidRPr="00C923CD">
        <w:t>En deuxième lieu, la RPSS est propre au contexte et nécessite des acteurs locaux possédant une compréhension et une appréciation de leurs propres défis en matière de systèmes de santé afin de stimuler les processus de production pour les systèmes et les politiques de santé et en bout de ligne d</w:t>
      </w:r>
      <w:r w:rsidR="003275A7" w:rsidRPr="00C923CD">
        <w:t>’</w:t>
      </w:r>
      <w:r w:rsidRPr="00C923CD">
        <w:t>amélioration des résultats sur la santé. Cela peut seulement être le cas à condition que les acteurs locaux aient les compétences requises. La capacité fait référence à la faculté des personnes, des établissements et des sociétés à exercer des fonctions, à résoudre des problèmes, et à établir et à réussir des objectifs de manière durable</w:t>
      </w:r>
      <w:r w:rsidR="007A08E5" w:rsidRPr="00C923CD">
        <w:t xml:space="preserve"> </w:t>
      </w:r>
      <w:r w:rsidRPr="00C923CD">
        <w:t>[</w:t>
      </w:r>
      <w:r w:rsidR="008C7E2A" w:rsidRPr="00C923CD">
        <w:rPr>
          <w:rStyle w:val="EndnoteReference"/>
          <w:lang w:val="en-GB"/>
        </w:rPr>
        <w:endnoteReference w:id="57"/>
      </w:r>
      <w:r w:rsidRPr="00C923CD">
        <w:t>]. Plus particulièrement, la capacité en RPSS nécessite l</w:t>
      </w:r>
      <w:r w:rsidR="003275A7" w:rsidRPr="00C923CD">
        <w:t>’</w:t>
      </w:r>
      <w:r w:rsidRPr="00C923CD">
        <w:t>expertise et les ressources au niveau des chercheurs, des projets et des établissements afin de produire de nouvelles connaissances et applications pour l</w:t>
      </w:r>
      <w:r w:rsidR="003275A7" w:rsidRPr="00C923CD">
        <w:t>’</w:t>
      </w:r>
      <w:r w:rsidRPr="00C923CD">
        <w:t>amélioration de la réponse sociale envers les problèmes de santé</w:t>
      </w:r>
      <w:r w:rsidR="007A08E5" w:rsidRPr="00C923CD">
        <w:t xml:space="preserve"> </w:t>
      </w:r>
      <w:r w:rsidRPr="00C923CD">
        <w:t>[</w:t>
      </w:r>
      <w:r w:rsidR="008C7E2A" w:rsidRPr="00C923CD">
        <w:rPr>
          <w:rStyle w:val="EndnoteReference"/>
          <w:lang w:val="en-GB"/>
        </w:rPr>
        <w:endnoteReference w:id="58"/>
      </w:r>
      <w:r w:rsidRPr="00C923CD">
        <w:t>]. Malheureusement, plusieurs études ont mis l</w:t>
      </w:r>
      <w:r w:rsidR="003275A7" w:rsidRPr="00C923CD">
        <w:t>’</w:t>
      </w:r>
      <w:r w:rsidRPr="00C923CD">
        <w:t>accent sur la faible capacité, voire inexistante, en matière d</w:t>
      </w:r>
      <w:r w:rsidR="003275A7" w:rsidRPr="00C923CD">
        <w:t>’</w:t>
      </w:r>
      <w:r w:rsidRPr="00C923CD">
        <w:t>activités de RPSS dans les PFR-PRI</w:t>
      </w:r>
      <w:r w:rsidR="007A08E5" w:rsidRPr="00C923CD">
        <w:t xml:space="preserve"> </w:t>
      </w:r>
      <w:r w:rsidRPr="00C923CD">
        <w:t>[</w:t>
      </w:r>
      <w:r w:rsidR="008C7E2A" w:rsidRPr="00C923CD">
        <w:rPr>
          <w:rStyle w:val="EndnoteReference"/>
          <w:lang w:val="en-GB"/>
        </w:rPr>
        <w:endnoteReference w:id="59"/>
      </w:r>
      <w:r w:rsidRPr="00C923CD">
        <w:rPr>
          <w:vertAlign w:val="superscript"/>
        </w:rPr>
        <w:t>,</w:t>
      </w:r>
      <w:r w:rsidR="008C7E2A" w:rsidRPr="00C923CD">
        <w:rPr>
          <w:rStyle w:val="EndnoteReference"/>
          <w:lang w:val="en-GB"/>
        </w:rPr>
        <w:endnoteReference w:id="60"/>
      </w:r>
      <w:r w:rsidRPr="00C923CD">
        <w:t>]. Le manque de capacité pour produire de la RPSS en Afrique de l</w:t>
      </w:r>
      <w:r w:rsidR="003275A7" w:rsidRPr="00C923CD">
        <w:t>’</w:t>
      </w:r>
      <w:r w:rsidRPr="00C923CD">
        <w:t>Ouest est clairement étayé dans cet examen sur la portée. La majorité des pays produisent des quantités négligeables de publications de RPSS. Les quelques pays qui produisent un bon nombre de publications doivent cela à des auteurs qui ne sont pas ouest-africains ou à des auteurs ouest-africains qui sont rattachés à des établissements situés à l</w:t>
      </w:r>
      <w:r w:rsidR="003275A7" w:rsidRPr="00C923CD">
        <w:t>’</w:t>
      </w:r>
      <w:r w:rsidRPr="00C923CD">
        <w:t>extérieur de la région.</w:t>
      </w:r>
    </w:p>
    <w:p w14:paraId="18EACC8A" w14:textId="77777777" w:rsidR="000E6B8B" w:rsidRDefault="000E6B8B" w:rsidP="00C923CD">
      <w:pPr>
        <w:suppressLineNumbers/>
        <w:spacing w:after="0" w:line="240" w:lineRule="auto"/>
        <w:jc w:val="both"/>
      </w:pPr>
    </w:p>
    <w:p w14:paraId="632B31B8" w14:textId="0C1574B9" w:rsidR="008C7E2A" w:rsidRPr="00C923CD" w:rsidRDefault="0077346D" w:rsidP="00C923CD">
      <w:pPr>
        <w:suppressLineNumbers/>
        <w:spacing w:after="0" w:line="240" w:lineRule="auto"/>
        <w:jc w:val="both"/>
      </w:pPr>
      <w:r w:rsidRPr="00C923CD">
        <w:t>En troisième lieu, hormis la faible capacité des personnes et des établissements, le contexte plus large dans lequel les chercheurs locaux interviennent donne un effet de dissuasion pour la recherche en santé en général, y compris la RPSS. Une étude menée par l</w:t>
      </w:r>
      <w:r w:rsidR="003275A7" w:rsidRPr="00C923CD">
        <w:t>’</w:t>
      </w:r>
      <w:r w:rsidRPr="00C923CD">
        <w:t>OOAS a également révélé que seuls 50 % des pays d</w:t>
      </w:r>
      <w:r w:rsidR="003275A7" w:rsidRPr="00C923CD">
        <w:t>’</w:t>
      </w:r>
      <w:r w:rsidRPr="00C923CD">
        <w:t>Afrique occidentale ont des directions au sein de leur ministère de la Santé pour surveiller la recherche en santé, de même que des documents stratégiques qui présentent les priorités en matière de recherche sur la santé qui comprennent des questions liées aux systèmes de santé</w:t>
      </w:r>
      <w:r w:rsidR="007A08E5" w:rsidRPr="00C923CD">
        <w:t xml:space="preserve"> </w:t>
      </w:r>
      <w:r w:rsidRPr="00C923CD">
        <w:t>[</w:t>
      </w:r>
      <w:r w:rsidR="008C7E2A" w:rsidRPr="00C923CD">
        <w:rPr>
          <w:rStyle w:val="EndnoteReference"/>
          <w:lang w:val="en-GB"/>
        </w:rPr>
        <w:endnoteReference w:id="61"/>
      </w:r>
      <w:r w:rsidRPr="00C923CD">
        <w:t>]</w:t>
      </w:r>
      <w:r w:rsidR="007A6BD8" w:rsidRPr="00C923CD">
        <w:t xml:space="preserve">. </w:t>
      </w:r>
      <w:r w:rsidRPr="00C923CD">
        <w:t>Seuls cinq pays étaient dotés de comités d</w:t>
      </w:r>
      <w:r w:rsidR="003275A7" w:rsidRPr="00C923CD">
        <w:t>’</w:t>
      </w:r>
      <w:r w:rsidRPr="00C923CD">
        <w:t>éthiques composés de membres formés en éthique de la recherche. De plus, les représentants du gouvernement en santé manquaient de capacités suffisantes pour appuyer l</w:t>
      </w:r>
      <w:r w:rsidR="003275A7" w:rsidRPr="00C923CD">
        <w:t>’</w:t>
      </w:r>
      <w:r w:rsidRPr="00C923CD">
        <w:t>application des résultats de recherche aux politiques et aux pratiques, ce qui limite donc l</w:t>
      </w:r>
      <w:r w:rsidR="003275A7" w:rsidRPr="00C923CD">
        <w:t>’</w:t>
      </w:r>
      <w:r w:rsidRPr="00C923CD">
        <w:t>utilité des données probantes produites. Cela a freiné encore plus l</w:t>
      </w:r>
      <w:r w:rsidR="003275A7" w:rsidRPr="00C923CD">
        <w:t>’</w:t>
      </w:r>
      <w:r w:rsidRPr="00C923CD">
        <w:t>enthousiasme envers la production de données probantes supplémentaires.</w:t>
      </w:r>
    </w:p>
    <w:p w14:paraId="02B58900" w14:textId="77777777" w:rsidR="000E6B8B" w:rsidRDefault="000E6B8B" w:rsidP="00C923CD">
      <w:pPr>
        <w:suppressLineNumbers/>
        <w:autoSpaceDE w:val="0"/>
        <w:autoSpaceDN w:val="0"/>
        <w:adjustRightInd w:val="0"/>
        <w:spacing w:after="0" w:line="240" w:lineRule="auto"/>
        <w:jc w:val="both"/>
      </w:pPr>
    </w:p>
    <w:p w14:paraId="0B1F4A2C" w14:textId="3DA07478" w:rsidR="00082AD2" w:rsidRPr="00C923CD" w:rsidRDefault="008C7E2A" w:rsidP="00C923CD">
      <w:pPr>
        <w:suppressLineNumbers/>
        <w:autoSpaceDE w:val="0"/>
        <w:autoSpaceDN w:val="0"/>
        <w:adjustRightInd w:val="0"/>
        <w:spacing w:after="0" w:line="240" w:lineRule="auto"/>
        <w:jc w:val="both"/>
      </w:pPr>
      <w:r w:rsidRPr="00C923CD">
        <w:t>À l</w:t>
      </w:r>
      <w:r w:rsidR="003275A7" w:rsidRPr="00C923CD">
        <w:t>’</w:t>
      </w:r>
      <w:r w:rsidRPr="00C923CD">
        <w:t>évidence, la capacité en RPSS en Afrique de l</w:t>
      </w:r>
      <w:r w:rsidR="003275A7" w:rsidRPr="00C923CD">
        <w:t>’</w:t>
      </w:r>
      <w:r w:rsidRPr="00C923CD">
        <w:t>Ouest doit être renforcée. Il n</w:t>
      </w:r>
      <w:r w:rsidR="003275A7" w:rsidRPr="00C923CD">
        <w:t>’</w:t>
      </w:r>
      <w:r w:rsidRPr="00C923CD">
        <w:t>existe pas beaucoup de données sur l</w:t>
      </w:r>
      <w:r w:rsidR="003275A7" w:rsidRPr="00C923CD">
        <w:t>’</w:t>
      </w:r>
      <w:r w:rsidRPr="00C923CD">
        <w:t>initiative la plus efficace concernant le renforcement des capacités; cependant, diverses formes de collaborations dans les pays, entre les pays, intrarégionales et internationales ont aidé à renforcer la capacité en recherche et ont augmenté la productivité en recherche dans plusieurs PFR-PRI, y compris certains des pays les plus prospères en Afrique de l</w:t>
      </w:r>
      <w:r w:rsidR="003275A7" w:rsidRPr="00C923CD">
        <w:t>’</w:t>
      </w:r>
      <w:r w:rsidRPr="00C923CD">
        <w:t>Ouest, et la sous-région entière peut tirer des enseignements de ces collaborations. Par exemple, la Medical Education Partnership Initiative au Nigéria (MEPIN), un consortium de six universités nigériennes travaillant en collaboration avec deux universités américaines, ont développé la capacité de recherche de plus de 1 600 facultés, étudiants de cycle supérieur et médecins résidents entre 2011 et 2013 par l</w:t>
      </w:r>
      <w:r w:rsidR="003275A7" w:rsidRPr="00C923CD">
        <w:t>’</w:t>
      </w:r>
      <w:r w:rsidRPr="00C923CD">
        <w:t>entremise d</w:t>
      </w:r>
      <w:r w:rsidR="003275A7" w:rsidRPr="00C923CD">
        <w:t>’</w:t>
      </w:r>
      <w:r w:rsidRPr="00C923CD">
        <w:t>un programme de formation des formateurs. Les partenaires américains forment les personnes-ressources dans les pays, environ six dans chaque université membre qui sont dans neuf cours différents, qui à leur tour, reproduisent les ateliers dans leurs différents établissements dans le cadre d</w:t>
      </w:r>
      <w:r w:rsidR="003275A7" w:rsidRPr="00C923CD">
        <w:t>’</w:t>
      </w:r>
      <w:r w:rsidRPr="00C923CD">
        <w:t>un programme régulier de développement de carrière, en utilisant le même matériel de formation. Cette capacité améliorée a non seulement entraîné un nombre accru de publications dans les revues à comité de lecture, mais elle a également augmenté les réponses aux demandes et aux octrois de subventions locales et internationales[</w:t>
      </w:r>
      <w:r w:rsidRPr="00C923CD">
        <w:rPr>
          <w:rStyle w:val="EndnoteReference"/>
          <w:rFonts w:cs="Frutiger-Light"/>
          <w:lang w:val="en-GB"/>
        </w:rPr>
        <w:endnoteReference w:id="62"/>
      </w:r>
      <w:r w:rsidRPr="00C923CD">
        <w:t>]. De plus, une collaboration entre la Thaïlande et l</w:t>
      </w:r>
      <w:r w:rsidR="003275A7" w:rsidRPr="00C923CD">
        <w:t>’</w:t>
      </w:r>
      <w:r w:rsidRPr="00C923CD">
        <w:t>Afrique du Sud avec un appui du Royaume-Uni a renforcé modérément la capacité institutionnelle en Afrique du Sud, mais a renforcé de façon importante les capacités de recherche individuelle dans ce pays. Les activités de renforcement des capacités mises en oeuvre lors de cette collaboration ont compris : formation postuniversitaire, élaboration en commun de propositions, publication et diffusion de résultats de recherche, détachement de personnel, mentorat et échanges</w:t>
      </w:r>
      <w:r w:rsidR="007A08E5" w:rsidRPr="00C923CD">
        <w:t xml:space="preserve"> </w:t>
      </w:r>
      <w:r w:rsidRPr="00C923CD">
        <w:t>[</w:t>
      </w:r>
      <w:r w:rsidRPr="00C923CD">
        <w:rPr>
          <w:rStyle w:val="EndnoteReference"/>
          <w:rFonts w:cs="TimesNewRoman"/>
          <w:lang w:val="en-GB"/>
        </w:rPr>
        <w:endnoteReference w:id="63"/>
      </w:r>
      <w:r w:rsidRPr="00C923CD">
        <w:t>]</w:t>
      </w:r>
      <w:r w:rsidR="007A6BD8" w:rsidRPr="00C923CD">
        <w:t xml:space="preserve">. </w:t>
      </w:r>
    </w:p>
    <w:p w14:paraId="4A6D23CB" w14:textId="77777777" w:rsidR="00082AD2" w:rsidRPr="00C923CD" w:rsidRDefault="00082AD2" w:rsidP="00C923CD">
      <w:pPr>
        <w:suppressLineNumbers/>
        <w:autoSpaceDE w:val="0"/>
        <w:autoSpaceDN w:val="0"/>
        <w:adjustRightInd w:val="0"/>
        <w:spacing w:after="0" w:line="240" w:lineRule="auto"/>
        <w:jc w:val="both"/>
        <w:rPr>
          <w:rFonts w:cs="Frutiger-Light"/>
        </w:rPr>
      </w:pPr>
    </w:p>
    <w:p w14:paraId="58030A39" w14:textId="514E757B" w:rsidR="008C7E2A" w:rsidRPr="00C923CD" w:rsidRDefault="008C7E2A" w:rsidP="00C923CD">
      <w:pPr>
        <w:suppressLineNumbers/>
        <w:autoSpaceDE w:val="0"/>
        <w:autoSpaceDN w:val="0"/>
        <w:adjustRightInd w:val="0"/>
        <w:spacing w:after="0" w:line="240" w:lineRule="auto"/>
        <w:jc w:val="both"/>
        <w:rPr>
          <w:rFonts w:cs="Frutiger-Light"/>
        </w:rPr>
      </w:pPr>
      <w:r w:rsidRPr="00C923CD">
        <w:t>Dans la Communauté de développement d</w:t>
      </w:r>
      <w:r w:rsidR="003275A7" w:rsidRPr="00C923CD">
        <w:t>’</w:t>
      </w:r>
      <w:r w:rsidRPr="00C923CD">
        <w:t xml:space="preserve">Afrique australe (SADC), une collaboration Sud-Sud entre le </w:t>
      </w:r>
      <w:r w:rsidRPr="00C923CD">
        <w:rPr>
          <w:bCs/>
          <w:color w:val="000000"/>
          <w:shd w:val="clear" w:color="auto" w:fill="FFFFFF"/>
        </w:rPr>
        <w:t>Centre d</w:t>
      </w:r>
      <w:r w:rsidR="003275A7" w:rsidRPr="00C923CD">
        <w:rPr>
          <w:bCs/>
          <w:color w:val="000000"/>
          <w:shd w:val="clear" w:color="auto" w:fill="FFFFFF"/>
        </w:rPr>
        <w:t>’</w:t>
      </w:r>
      <w:r w:rsidRPr="00C923CD">
        <w:rPr>
          <w:bCs/>
          <w:color w:val="000000"/>
          <w:shd w:val="clear" w:color="auto" w:fill="FFFFFF"/>
        </w:rPr>
        <w:t>excellence pour la recherche et la formation biomédicales de la région et le Laboratoire de recherche Blair du Zimbabwe avec l</w:t>
      </w:r>
      <w:r w:rsidR="003275A7" w:rsidRPr="00C923CD">
        <w:rPr>
          <w:bCs/>
          <w:color w:val="000000"/>
          <w:shd w:val="clear" w:color="auto" w:fill="FFFFFF"/>
        </w:rPr>
        <w:t>’</w:t>
      </w:r>
      <w:r w:rsidRPr="00C923CD">
        <w:rPr>
          <w:bCs/>
          <w:color w:val="000000"/>
          <w:shd w:val="clear" w:color="auto" w:fill="FFFFFF"/>
        </w:rPr>
        <w:t>appui du laboratoire danois Bilharziasis a aidé à développer les capacités de recherche au Zimbabwe et dans d</w:t>
      </w:r>
      <w:r w:rsidR="003275A7" w:rsidRPr="00C923CD">
        <w:rPr>
          <w:bCs/>
          <w:color w:val="000000"/>
          <w:shd w:val="clear" w:color="auto" w:fill="FFFFFF"/>
        </w:rPr>
        <w:t>’</w:t>
      </w:r>
      <w:r w:rsidRPr="00C923CD">
        <w:rPr>
          <w:bCs/>
          <w:color w:val="000000"/>
          <w:shd w:val="clear" w:color="auto" w:fill="FFFFFF"/>
        </w:rPr>
        <w:t>autres établissements africains grâce à de la formation au niveau du doctorat et à des projets de recherche conjoints</w:t>
      </w:r>
      <w:r w:rsidR="007A08E5" w:rsidRPr="00C923CD">
        <w:rPr>
          <w:bCs/>
          <w:color w:val="000000"/>
          <w:shd w:val="clear" w:color="auto" w:fill="FFFFFF"/>
        </w:rPr>
        <w:t xml:space="preserve"> </w:t>
      </w:r>
      <w:r w:rsidRPr="00C923CD">
        <w:rPr>
          <w:bCs/>
          <w:color w:val="000000"/>
          <w:shd w:val="clear" w:color="auto" w:fill="FFFFFF"/>
        </w:rPr>
        <w:t>[</w:t>
      </w:r>
      <w:r w:rsidRPr="00C923CD">
        <w:rPr>
          <w:rStyle w:val="EndnoteReference"/>
          <w:rFonts w:cs="Arial"/>
          <w:bCs/>
          <w:color w:val="000000"/>
          <w:shd w:val="clear" w:color="auto" w:fill="FFFFFF"/>
          <w:lang w:val="en-GB"/>
        </w:rPr>
        <w:endnoteReference w:id="64"/>
      </w:r>
      <w:r w:rsidRPr="00C923CD">
        <w:rPr>
          <w:bCs/>
          <w:color w:val="000000"/>
          <w:shd w:val="clear" w:color="auto" w:fill="FFFFFF"/>
        </w:rPr>
        <w:t>].</w:t>
      </w:r>
      <w:r w:rsidRPr="00C923CD">
        <w:t xml:space="preserve"> En dernier lieu, la capacité de recherche entourant les déterminants sociaux de la santé (DSS) était renforcée dans plusieurs PFR-PRI (Brésil, Colombie, Mexique, Kenya, Afrique du Sud et Tanzanie) grâce à des réseaux collaboratifs triangulaires Sud-Nord-Sud avec l</w:t>
      </w:r>
      <w:r w:rsidR="003275A7" w:rsidRPr="00C923CD">
        <w:t>’</w:t>
      </w:r>
      <w:r w:rsidRPr="00C923CD">
        <w:t>Espagne, la Suisse, le Royaume-Uni et l</w:t>
      </w:r>
      <w:r w:rsidR="003275A7" w:rsidRPr="00C923CD">
        <w:t>’</w:t>
      </w:r>
      <w:r w:rsidR="007A08E5" w:rsidRPr="00C923CD">
        <w:t xml:space="preserve">Allemagne </w:t>
      </w:r>
      <w:r w:rsidRPr="00C923CD">
        <w:t>[</w:t>
      </w:r>
      <w:r w:rsidRPr="00C923CD">
        <w:rPr>
          <w:rStyle w:val="EndnoteReference"/>
          <w:rFonts w:cs="CswkjqAdvTTb5929f4c"/>
          <w:lang w:val="en-GB"/>
        </w:rPr>
        <w:endnoteReference w:id="65"/>
      </w:r>
      <w:r w:rsidRPr="00C923CD">
        <w:t>].</w:t>
      </w:r>
    </w:p>
    <w:p w14:paraId="07AC00A1" w14:textId="77777777" w:rsidR="008C7E2A" w:rsidRPr="00C923CD" w:rsidRDefault="008C7E2A" w:rsidP="00C923CD">
      <w:pPr>
        <w:suppressLineNumbers/>
        <w:autoSpaceDE w:val="0"/>
        <w:autoSpaceDN w:val="0"/>
        <w:adjustRightInd w:val="0"/>
        <w:spacing w:after="0" w:line="240" w:lineRule="auto"/>
        <w:jc w:val="both"/>
        <w:rPr>
          <w:rFonts w:cs="CswkjqAdvTTb5929f4c"/>
        </w:rPr>
      </w:pPr>
    </w:p>
    <w:p w14:paraId="6CA0E4BF" w14:textId="6C698AC9" w:rsidR="008C7E2A" w:rsidRPr="00C923CD" w:rsidRDefault="00D60103" w:rsidP="00C923CD">
      <w:pPr>
        <w:suppressLineNumbers/>
        <w:autoSpaceDE w:val="0"/>
        <w:autoSpaceDN w:val="0"/>
        <w:adjustRightInd w:val="0"/>
        <w:spacing w:after="0" w:line="240" w:lineRule="auto"/>
        <w:jc w:val="both"/>
        <w:rPr>
          <w:rFonts w:cs="Frutiger-Light"/>
        </w:rPr>
      </w:pPr>
      <w:r w:rsidRPr="00C923CD">
        <w:t>Plusieurs études ont également révélé un lien étroit entre la coopération internationale en recherche et la productivité scientifique accrue</w:t>
      </w:r>
      <w:r w:rsidR="007A08E5" w:rsidRPr="00C923CD">
        <w:t xml:space="preserve"> </w:t>
      </w:r>
      <w:r w:rsidRPr="00C923CD">
        <w:t>[</w:t>
      </w:r>
      <w:r w:rsidR="008C7E2A" w:rsidRPr="00C923CD">
        <w:rPr>
          <w:rStyle w:val="EndnoteReference"/>
          <w:rFonts w:cs="CswkjqAdvTTb5929f4c"/>
          <w:lang w:val="en-GB"/>
        </w:rPr>
        <w:endnoteReference w:id="66"/>
      </w:r>
      <w:r w:rsidRPr="00C923CD">
        <w:rPr>
          <w:vertAlign w:val="superscript"/>
        </w:rPr>
        <w:t>,</w:t>
      </w:r>
      <w:r w:rsidR="008C7E2A" w:rsidRPr="00C923CD">
        <w:rPr>
          <w:rStyle w:val="EndnoteReference"/>
          <w:rFonts w:cs="CswkjqAdvTTb5929f4c"/>
          <w:lang w:val="en-GB"/>
        </w:rPr>
        <w:endnoteReference w:id="67"/>
      </w:r>
      <w:r w:rsidRPr="00C923CD">
        <w:rPr>
          <w:vertAlign w:val="superscript"/>
        </w:rPr>
        <w:t>,</w:t>
      </w:r>
      <w:r w:rsidR="008C7E2A" w:rsidRPr="00C923CD">
        <w:rPr>
          <w:rStyle w:val="EndnoteReference"/>
          <w:rFonts w:cs="CswkjqAdvTTb5929f4c"/>
          <w:lang w:val="en-GB"/>
        </w:rPr>
        <w:endnoteReference w:id="68"/>
      </w:r>
      <w:r w:rsidRPr="00C923CD">
        <w:t>]. Elles affirment que les complexités impliquées dans la recherche nécessitent des connaissances plus spécialisées qu</w:t>
      </w:r>
      <w:r w:rsidR="003275A7" w:rsidRPr="00C923CD">
        <w:t>’</w:t>
      </w:r>
      <w:r w:rsidRPr="00C923CD">
        <w:t>aucun individu ou pays à lui seul n</w:t>
      </w:r>
      <w:r w:rsidR="003275A7" w:rsidRPr="00C923CD">
        <w:t>’</w:t>
      </w:r>
      <w:r w:rsidRPr="00C923CD">
        <w:t>est censé avoir. Par conséquent, la collaboration permet aux personnes de jouer leurs meilleures cartes qui contribuent à leurs compétences les plus solides et à leurs connaissances les plus vastes, tout en comptant sur d</w:t>
      </w:r>
      <w:r w:rsidR="003275A7" w:rsidRPr="00C923CD">
        <w:t>’</w:t>
      </w:r>
      <w:r w:rsidRPr="00C923CD">
        <w:t>autres pour contribuer à d</w:t>
      </w:r>
      <w:r w:rsidR="003275A7" w:rsidRPr="00C923CD">
        <w:t>’</w:t>
      </w:r>
      <w:r w:rsidRPr="00C923CD">
        <w:t>autres compétences et connaissances</w:t>
      </w:r>
      <w:r w:rsidR="007A08E5" w:rsidRPr="00C923CD">
        <w:t xml:space="preserve"> </w:t>
      </w:r>
      <w:r w:rsidRPr="00C923CD">
        <w:t>[</w:t>
      </w:r>
      <w:r w:rsidR="008C7E2A" w:rsidRPr="00C923CD">
        <w:rPr>
          <w:rStyle w:val="EndnoteReference"/>
          <w:lang w:val="en-GB"/>
        </w:rPr>
        <w:endnoteReference w:id="69"/>
      </w:r>
      <w:r w:rsidRPr="00C923CD">
        <w:t>]. À grande échelle, la collaboration permettra aux établissements et aux pays de mobiliser et d</w:t>
      </w:r>
      <w:r w:rsidR="003275A7" w:rsidRPr="00C923CD">
        <w:t>’</w:t>
      </w:r>
      <w:r w:rsidRPr="00C923CD">
        <w:t>utiliser leurs capacités différenciées pour améliorer le processus de production de connaissances en vue d</w:t>
      </w:r>
      <w:r w:rsidR="003275A7" w:rsidRPr="00C923CD">
        <w:t>’</w:t>
      </w:r>
      <w:r w:rsidRPr="00C923CD">
        <w:t>accroître la productivité.</w:t>
      </w:r>
    </w:p>
    <w:p w14:paraId="73745F6E" w14:textId="77777777" w:rsidR="008C7E2A" w:rsidRPr="00C923CD" w:rsidRDefault="008C7E2A" w:rsidP="00C923CD">
      <w:pPr>
        <w:suppressLineNumbers/>
        <w:autoSpaceDE w:val="0"/>
        <w:autoSpaceDN w:val="0"/>
        <w:adjustRightInd w:val="0"/>
        <w:spacing w:after="0" w:line="240" w:lineRule="auto"/>
        <w:jc w:val="both"/>
        <w:rPr>
          <w:rFonts w:cs="TimesNewRoman"/>
        </w:rPr>
      </w:pPr>
    </w:p>
    <w:p w14:paraId="464B44A9" w14:textId="66E9D28D" w:rsidR="008C7E2A" w:rsidRPr="00C923CD" w:rsidRDefault="008C7E2A" w:rsidP="00C923CD">
      <w:pPr>
        <w:suppressLineNumbers/>
        <w:spacing w:after="0" w:line="240" w:lineRule="auto"/>
        <w:jc w:val="both"/>
        <w:outlineLvl w:val="0"/>
        <w:rPr>
          <w:b/>
        </w:rPr>
      </w:pPr>
      <w:r w:rsidRPr="00C923CD">
        <w:rPr>
          <w:b/>
        </w:rPr>
        <w:t>Limites de l</w:t>
      </w:r>
      <w:r w:rsidR="003275A7" w:rsidRPr="00C923CD">
        <w:rPr>
          <w:b/>
        </w:rPr>
        <w:t>’</w:t>
      </w:r>
      <w:r w:rsidRPr="00C923CD">
        <w:rPr>
          <w:b/>
        </w:rPr>
        <w:t xml:space="preserve">étude </w:t>
      </w:r>
    </w:p>
    <w:p w14:paraId="5095E2A8" w14:textId="4EE592F9" w:rsidR="008C7E2A" w:rsidRPr="00C923CD" w:rsidRDefault="00285526" w:rsidP="00C923CD">
      <w:pPr>
        <w:suppressLineNumbers/>
        <w:spacing w:after="0" w:line="240" w:lineRule="auto"/>
        <w:jc w:val="both"/>
      </w:pPr>
      <w:r w:rsidRPr="00C923CD">
        <w:t>La littérature grise dans des cadres faibles en ressources peut être indispensable pour déterminer les résultats d</w:t>
      </w:r>
      <w:r w:rsidR="003275A7" w:rsidRPr="00C923CD">
        <w:t>’</w:t>
      </w:r>
      <w:r w:rsidRPr="00C923CD">
        <w:t>activités de recherche et d</w:t>
      </w:r>
      <w:r w:rsidR="003275A7" w:rsidRPr="00C923CD">
        <w:t>’</w:t>
      </w:r>
      <w:r w:rsidRPr="00C923CD">
        <w:t>efforts de production de connaissances. L</w:t>
      </w:r>
      <w:r w:rsidR="003275A7" w:rsidRPr="00C923CD">
        <w:t>’</w:t>
      </w:r>
      <w:r w:rsidRPr="00C923CD">
        <w:t>examen de la portée était malheureusement limité aux publications à comité de lecture, ce qui signifie qu</w:t>
      </w:r>
      <w:r w:rsidR="003275A7" w:rsidRPr="00C923CD">
        <w:t>’</w:t>
      </w:r>
      <w:r w:rsidRPr="00C923CD">
        <w:t>une quantité assez importante de données probantes ont été exclues pour présenter une vue d</w:t>
      </w:r>
      <w:r w:rsidR="003275A7" w:rsidRPr="00C923CD">
        <w:t>’</w:t>
      </w:r>
      <w:r w:rsidRPr="00C923CD">
        <w:t>ensemble de la situation. De plus, les publications en portugais, la troisième langue officielle en Afrique de l</w:t>
      </w:r>
      <w:r w:rsidR="003275A7" w:rsidRPr="00C923CD">
        <w:t>’</w:t>
      </w:r>
      <w:r w:rsidRPr="00C923CD">
        <w:t>Ouest, ne pouvaient être recueillies en raison du manque de connaissances linguistiques. La Guinée-Bissau est lusophone, mais nous avons trouvé une publication en langue anglaise provenant de ce pays</w:t>
      </w:r>
      <w:r w:rsidR="007A6BD8" w:rsidRPr="00C923CD">
        <w:t xml:space="preserve">. </w:t>
      </w:r>
      <w:r w:rsidRPr="00C923CD">
        <w:t>Aucune publication n</w:t>
      </w:r>
      <w:r w:rsidR="003275A7" w:rsidRPr="00C923CD">
        <w:t>’</w:t>
      </w:r>
      <w:r w:rsidRPr="00C923CD">
        <w:t>a été trouvée de Cabo Verde. Étant donné les limites linguistiques, nous ne pouvons conclure qu</w:t>
      </w:r>
      <w:r w:rsidR="003275A7" w:rsidRPr="00C923CD">
        <w:t>’</w:t>
      </w:r>
      <w:r w:rsidRPr="00C923CD">
        <w:t>il n</w:t>
      </w:r>
      <w:r w:rsidR="003275A7" w:rsidRPr="00C923CD">
        <w:t>’</w:t>
      </w:r>
      <w:r w:rsidRPr="00C923CD">
        <w:t>y avait aucune publication de RPSS provenant de Cabo Verde ou que la seule publication que nous avons trouvée en anglais de la Guinée-Bissau est la seule possible. Le domaine de la RPSS est très large et même si nous avons essayé d</w:t>
      </w:r>
      <w:r w:rsidR="003275A7" w:rsidRPr="00C923CD">
        <w:t>’</w:t>
      </w:r>
      <w:r w:rsidRPr="00C923CD">
        <w:t>utiliser un vaste éventail de termes de recherche, nous sommes peut-être passés à côté de certains articles</w:t>
      </w:r>
      <w:r w:rsidR="007A6BD8" w:rsidRPr="00C923CD">
        <w:t xml:space="preserve">. </w:t>
      </w:r>
      <w:r w:rsidRPr="00C923CD">
        <w:t>Par conséquent, la valeur de cette étude réside dans sa nature comparative au lieu de l</w:t>
      </w:r>
      <w:r w:rsidR="003275A7" w:rsidRPr="00C923CD">
        <w:t>’</w:t>
      </w:r>
      <w:r w:rsidRPr="00C923CD">
        <w:t>être dans les nombres absolus</w:t>
      </w:r>
      <w:r w:rsidR="007A6BD8" w:rsidRPr="00C923CD">
        <w:t xml:space="preserve">. </w:t>
      </w:r>
      <w:r w:rsidRPr="00C923CD">
        <w:t>Finalement, l</w:t>
      </w:r>
      <w:r w:rsidR="003275A7" w:rsidRPr="00C923CD">
        <w:t>’</w:t>
      </w:r>
      <w:r w:rsidRPr="00C923CD">
        <w:t xml:space="preserve">étude a couvert une période de 25 ans et les rattachements des auteurs à des établissements peuvent avoir changé au cours de cette période. </w:t>
      </w:r>
    </w:p>
    <w:p w14:paraId="21252A04" w14:textId="77777777" w:rsidR="008C7E2A" w:rsidRPr="00C923CD" w:rsidRDefault="008C7E2A" w:rsidP="00C923CD">
      <w:pPr>
        <w:suppressLineNumbers/>
        <w:spacing w:after="0" w:line="240" w:lineRule="auto"/>
        <w:jc w:val="both"/>
        <w:rPr>
          <w:b/>
        </w:rPr>
      </w:pPr>
    </w:p>
    <w:p w14:paraId="29C98CE8" w14:textId="678A574A" w:rsidR="008C7E2A" w:rsidRPr="00C923CD" w:rsidRDefault="008C7E2A" w:rsidP="00C923CD">
      <w:pPr>
        <w:suppressLineNumbers/>
        <w:spacing w:after="0" w:line="240" w:lineRule="auto"/>
        <w:jc w:val="both"/>
        <w:outlineLvl w:val="0"/>
        <w:rPr>
          <w:b/>
        </w:rPr>
      </w:pPr>
      <w:r w:rsidRPr="00C923CD">
        <w:rPr>
          <w:b/>
        </w:rPr>
        <w:t>Conclusions</w:t>
      </w:r>
    </w:p>
    <w:p w14:paraId="342F75A0" w14:textId="027A06FD" w:rsidR="008C7E2A" w:rsidRPr="00C923CD" w:rsidRDefault="008C7E2A" w:rsidP="00C923CD">
      <w:pPr>
        <w:suppressLineNumbers/>
        <w:spacing w:after="0" w:line="240" w:lineRule="auto"/>
        <w:jc w:val="both"/>
      </w:pPr>
      <w:r w:rsidRPr="00C923CD">
        <w:t>La première analyse situationnelle de la RPSS en Afrique de l</w:t>
      </w:r>
      <w:r w:rsidR="003275A7" w:rsidRPr="00C923CD">
        <w:t>’</w:t>
      </w:r>
      <w:r w:rsidRPr="00C923CD">
        <w:t>Ouest a examiné les tendances générales dans les publications et a cherché à déterminer les personnes et les établissements impliqués dans la RPSS. Les résultats ont montré une croissance très lente, mais stable, des publications de RPSS depuis 2008 avec une répartition inégale de productions parmi les pays et les établissements. Les chercheurs nigériens et ghanéens ont produit plus de 50 % du nombre total de publications de RPSS dans la région. Il semble que davantage de chercheurs et d</w:t>
      </w:r>
      <w:r w:rsidR="003275A7" w:rsidRPr="00C923CD">
        <w:t>’</w:t>
      </w:r>
      <w:r w:rsidRPr="00C923CD">
        <w:t>établissements qui ne sont pas ouest-africains dirigent les programmes de RPSS en Afrique de l</w:t>
      </w:r>
      <w:r w:rsidR="003275A7" w:rsidRPr="00C923CD">
        <w:t>’</w:t>
      </w:r>
      <w:r w:rsidRPr="00C923CD">
        <w:t>Ouest francophone, et la plupart des francophones ont publié en anglais, ce qui en a fait la langue privilégiée pour les publications scientifiques</w:t>
      </w:r>
      <w:r w:rsidR="007A6BD8" w:rsidRPr="00C923CD">
        <w:t xml:space="preserve">. </w:t>
      </w:r>
      <w:r w:rsidRPr="00C923CD">
        <w:t>La recherche et les publications de RPSS dans la CEDEAO ont augmenté régulièrement au fil du temps</w:t>
      </w:r>
      <w:r w:rsidR="007A6BD8" w:rsidRPr="00C923CD">
        <w:t xml:space="preserve">. </w:t>
      </w:r>
      <w:r w:rsidRPr="00C923CD">
        <w:t>Elles sont cependant assez dominées par des chercheurs principaux rattachés à des établissements du Nord, surtout dans les pays francophones et les plus petits pays anglophones</w:t>
      </w:r>
      <w:r w:rsidR="007A6BD8" w:rsidRPr="00C923CD">
        <w:t xml:space="preserve">. </w:t>
      </w:r>
      <w:r w:rsidRPr="00C923CD">
        <w:t>Bien</w:t>
      </w:r>
      <w:r w:rsidR="007A08E5" w:rsidRPr="00C923CD">
        <w:t xml:space="preserve"> que les chercheurs principaux aie</w:t>
      </w:r>
      <w:r w:rsidRPr="00C923CD">
        <w:t>nt généralement recours à des collaborateurs de la CEDEAO, il est important que la capacité de diriger de la recherche appliquée telle que la RPSS soit renforcée dans la CEDEAO.</w:t>
      </w:r>
    </w:p>
    <w:p w14:paraId="095587B1" w14:textId="77777777" w:rsidR="000E6B8B" w:rsidRDefault="000E6B8B" w:rsidP="00C923CD">
      <w:pPr>
        <w:suppressLineNumbers/>
        <w:spacing w:after="0" w:line="240" w:lineRule="auto"/>
        <w:jc w:val="both"/>
      </w:pPr>
    </w:p>
    <w:p w14:paraId="1BC050B2" w14:textId="4D2190DC" w:rsidR="008C7E2A" w:rsidRPr="00C923CD" w:rsidRDefault="008C7E2A" w:rsidP="00C923CD">
      <w:pPr>
        <w:suppressLineNumbers/>
        <w:spacing w:after="0" w:line="240" w:lineRule="auto"/>
        <w:jc w:val="both"/>
      </w:pPr>
      <w:r w:rsidRPr="00C923CD">
        <w:t>De toute évidence, il est impératif d</w:t>
      </w:r>
      <w:r w:rsidR="003275A7" w:rsidRPr="00C923CD">
        <w:t>’</w:t>
      </w:r>
      <w:r w:rsidRPr="00C923CD">
        <w:t>atteindre la masse critique de producteurs et d</w:t>
      </w:r>
      <w:r w:rsidR="003275A7" w:rsidRPr="00C923CD">
        <w:t>’</w:t>
      </w:r>
      <w:r w:rsidRPr="00C923CD">
        <w:t>utilisateurs de RPSS dans la sous-région. Ces résultats donnent une idée juste quant à la capacité future de formation et de mentorat sur la RPSS qui pourrait éventuellement exister en Afrique occidentale. Comme pour de nombreux PFR-PRI, le manque de ressources (financières et humaines) a été ciblé comme étant l</w:t>
      </w:r>
      <w:r w:rsidR="003275A7" w:rsidRPr="00C923CD">
        <w:t>’</w:t>
      </w:r>
      <w:r w:rsidRPr="00C923CD">
        <w:t>un des facteurs qui limite la production de RPSS en Afrique occidentale. Par conséquent, pour une région pauvre en ressources, les collaborations institutionnelles entre les pays qui mettent l</w:t>
      </w:r>
      <w:r w:rsidR="003275A7" w:rsidRPr="00C923CD">
        <w:t>’</w:t>
      </w:r>
      <w:r w:rsidRPr="00C923CD">
        <w:t>accent sur la mise en place de programmes collaboratifs de recherche parmi les chercheurs et les utilisateurs dans la sous-région sont essentielles. La validation de cette collaboration avec d</w:t>
      </w:r>
      <w:r w:rsidR="003275A7" w:rsidRPr="00C923CD">
        <w:t>’</w:t>
      </w:r>
      <w:r w:rsidRPr="00C923CD">
        <w:t>autres partenaires du Nord pourrait aider davantage à relever les défis cernés. Heureusement, il existe quelques activités embryonnaires de recherche collaborative au sein de la sous-région qui pourraient être explorées et développées davantage en une collaboration Sud-Sud plus durable.</w:t>
      </w:r>
    </w:p>
    <w:p w14:paraId="0B480E15" w14:textId="77777777" w:rsidR="0047340A" w:rsidRPr="00C923CD" w:rsidRDefault="0047340A" w:rsidP="00C923CD">
      <w:pPr>
        <w:suppressLineNumbers/>
        <w:spacing w:after="0" w:line="240" w:lineRule="auto"/>
        <w:jc w:val="both"/>
        <w:rPr>
          <w:b/>
        </w:rPr>
      </w:pPr>
    </w:p>
    <w:p w14:paraId="6650E13E" w14:textId="77777777" w:rsidR="008C7E2A" w:rsidRPr="00C923CD" w:rsidRDefault="008C7E2A" w:rsidP="00C923CD">
      <w:pPr>
        <w:suppressLineNumbers/>
        <w:spacing w:after="0" w:line="240" w:lineRule="auto"/>
        <w:jc w:val="both"/>
        <w:rPr>
          <w:b/>
        </w:rPr>
      </w:pPr>
      <w:r w:rsidRPr="00C923CD">
        <w:rPr>
          <w:b/>
        </w:rPr>
        <w:t>Liste des abréviations utilisées</w:t>
      </w:r>
    </w:p>
    <w:p w14:paraId="2729B24D" w14:textId="765FFE95" w:rsidR="00285526" w:rsidRPr="00C923CD" w:rsidRDefault="008C7E2A" w:rsidP="00C923CD">
      <w:pPr>
        <w:suppressLineNumbers/>
        <w:spacing w:after="0" w:line="240" w:lineRule="auto"/>
        <w:jc w:val="both"/>
      </w:pPr>
      <w:r w:rsidRPr="00C923CD">
        <w:t>ONG : Organisation non gouvernementale, SAC : systèmes adaptatifs complexes, OMD : Objectifs du Millénaire pour le développement, PFR-PRI : pays à faible revenu et pays à revenu intermédiaire, RPSS : recherche sur les politiques et les systèmes de santé, OMS : Organisation mondiale de la Santé, MEPIN : Medical Education Partnership Initiative au Nigéria, SADC : Communauté de développement d</w:t>
      </w:r>
      <w:r w:rsidR="003275A7" w:rsidRPr="00C923CD">
        <w:t>’</w:t>
      </w:r>
      <w:r w:rsidRPr="00C923CD">
        <w:t>Afrique australe, DSS : déterminants sociaux de la santé, UE : Union européenne, UK DFID : Département du Développement international du Royaume-Uni, OOAS : Organisation ouest-africaine de la santé, CEDEAO : Communauté économique des États de l</w:t>
      </w:r>
      <w:r w:rsidR="003275A7" w:rsidRPr="00C923CD">
        <w:t>’</w:t>
      </w:r>
      <w:r w:rsidRPr="00C923CD">
        <w:t>Afrique de l</w:t>
      </w:r>
      <w:r w:rsidR="003275A7" w:rsidRPr="00C923CD">
        <w:t>’</w:t>
      </w:r>
      <w:r w:rsidRPr="00C923CD">
        <w:t>Ouest.</w:t>
      </w:r>
    </w:p>
    <w:p w14:paraId="314337BE" w14:textId="77777777" w:rsidR="000E6B8B" w:rsidRDefault="000E6B8B" w:rsidP="00C923CD">
      <w:pPr>
        <w:suppressLineNumbers/>
        <w:spacing w:after="0" w:line="240" w:lineRule="auto"/>
        <w:jc w:val="both"/>
        <w:rPr>
          <w:b/>
        </w:rPr>
      </w:pPr>
    </w:p>
    <w:p w14:paraId="05AA099F" w14:textId="77777777" w:rsidR="008C7E2A" w:rsidRPr="00C923CD" w:rsidRDefault="008C7E2A" w:rsidP="00C923CD">
      <w:pPr>
        <w:suppressLineNumbers/>
        <w:spacing w:after="0" w:line="240" w:lineRule="auto"/>
        <w:jc w:val="both"/>
        <w:rPr>
          <w:b/>
        </w:rPr>
      </w:pPr>
      <w:r w:rsidRPr="00C923CD">
        <w:rPr>
          <w:b/>
        </w:rPr>
        <w:t>Contribution des auteures</w:t>
      </w:r>
    </w:p>
    <w:p w14:paraId="673FBD79" w14:textId="699B1664" w:rsidR="008C7E2A" w:rsidRPr="00C923CD" w:rsidRDefault="008C7E2A" w:rsidP="00C923CD">
      <w:pPr>
        <w:suppressLineNumbers/>
        <w:spacing w:after="0" w:line="240" w:lineRule="auto"/>
        <w:jc w:val="both"/>
      </w:pPr>
      <w:r w:rsidRPr="00C923CD">
        <w:t>I.A.A, A.L. et S.D. ont conçu l</w:t>
      </w:r>
      <w:r w:rsidR="003275A7" w:rsidRPr="00C923CD">
        <w:t>’</w:t>
      </w:r>
      <w:r w:rsidRPr="00C923CD">
        <w:t>article, S.D. a compilé les données. S.D., A.K. et I.A.A. ont analysé les données</w:t>
      </w:r>
      <w:r w:rsidR="007A6BD8" w:rsidRPr="00C923CD">
        <w:t xml:space="preserve">. </w:t>
      </w:r>
      <w:r w:rsidRPr="00C923CD">
        <w:t>S.D. a dirigé la rédaction de l</w:t>
      </w:r>
      <w:r w:rsidR="003275A7" w:rsidRPr="00C923CD">
        <w:t>’</w:t>
      </w:r>
      <w:r w:rsidRPr="00C923CD">
        <w:t>article et I.A.A. et A.K. ont révisé d</w:t>
      </w:r>
      <w:r w:rsidR="003275A7" w:rsidRPr="00C923CD">
        <w:t>’</w:t>
      </w:r>
      <w:r w:rsidRPr="00C923CD">
        <w:t>un oeil critique les différentes itérations du manuscrit et approuvé la version définitive.</w:t>
      </w:r>
    </w:p>
    <w:p w14:paraId="7ABE4575" w14:textId="77777777" w:rsidR="000E6B8B" w:rsidRDefault="000E6B8B" w:rsidP="00C923CD">
      <w:pPr>
        <w:suppressLineNumbers/>
        <w:spacing w:after="0" w:line="240" w:lineRule="auto"/>
        <w:jc w:val="both"/>
        <w:rPr>
          <w:b/>
        </w:rPr>
      </w:pPr>
    </w:p>
    <w:p w14:paraId="1354CB50" w14:textId="6CF5C4C3" w:rsidR="008C7E2A" w:rsidRPr="00C923CD" w:rsidRDefault="008C7E2A" w:rsidP="00C923CD">
      <w:pPr>
        <w:suppressLineNumbers/>
        <w:spacing w:after="0" w:line="240" w:lineRule="auto"/>
        <w:jc w:val="both"/>
        <w:rPr>
          <w:b/>
        </w:rPr>
      </w:pPr>
      <w:r w:rsidRPr="00C923CD">
        <w:rPr>
          <w:b/>
        </w:rPr>
        <w:t>Approbation de l</w:t>
      </w:r>
      <w:r w:rsidR="003275A7" w:rsidRPr="00C923CD">
        <w:rPr>
          <w:b/>
        </w:rPr>
        <w:t>’</w:t>
      </w:r>
      <w:r w:rsidRPr="00C923CD">
        <w:rPr>
          <w:b/>
        </w:rPr>
        <w:t>éthique et consentement à participer</w:t>
      </w:r>
    </w:p>
    <w:p w14:paraId="3708754F" w14:textId="77777777" w:rsidR="008C7E2A" w:rsidRPr="00C923CD" w:rsidRDefault="008C7E2A" w:rsidP="00C923CD">
      <w:pPr>
        <w:suppressLineNumbers/>
        <w:spacing w:after="0" w:line="240" w:lineRule="auto"/>
        <w:jc w:val="both"/>
      </w:pPr>
      <w:r w:rsidRPr="00C923CD">
        <w:t>Sans objet</w:t>
      </w:r>
      <w:r w:rsidRPr="00C923CD">
        <w:rPr>
          <w:b/>
        </w:rPr>
        <w:tab/>
      </w:r>
    </w:p>
    <w:p w14:paraId="707B9B77" w14:textId="77777777" w:rsidR="000E6B8B" w:rsidRDefault="000E6B8B" w:rsidP="00C923CD">
      <w:pPr>
        <w:suppressLineNumbers/>
        <w:autoSpaceDE w:val="0"/>
        <w:autoSpaceDN w:val="0"/>
        <w:adjustRightInd w:val="0"/>
        <w:spacing w:after="0" w:line="240" w:lineRule="auto"/>
        <w:jc w:val="both"/>
        <w:rPr>
          <w:b/>
        </w:rPr>
      </w:pPr>
    </w:p>
    <w:p w14:paraId="5A8928D8" w14:textId="77777777" w:rsidR="008C7E2A" w:rsidRPr="00C923CD" w:rsidRDefault="008C7E2A" w:rsidP="00C923CD">
      <w:pPr>
        <w:suppressLineNumbers/>
        <w:autoSpaceDE w:val="0"/>
        <w:autoSpaceDN w:val="0"/>
        <w:adjustRightInd w:val="0"/>
        <w:spacing w:after="0" w:line="240" w:lineRule="auto"/>
        <w:jc w:val="both"/>
        <w:rPr>
          <w:b/>
        </w:rPr>
      </w:pPr>
      <w:r w:rsidRPr="00C923CD">
        <w:rPr>
          <w:b/>
        </w:rPr>
        <w:t>Intérêts conflictuels</w:t>
      </w:r>
    </w:p>
    <w:p w14:paraId="5AF0DBCE" w14:textId="748C7E85" w:rsidR="008C7E2A" w:rsidRPr="00C923CD" w:rsidRDefault="008C7E2A" w:rsidP="00C923CD">
      <w:pPr>
        <w:suppressLineNumbers/>
        <w:autoSpaceDE w:val="0"/>
        <w:autoSpaceDN w:val="0"/>
        <w:adjustRightInd w:val="0"/>
        <w:spacing w:after="0" w:line="240" w:lineRule="auto"/>
        <w:jc w:val="both"/>
      </w:pPr>
      <w:r w:rsidRPr="00C923CD">
        <w:t>Les auteures déclarent n</w:t>
      </w:r>
      <w:r w:rsidR="003275A7" w:rsidRPr="00C923CD">
        <w:t>’</w:t>
      </w:r>
      <w:r w:rsidRPr="00C923CD">
        <w:t>avoir aucun intérêt opposé.</w:t>
      </w:r>
    </w:p>
    <w:p w14:paraId="652D58E8" w14:textId="77777777" w:rsidR="008C7E2A" w:rsidRPr="00C923CD" w:rsidRDefault="008C7E2A" w:rsidP="00C923CD">
      <w:pPr>
        <w:suppressLineNumbers/>
        <w:autoSpaceDE w:val="0"/>
        <w:autoSpaceDN w:val="0"/>
        <w:adjustRightInd w:val="0"/>
        <w:spacing w:after="0" w:line="240" w:lineRule="auto"/>
        <w:jc w:val="both"/>
        <w:rPr>
          <w:b/>
        </w:rPr>
      </w:pPr>
    </w:p>
    <w:p w14:paraId="17B8ABC7" w14:textId="77777777" w:rsidR="008C7E2A" w:rsidRPr="00C923CD" w:rsidRDefault="008C7E2A" w:rsidP="00C923CD">
      <w:pPr>
        <w:suppressLineNumbers/>
        <w:autoSpaceDE w:val="0"/>
        <w:autoSpaceDN w:val="0"/>
        <w:adjustRightInd w:val="0"/>
        <w:spacing w:after="0" w:line="240" w:lineRule="auto"/>
        <w:jc w:val="both"/>
        <w:rPr>
          <w:b/>
        </w:rPr>
      </w:pPr>
      <w:r w:rsidRPr="00C923CD">
        <w:rPr>
          <w:b/>
        </w:rPr>
        <w:t>Financement</w:t>
      </w:r>
    </w:p>
    <w:p w14:paraId="5635D89D" w14:textId="26494EAE" w:rsidR="00343163" w:rsidRPr="00C923CD" w:rsidRDefault="00343163" w:rsidP="00C923CD">
      <w:pPr>
        <w:suppressLineNumbers/>
        <w:autoSpaceDE w:val="0"/>
        <w:autoSpaceDN w:val="0"/>
        <w:adjustRightInd w:val="0"/>
        <w:spacing w:after="0" w:line="240" w:lineRule="auto"/>
        <w:jc w:val="both"/>
      </w:pPr>
      <w:r w:rsidRPr="00C923CD">
        <w:t>Ce travail a reçu le soutien financier du Centre de recherches pour le développement international (CRDI) dans le cadre du projet de renforcement, dans les pays d</w:t>
      </w:r>
      <w:r w:rsidR="003275A7" w:rsidRPr="00C923CD">
        <w:t>’</w:t>
      </w:r>
      <w:r w:rsidRPr="00C923CD">
        <w:t>Afrique de l</w:t>
      </w:r>
      <w:r w:rsidR="003275A7" w:rsidRPr="00C923CD">
        <w:t>’</w:t>
      </w:r>
      <w:r w:rsidRPr="00C923CD">
        <w:t>Ouest, des capacités de recherche sur les systèmes de santé (107694 -001).</w:t>
      </w:r>
    </w:p>
    <w:p w14:paraId="6AC3ECCE" w14:textId="77777777" w:rsidR="008C7E2A" w:rsidRPr="00C923CD" w:rsidRDefault="008C7E2A" w:rsidP="00C923CD">
      <w:pPr>
        <w:suppressLineNumbers/>
        <w:autoSpaceDE w:val="0"/>
        <w:autoSpaceDN w:val="0"/>
        <w:adjustRightInd w:val="0"/>
        <w:spacing w:after="0" w:line="240" w:lineRule="auto"/>
        <w:jc w:val="both"/>
        <w:rPr>
          <w:b/>
        </w:rPr>
      </w:pPr>
    </w:p>
    <w:p w14:paraId="29B705BA" w14:textId="77777777" w:rsidR="0047340A" w:rsidRPr="00C923CD" w:rsidRDefault="0047340A" w:rsidP="00C923CD">
      <w:pPr>
        <w:suppressLineNumbers/>
        <w:autoSpaceDE w:val="0"/>
        <w:autoSpaceDN w:val="0"/>
        <w:adjustRightInd w:val="0"/>
        <w:spacing w:after="0" w:line="240" w:lineRule="auto"/>
        <w:jc w:val="both"/>
        <w:rPr>
          <w:b/>
        </w:rPr>
      </w:pPr>
    </w:p>
    <w:p w14:paraId="6D637C52" w14:textId="77777777" w:rsidR="00C13639" w:rsidRPr="00C923CD" w:rsidRDefault="00C13639" w:rsidP="00C923CD">
      <w:pPr>
        <w:suppressLineNumbers/>
        <w:autoSpaceDE w:val="0"/>
        <w:autoSpaceDN w:val="0"/>
        <w:adjustRightInd w:val="0"/>
        <w:spacing w:after="0" w:line="240" w:lineRule="auto"/>
        <w:jc w:val="both"/>
        <w:rPr>
          <w:b/>
        </w:rPr>
      </w:pPr>
    </w:p>
    <w:p w14:paraId="1CA54822" w14:textId="77777777" w:rsidR="00444A10" w:rsidRPr="00C923CD" w:rsidRDefault="008C7E2A" w:rsidP="00C923CD">
      <w:pPr>
        <w:suppressLineNumbers/>
        <w:autoSpaceDE w:val="0"/>
        <w:autoSpaceDN w:val="0"/>
        <w:adjustRightInd w:val="0"/>
        <w:spacing w:after="0" w:line="240" w:lineRule="auto"/>
        <w:jc w:val="both"/>
        <w:rPr>
          <w:rFonts w:cs="TimesNewRoman"/>
        </w:rPr>
      </w:pPr>
      <w:r w:rsidRPr="00C923CD">
        <w:rPr>
          <w:b/>
        </w:rPr>
        <w:t>Références</w:t>
      </w:r>
    </w:p>
    <w:p w14:paraId="1E95E669" w14:textId="77777777" w:rsidR="00C923CD" w:rsidRPr="00C923CD" w:rsidRDefault="00C923CD" w:rsidP="00C923CD">
      <w:pPr>
        <w:suppressLineNumbers/>
        <w:autoSpaceDE w:val="0"/>
        <w:autoSpaceDN w:val="0"/>
        <w:adjustRightInd w:val="0"/>
        <w:spacing w:after="0" w:line="240" w:lineRule="auto"/>
        <w:jc w:val="both"/>
        <w:rPr>
          <w:rFonts w:cs="TimesNewRoman"/>
        </w:rPr>
      </w:pPr>
    </w:p>
    <w:sectPr w:rsidR="00C923CD" w:rsidRPr="00C923CD" w:rsidSect="000957DF">
      <w:footerReference w:type="default" r:id="rId14"/>
      <w:endnotePr>
        <w:numFmt w:val="decimal"/>
      </w:endnotePr>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1B727" w14:textId="77777777" w:rsidR="00941556" w:rsidRDefault="00941556" w:rsidP="008C7E2A">
      <w:pPr>
        <w:spacing w:after="0" w:line="240" w:lineRule="auto"/>
      </w:pPr>
      <w:r>
        <w:separator/>
      </w:r>
    </w:p>
  </w:endnote>
  <w:endnote w:type="continuationSeparator" w:id="0">
    <w:p w14:paraId="542BC041" w14:textId="77777777" w:rsidR="00941556" w:rsidRDefault="00941556" w:rsidP="008C7E2A">
      <w:pPr>
        <w:spacing w:after="0" w:line="240" w:lineRule="auto"/>
      </w:pPr>
      <w:r>
        <w:continuationSeparator/>
      </w:r>
    </w:p>
  </w:endnote>
  <w:endnote w:id="1">
    <w:p w14:paraId="0CFF756A" w14:textId="0403B760" w:rsidR="00121E13" w:rsidRPr="006E18BA" w:rsidRDefault="00121E13" w:rsidP="008C7E2A">
      <w:pPr>
        <w:pStyle w:val="EndnoteText"/>
        <w:rPr>
          <w:rFonts w:cs="Arial"/>
          <w:sz w:val="22"/>
          <w:szCs w:val="22"/>
          <w:shd w:val="clear" w:color="auto" w:fill="FFFFFF"/>
        </w:rPr>
      </w:pPr>
      <w:r>
        <w:rPr>
          <w:rStyle w:val="EndnoteReference"/>
          <w:sz w:val="22"/>
          <w:szCs w:val="22"/>
        </w:rPr>
        <w:endnoteRef/>
      </w:r>
      <w:r w:rsidRPr="00FC15D4">
        <w:rPr>
          <w:lang w:val="en-CA"/>
        </w:rPr>
        <w:t xml:space="preserve"> </w:t>
      </w:r>
      <w:r w:rsidRPr="00FC15D4">
        <w:rPr>
          <w:sz w:val="22"/>
          <w:szCs w:val="22"/>
          <w:shd w:val="clear" w:color="auto" w:fill="FFFFFF"/>
          <w:lang w:val="en-CA"/>
        </w:rPr>
        <w:t>Kebede, D., W. E. Soumbey-Alley, E. Asamoah-Odei, P. S Lusamba-Dikassa et L. G.Sambo (2010). « Progress on the health-related MDGs in the African Region ».</w:t>
      </w:r>
      <w:r w:rsidRPr="00FC15D4">
        <w:rPr>
          <w:rStyle w:val="apple-converted-space"/>
          <w:sz w:val="22"/>
          <w:szCs w:val="22"/>
          <w:shd w:val="clear" w:color="auto" w:fill="FFFFFF"/>
          <w:lang w:val="en-CA"/>
        </w:rPr>
        <w:t xml:space="preserve"> </w:t>
      </w:r>
      <w:r>
        <w:rPr>
          <w:i/>
          <w:iCs/>
          <w:sz w:val="22"/>
          <w:szCs w:val="22"/>
          <w:shd w:val="clear" w:color="auto" w:fill="FFFFFF"/>
        </w:rPr>
        <w:t>Observatoire africain de la Santé</w:t>
      </w:r>
      <w:r>
        <w:rPr>
          <w:sz w:val="22"/>
          <w:szCs w:val="22"/>
          <w:shd w:val="clear" w:color="auto" w:fill="FFFFFF"/>
        </w:rPr>
        <w:t>,</w:t>
      </w:r>
      <w:r>
        <w:rPr>
          <w:rStyle w:val="apple-converted-space"/>
          <w:sz w:val="22"/>
          <w:szCs w:val="22"/>
          <w:shd w:val="clear" w:color="auto" w:fill="FFFFFF"/>
        </w:rPr>
        <w:t xml:space="preserve"> </w:t>
      </w:r>
      <w:r>
        <w:rPr>
          <w:i/>
          <w:iCs/>
          <w:sz w:val="22"/>
          <w:szCs w:val="22"/>
          <w:shd w:val="clear" w:color="auto" w:fill="FFFFFF"/>
        </w:rPr>
        <w:t>10</w:t>
      </w:r>
      <w:r>
        <w:rPr>
          <w:sz w:val="22"/>
          <w:szCs w:val="22"/>
          <w:shd w:val="clear" w:color="auto" w:fill="FFFFFF"/>
        </w:rPr>
        <w:t>, 10-17.</w:t>
      </w:r>
    </w:p>
    <w:p w14:paraId="3F481EA0" w14:textId="77777777" w:rsidR="00121E13" w:rsidRPr="00FC15D4" w:rsidRDefault="00121E13" w:rsidP="008C7E2A">
      <w:pPr>
        <w:pStyle w:val="EndnoteText"/>
        <w:rPr>
          <w:sz w:val="22"/>
          <w:szCs w:val="22"/>
        </w:rPr>
      </w:pPr>
    </w:p>
  </w:endnote>
  <w:endnote w:id="2">
    <w:p w14:paraId="4CCBC607" w14:textId="646F3B91" w:rsidR="00121E13" w:rsidRPr="006E18BA" w:rsidRDefault="00121E13" w:rsidP="008C7E2A">
      <w:pPr>
        <w:pStyle w:val="EndnoteText"/>
        <w:rPr>
          <w:rFonts w:cs="Arial"/>
          <w:sz w:val="22"/>
          <w:szCs w:val="22"/>
          <w:shd w:val="clear" w:color="auto" w:fill="FFFFFF"/>
        </w:rPr>
      </w:pPr>
      <w:r>
        <w:rPr>
          <w:rStyle w:val="EndnoteReference"/>
          <w:sz w:val="22"/>
          <w:szCs w:val="22"/>
        </w:rPr>
        <w:endnoteRef/>
      </w:r>
      <w:r>
        <w:t xml:space="preserve"> </w:t>
      </w:r>
      <w:r>
        <w:rPr>
          <w:sz w:val="22"/>
          <w:szCs w:val="22"/>
          <w:shd w:val="clear" w:color="auto" w:fill="FFFFFF"/>
        </w:rPr>
        <w:t>Organisation mondiale de la Santé. (2000).</w:t>
      </w:r>
      <w:r>
        <w:rPr>
          <w:rStyle w:val="apple-converted-space"/>
          <w:sz w:val="22"/>
          <w:szCs w:val="22"/>
          <w:shd w:val="clear" w:color="auto" w:fill="FFFFFF"/>
        </w:rPr>
        <w:t xml:space="preserve"> </w:t>
      </w:r>
      <w:r>
        <w:rPr>
          <w:sz w:val="22"/>
          <w:szCs w:val="22"/>
          <w:shd w:val="clear" w:color="auto" w:fill="FFFFFF"/>
        </w:rPr>
        <w:t>« Rapport sur la santé dans le monde, 2000 – Pour un système de santé plus performant ». Organisation mondiale de la Santé.</w:t>
      </w:r>
    </w:p>
    <w:p w14:paraId="4078D595" w14:textId="77777777" w:rsidR="00121E13" w:rsidRPr="00FC15D4" w:rsidRDefault="00121E13" w:rsidP="008C7E2A">
      <w:pPr>
        <w:pStyle w:val="EndnoteText"/>
        <w:rPr>
          <w:sz w:val="22"/>
          <w:szCs w:val="22"/>
        </w:rPr>
      </w:pPr>
    </w:p>
  </w:endnote>
  <w:endnote w:id="3">
    <w:p w14:paraId="76A68334" w14:textId="2E612439" w:rsidR="00121E13" w:rsidRPr="006E18BA" w:rsidRDefault="00121E13" w:rsidP="008C7E2A">
      <w:pPr>
        <w:pStyle w:val="EndnoteText"/>
        <w:rPr>
          <w:rFonts w:cs="Arial"/>
          <w:sz w:val="22"/>
          <w:szCs w:val="22"/>
          <w:shd w:val="clear" w:color="auto" w:fill="FFFFFF"/>
        </w:rPr>
      </w:pPr>
      <w:r>
        <w:rPr>
          <w:rStyle w:val="EndnoteReference"/>
          <w:sz w:val="22"/>
          <w:szCs w:val="22"/>
        </w:rPr>
        <w:endnoteRef/>
      </w:r>
      <w:r>
        <w:t xml:space="preserve"> </w:t>
      </w:r>
      <w:r>
        <w:rPr>
          <w:sz w:val="22"/>
          <w:szCs w:val="22"/>
          <w:shd w:val="clear" w:color="auto" w:fill="FFFFFF"/>
        </w:rPr>
        <w:t>Organisation mondiale de la Santé. (2003).</w:t>
      </w:r>
      <w:r>
        <w:rPr>
          <w:rStyle w:val="apple-converted-space"/>
          <w:sz w:val="22"/>
          <w:szCs w:val="22"/>
          <w:shd w:val="clear" w:color="auto" w:fill="FFFFFF"/>
        </w:rPr>
        <w:t xml:space="preserve"> </w:t>
      </w:r>
      <w:r>
        <w:rPr>
          <w:sz w:val="22"/>
          <w:szCs w:val="22"/>
          <w:shd w:val="clear" w:color="auto" w:fill="FFFFFF"/>
        </w:rPr>
        <w:t>« Rapport sur la santé dans le monde, 2003 – façonner l’avenir ». Organisation mondiale de la Santé.</w:t>
      </w:r>
    </w:p>
    <w:p w14:paraId="6D044611" w14:textId="77777777" w:rsidR="00121E13" w:rsidRPr="00FC15D4" w:rsidRDefault="00121E13" w:rsidP="008C7E2A">
      <w:pPr>
        <w:pStyle w:val="EndnoteText"/>
        <w:rPr>
          <w:sz w:val="22"/>
          <w:szCs w:val="22"/>
        </w:rPr>
      </w:pPr>
    </w:p>
  </w:endnote>
  <w:endnote w:id="4">
    <w:p w14:paraId="5800F4D5" w14:textId="4B908DE2"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t xml:space="preserve"> </w:t>
      </w:r>
      <w:r>
        <w:rPr>
          <w:sz w:val="22"/>
          <w:szCs w:val="22"/>
          <w:shd w:val="clear" w:color="auto" w:fill="FFFFFF"/>
        </w:rPr>
        <w:t xml:space="preserve">Swanson, R. C., A. Cattaneo, E. Bradley, S. Chunharas, R. Atun, K. M. Abbas et A. Best (2012). </w:t>
      </w:r>
      <w:r w:rsidRPr="00FC15D4">
        <w:rPr>
          <w:sz w:val="22"/>
          <w:szCs w:val="22"/>
          <w:shd w:val="clear" w:color="auto" w:fill="FFFFFF"/>
          <w:lang w:val="en-CA"/>
        </w:rPr>
        <w:t>« Rethinking health systems strengthening: key systems thinking tools and strategies for transformational change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Health Policy and Planning</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27</w:t>
      </w:r>
      <w:r w:rsidRPr="00FC15D4">
        <w:rPr>
          <w:sz w:val="22"/>
          <w:szCs w:val="22"/>
          <w:shd w:val="clear" w:color="auto" w:fill="FFFFFF"/>
          <w:lang w:val="en-CA"/>
        </w:rPr>
        <w:t>(suppl 4), iv54-iv61.</w:t>
      </w:r>
    </w:p>
    <w:p w14:paraId="37BD768E" w14:textId="77777777" w:rsidR="00121E13" w:rsidRPr="006E18BA" w:rsidRDefault="00121E13" w:rsidP="008C7E2A">
      <w:pPr>
        <w:pStyle w:val="EndnoteText"/>
        <w:rPr>
          <w:sz w:val="22"/>
          <w:szCs w:val="22"/>
          <w:lang w:val="en-US"/>
        </w:rPr>
      </w:pPr>
    </w:p>
  </w:endnote>
  <w:endnote w:id="5">
    <w:p w14:paraId="7A7A03FE" w14:textId="28027536"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lang w:val="en-CA"/>
        </w:rPr>
        <w:t xml:space="preserve"> </w:t>
      </w:r>
      <w:r w:rsidRPr="00FC15D4">
        <w:rPr>
          <w:sz w:val="22"/>
          <w:szCs w:val="22"/>
          <w:shd w:val="clear" w:color="auto" w:fill="FFFFFF"/>
          <w:lang w:val="en-CA"/>
        </w:rPr>
        <w:t>Campbell, D. M., S. Redman, L. Jorm, M. Cooke, A. B. Zwi et L. Rychetnik (2009). « Increasing the use of evidence in health policy: practice and views of policy makers and researchers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Australia and New Zealand Health Policy</w:t>
      </w:r>
      <w:r w:rsidRPr="00FC15D4">
        <w:rPr>
          <w:sz w:val="22"/>
          <w:szCs w:val="22"/>
          <w:shd w:val="clear" w:color="auto" w:fill="FFFFFF"/>
          <w:lang w:val="en-CA"/>
        </w:rPr>
        <w:t>,6(1), 21.</w:t>
      </w:r>
    </w:p>
    <w:p w14:paraId="35F82262" w14:textId="77777777" w:rsidR="00121E13" w:rsidRPr="006E18BA" w:rsidRDefault="00121E13" w:rsidP="008C7E2A">
      <w:pPr>
        <w:pStyle w:val="EndnoteText"/>
        <w:rPr>
          <w:sz w:val="22"/>
          <w:szCs w:val="22"/>
          <w:lang w:val="en-US"/>
        </w:rPr>
      </w:pPr>
    </w:p>
  </w:endnote>
  <w:endnote w:id="6">
    <w:p w14:paraId="0B4BCDDD" w14:textId="0E449D87"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lang w:val="en-CA"/>
        </w:rPr>
        <w:t xml:space="preserve"> </w:t>
      </w:r>
      <w:r w:rsidRPr="00FC15D4">
        <w:rPr>
          <w:sz w:val="22"/>
          <w:szCs w:val="22"/>
          <w:shd w:val="clear" w:color="auto" w:fill="FFFFFF"/>
          <w:lang w:val="en-CA"/>
        </w:rPr>
        <w:t xml:space="preserve">Dobrow, M. J., V. Goel et R. E. G. Upshur (2004). </w:t>
      </w:r>
      <w:r w:rsidRPr="00FC15D4">
        <w:rPr>
          <w:i/>
          <w:iCs/>
          <w:sz w:val="22"/>
          <w:szCs w:val="22"/>
          <w:shd w:val="clear" w:color="auto" w:fill="FFFFFF"/>
          <w:lang w:val="en-CA"/>
        </w:rPr>
        <w:t>« </w:t>
      </w:r>
      <w:r w:rsidRPr="00FC15D4">
        <w:rPr>
          <w:sz w:val="22"/>
          <w:szCs w:val="22"/>
          <w:shd w:val="clear" w:color="auto" w:fill="FFFFFF"/>
          <w:lang w:val="en-CA"/>
        </w:rPr>
        <w:t>Evidence-based health policy: context and utilisation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Social science &amp; medicine</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sz w:val="22"/>
          <w:szCs w:val="22"/>
          <w:shd w:val="clear" w:color="auto" w:fill="FFFFFF"/>
          <w:lang w:val="en-CA"/>
        </w:rPr>
        <w:t>58(1), 207-217.</w:t>
      </w:r>
    </w:p>
    <w:p w14:paraId="76255CF7" w14:textId="77777777" w:rsidR="00121E13" w:rsidRPr="006E18BA" w:rsidRDefault="00121E13" w:rsidP="008C7E2A">
      <w:pPr>
        <w:pStyle w:val="EndnoteText"/>
        <w:rPr>
          <w:sz w:val="22"/>
          <w:szCs w:val="22"/>
          <w:lang w:val="en-US"/>
        </w:rPr>
      </w:pPr>
    </w:p>
  </w:endnote>
  <w:endnote w:id="7">
    <w:p w14:paraId="126C6D17" w14:textId="0A392472"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lang w:val="en-CA"/>
        </w:rPr>
        <w:t xml:space="preserve"> </w:t>
      </w:r>
      <w:r w:rsidRPr="00FC15D4">
        <w:rPr>
          <w:sz w:val="22"/>
          <w:szCs w:val="22"/>
          <w:shd w:val="clear" w:color="auto" w:fill="FFFFFF"/>
          <w:lang w:val="en-CA"/>
        </w:rPr>
        <w:t xml:space="preserve">Hanney, S. R., M. A. Gonzalez-Block, M. J. Buxton et M. Kogan (2003). </w:t>
      </w:r>
      <w:r w:rsidRPr="00FC15D4">
        <w:rPr>
          <w:i/>
          <w:iCs/>
          <w:sz w:val="22"/>
          <w:szCs w:val="22"/>
          <w:shd w:val="clear" w:color="auto" w:fill="FFFFFF"/>
          <w:lang w:val="en-CA"/>
        </w:rPr>
        <w:t>« </w:t>
      </w:r>
      <w:r w:rsidRPr="00FC15D4">
        <w:rPr>
          <w:sz w:val="22"/>
          <w:szCs w:val="22"/>
          <w:shd w:val="clear" w:color="auto" w:fill="FFFFFF"/>
          <w:lang w:val="en-CA"/>
        </w:rPr>
        <w:t>The utilisation of health research in policy-making: concepts, examples and methods of assessment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Health research policy and systems</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sz w:val="22"/>
          <w:szCs w:val="22"/>
          <w:shd w:val="clear" w:color="auto" w:fill="FFFFFF"/>
          <w:lang w:val="en-CA"/>
        </w:rPr>
        <w:t>1(1), 2.</w:t>
      </w:r>
    </w:p>
    <w:p w14:paraId="64A1BA7C" w14:textId="77777777" w:rsidR="00121E13" w:rsidRPr="006E18BA" w:rsidRDefault="00121E13" w:rsidP="008C7E2A">
      <w:pPr>
        <w:pStyle w:val="EndnoteText"/>
        <w:rPr>
          <w:sz w:val="22"/>
          <w:szCs w:val="22"/>
          <w:lang w:val="en-US"/>
        </w:rPr>
      </w:pPr>
    </w:p>
  </w:endnote>
  <w:endnote w:id="8">
    <w:p w14:paraId="2B7C0A8E" w14:textId="1A483F2D" w:rsidR="00121E13" w:rsidRPr="004F7F27" w:rsidRDefault="00121E13" w:rsidP="008C7E2A">
      <w:pPr>
        <w:pStyle w:val="FootnoteText"/>
        <w:rPr>
          <w:rFonts w:cs="Arial"/>
          <w:sz w:val="22"/>
          <w:szCs w:val="22"/>
          <w:shd w:val="clear" w:color="auto" w:fill="FFFFFF"/>
          <w:lang w:val="en-CA"/>
        </w:rPr>
      </w:pPr>
      <w:r>
        <w:rPr>
          <w:rStyle w:val="EndnoteReference"/>
          <w:sz w:val="22"/>
          <w:szCs w:val="22"/>
        </w:rPr>
        <w:endnoteRef/>
      </w:r>
      <w:r w:rsidRPr="00FC15D4">
        <w:rPr>
          <w:lang w:val="en-CA"/>
        </w:rPr>
        <w:t xml:space="preserve"> </w:t>
      </w:r>
      <w:r w:rsidRPr="00FC15D4">
        <w:rPr>
          <w:sz w:val="22"/>
          <w:szCs w:val="22"/>
          <w:shd w:val="clear" w:color="auto" w:fill="FFFFFF"/>
          <w:lang w:val="en-CA"/>
        </w:rPr>
        <w:t>Innvær, S., G. Vist, M. Trommald et A. Oxman (2002). « Health policy-makers’ perceptions of their use of evidence: a systematic review ».</w:t>
      </w:r>
      <w:r w:rsidRPr="00FC15D4">
        <w:rPr>
          <w:rStyle w:val="apple-converted-space"/>
          <w:sz w:val="22"/>
          <w:szCs w:val="22"/>
          <w:shd w:val="clear" w:color="auto" w:fill="FFFFFF"/>
          <w:lang w:val="en-CA"/>
        </w:rPr>
        <w:t xml:space="preserve"> </w:t>
      </w:r>
      <w:r w:rsidRPr="004F7F27">
        <w:rPr>
          <w:i/>
          <w:iCs/>
          <w:sz w:val="22"/>
          <w:szCs w:val="22"/>
          <w:shd w:val="clear" w:color="auto" w:fill="FFFFFF"/>
          <w:lang w:val="en-CA"/>
        </w:rPr>
        <w:t>Journal of health services research &amp; policy</w:t>
      </w:r>
      <w:r w:rsidRPr="004F7F27">
        <w:rPr>
          <w:sz w:val="22"/>
          <w:szCs w:val="22"/>
          <w:shd w:val="clear" w:color="auto" w:fill="FFFFFF"/>
          <w:lang w:val="en-CA"/>
        </w:rPr>
        <w:t>,</w:t>
      </w:r>
      <w:r w:rsidRPr="004F7F27">
        <w:rPr>
          <w:rStyle w:val="apple-converted-space"/>
          <w:sz w:val="22"/>
          <w:szCs w:val="22"/>
          <w:shd w:val="clear" w:color="auto" w:fill="FFFFFF"/>
          <w:lang w:val="en-CA"/>
        </w:rPr>
        <w:t xml:space="preserve"> </w:t>
      </w:r>
      <w:r w:rsidRPr="004F7F27">
        <w:rPr>
          <w:i/>
          <w:iCs/>
          <w:sz w:val="22"/>
          <w:szCs w:val="22"/>
          <w:shd w:val="clear" w:color="auto" w:fill="FFFFFF"/>
          <w:lang w:val="en-CA"/>
        </w:rPr>
        <w:t>7</w:t>
      </w:r>
      <w:r w:rsidRPr="004F7F27">
        <w:rPr>
          <w:sz w:val="22"/>
          <w:szCs w:val="22"/>
          <w:shd w:val="clear" w:color="auto" w:fill="FFFFFF"/>
          <w:lang w:val="en-CA"/>
        </w:rPr>
        <w:t>(4), 239-244.</w:t>
      </w:r>
    </w:p>
    <w:p w14:paraId="50ADA574" w14:textId="77777777" w:rsidR="00121E13" w:rsidRPr="006E18BA" w:rsidRDefault="00121E13" w:rsidP="008C7E2A">
      <w:pPr>
        <w:pStyle w:val="FootnoteText"/>
        <w:rPr>
          <w:sz w:val="22"/>
          <w:szCs w:val="22"/>
          <w:lang w:val="en-US"/>
        </w:rPr>
      </w:pPr>
    </w:p>
  </w:endnote>
  <w:endnote w:id="9">
    <w:p w14:paraId="30B13200" w14:textId="5B228FE4" w:rsidR="00121E13" w:rsidRPr="006E18BA" w:rsidRDefault="00121E13" w:rsidP="008C7E2A">
      <w:pPr>
        <w:pStyle w:val="EndnoteText"/>
        <w:rPr>
          <w:rFonts w:cs="Arial"/>
          <w:sz w:val="22"/>
          <w:szCs w:val="22"/>
          <w:shd w:val="clear" w:color="auto" w:fill="FFFFFF"/>
        </w:rPr>
      </w:pPr>
      <w:r>
        <w:rPr>
          <w:rStyle w:val="EndnoteReference"/>
          <w:sz w:val="22"/>
          <w:szCs w:val="22"/>
        </w:rPr>
        <w:endnoteRef/>
      </w:r>
      <w:r w:rsidRPr="00FC15D4">
        <w:rPr>
          <w:lang w:val="en-CA"/>
        </w:rPr>
        <w:t xml:space="preserve"> </w:t>
      </w:r>
      <w:r w:rsidRPr="00FC15D4">
        <w:rPr>
          <w:sz w:val="22"/>
          <w:szCs w:val="22"/>
          <w:shd w:val="clear" w:color="auto" w:fill="FFFFFF"/>
          <w:lang w:val="en-CA"/>
        </w:rPr>
        <w:t>Bennett, S., A. Ghaffar, A. Mills, M. Yesudian et J. Mandelbaum-Schmidt (2007). « What is health policy and systems research and why does it matter</w:t>
      </w:r>
      <w:r>
        <w:rPr>
          <w:sz w:val="22"/>
          <w:szCs w:val="22"/>
          <w:shd w:val="clear" w:color="auto" w:fill="FFFFFF"/>
          <w:lang w:val="en-CA"/>
        </w:rPr>
        <w:t>?</w:t>
      </w:r>
      <w:r w:rsidRPr="00FC15D4">
        <w:rPr>
          <w:sz w:val="22"/>
          <w:szCs w:val="22"/>
          <w:shd w:val="clear" w:color="auto" w:fill="FFFFFF"/>
          <w:lang w:val="en-CA"/>
        </w:rPr>
        <w:t xml:space="preserve"> ». </w:t>
      </w:r>
      <w:r>
        <w:rPr>
          <w:i/>
          <w:iCs/>
          <w:sz w:val="22"/>
          <w:szCs w:val="22"/>
          <w:shd w:val="clear" w:color="auto" w:fill="FFFFFF"/>
        </w:rPr>
        <w:t>Briefing note</w:t>
      </w:r>
      <w:r>
        <w:rPr>
          <w:sz w:val="22"/>
          <w:szCs w:val="22"/>
          <w:shd w:val="clear" w:color="auto" w:fill="FFFFFF"/>
        </w:rPr>
        <w:t>, (1), 1-8.</w:t>
      </w:r>
    </w:p>
    <w:p w14:paraId="18D80231" w14:textId="77777777" w:rsidR="00121E13" w:rsidRPr="00FC15D4" w:rsidRDefault="00121E13" w:rsidP="008C7E2A">
      <w:pPr>
        <w:pStyle w:val="EndnoteText"/>
        <w:rPr>
          <w:sz w:val="22"/>
          <w:szCs w:val="22"/>
        </w:rPr>
      </w:pPr>
    </w:p>
  </w:endnote>
  <w:endnote w:id="10">
    <w:p w14:paraId="31D8E3A0" w14:textId="69669FD0" w:rsidR="00121E13" w:rsidRPr="006E18BA" w:rsidRDefault="00121E13" w:rsidP="008C7E2A">
      <w:pPr>
        <w:pStyle w:val="EndnoteText"/>
        <w:rPr>
          <w:sz w:val="22"/>
          <w:szCs w:val="22"/>
        </w:rPr>
      </w:pPr>
      <w:r>
        <w:rPr>
          <w:rStyle w:val="EndnoteReference"/>
          <w:sz w:val="22"/>
          <w:szCs w:val="22"/>
        </w:rPr>
        <w:endnoteRef/>
      </w:r>
      <w:r>
        <w:t xml:space="preserve"> Alliance pour la recherche sur les politiques et les systèmes de santé</w:t>
      </w:r>
      <w:r>
        <w:rPr>
          <w:sz w:val="22"/>
          <w:szCs w:val="22"/>
        </w:rPr>
        <w:t xml:space="preserve"> (2011). « What is Health Policy and Systems Research (HPSR)? Overview ». Genève, Organisation mondiale de la Santé, </w:t>
      </w:r>
      <w:hyperlink r:id="rId1" w:history="1">
        <w:r>
          <w:rPr>
            <w:rStyle w:val="Hyperlink"/>
            <w:sz w:val="22"/>
            <w:szCs w:val="22"/>
          </w:rPr>
          <w:t>http://www.who.int/alliance-hpsr/about/hpsr/en/</w:t>
        </w:r>
      </w:hyperlink>
      <w:r>
        <w:rPr>
          <w:sz w:val="22"/>
          <w:szCs w:val="22"/>
        </w:rPr>
        <w:t>, consulté le 9 mai 2016.</w:t>
      </w:r>
    </w:p>
    <w:p w14:paraId="68A13216" w14:textId="77777777" w:rsidR="00121E13" w:rsidRPr="00FC15D4" w:rsidRDefault="00121E13" w:rsidP="008C7E2A">
      <w:pPr>
        <w:pStyle w:val="EndnoteText"/>
        <w:rPr>
          <w:sz w:val="22"/>
          <w:szCs w:val="22"/>
        </w:rPr>
      </w:pPr>
    </w:p>
  </w:endnote>
  <w:endnote w:id="11">
    <w:p w14:paraId="0B0B6258" w14:textId="4EEB6C90" w:rsidR="00121E13" w:rsidRPr="006E18BA" w:rsidRDefault="00121E13" w:rsidP="008C7E2A">
      <w:pPr>
        <w:pStyle w:val="EndnoteText"/>
        <w:rPr>
          <w:rFonts w:cs="Arial"/>
          <w:sz w:val="22"/>
          <w:szCs w:val="22"/>
          <w:shd w:val="clear" w:color="auto" w:fill="FFFFFF"/>
        </w:rPr>
      </w:pPr>
      <w:r>
        <w:rPr>
          <w:rStyle w:val="EndnoteReference"/>
          <w:sz w:val="22"/>
          <w:szCs w:val="22"/>
        </w:rPr>
        <w:endnoteRef/>
      </w:r>
      <w:r>
        <w:t xml:space="preserve"> </w:t>
      </w:r>
      <w:r>
        <w:rPr>
          <w:sz w:val="22"/>
          <w:szCs w:val="22"/>
          <w:shd w:val="clear" w:color="auto" w:fill="FFFFFF"/>
        </w:rPr>
        <w:t>Remme, J. H., T. Adam, F. Becerra-Posada, C. D’Arcangues, M. Devlin, C. Gardner et M. T. Mbizvo (2010). « Defining research to improve health systems ».</w:t>
      </w:r>
      <w:r>
        <w:rPr>
          <w:rStyle w:val="apple-converted-space"/>
          <w:sz w:val="22"/>
          <w:szCs w:val="22"/>
          <w:shd w:val="clear" w:color="auto" w:fill="FFFFFF"/>
        </w:rPr>
        <w:t xml:space="preserve"> </w:t>
      </w:r>
      <w:r>
        <w:rPr>
          <w:i/>
          <w:iCs/>
          <w:sz w:val="22"/>
          <w:szCs w:val="22"/>
          <w:shd w:val="clear" w:color="auto" w:fill="FFFFFF"/>
        </w:rPr>
        <w:t>PLoS Med</w:t>
      </w:r>
      <w:r>
        <w:rPr>
          <w:sz w:val="22"/>
          <w:szCs w:val="22"/>
          <w:shd w:val="clear" w:color="auto" w:fill="FFFFFF"/>
        </w:rPr>
        <w:t>,</w:t>
      </w:r>
      <w:r>
        <w:rPr>
          <w:rStyle w:val="apple-converted-space"/>
          <w:sz w:val="22"/>
          <w:szCs w:val="22"/>
          <w:shd w:val="clear" w:color="auto" w:fill="FFFFFF"/>
        </w:rPr>
        <w:t xml:space="preserve"> </w:t>
      </w:r>
      <w:r>
        <w:rPr>
          <w:i/>
          <w:iCs/>
          <w:sz w:val="22"/>
          <w:szCs w:val="22"/>
          <w:shd w:val="clear" w:color="auto" w:fill="FFFFFF"/>
        </w:rPr>
        <w:t>7</w:t>
      </w:r>
      <w:r>
        <w:rPr>
          <w:sz w:val="22"/>
          <w:szCs w:val="22"/>
          <w:shd w:val="clear" w:color="auto" w:fill="FFFFFF"/>
        </w:rPr>
        <w:t>(11), e1001000.</w:t>
      </w:r>
    </w:p>
    <w:p w14:paraId="4EC8701B" w14:textId="77777777" w:rsidR="00121E13" w:rsidRPr="00FC15D4" w:rsidRDefault="00121E13" w:rsidP="008C7E2A">
      <w:pPr>
        <w:pStyle w:val="EndnoteText"/>
        <w:rPr>
          <w:sz w:val="22"/>
          <w:szCs w:val="22"/>
        </w:rPr>
      </w:pPr>
    </w:p>
  </w:endnote>
  <w:endnote w:id="12">
    <w:p w14:paraId="7A81A71A" w14:textId="77777777" w:rsidR="00121E13" w:rsidRPr="006E18BA" w:rsidRDefault="00121E13" w:rsidP="008C7E2A">
      <w:pPr>
        <w:autoSpaceDE w:val="0"/>
        <w:autoSpaceDN w:val="0"/>
        <w:adjustRightInd w:val="0"/>
        <w:spacing w:after="0" w:line="240" w:lineRule="auto"/>
        <w:rPr>
          <w:rFonts w:cs="AdvP49811"/>
        </w:rPr>
      </w:pPr>
      <w:r>
        <w:rPr>
          <w:rStyle w:val="EndnoteReference"/>
        </w:rPr>
        <w:endnoteRef/>
      </w:r>
      <w:r>
        <w:t xml:space="preserve"> Sommet ministériel sur la recherche en santé : la Déclaration de Mexico sur la recherche en santé. Forum mondial pour la recherche en santé (2004). Genève : Forum mondial</w:t>
      </w:r>
    </w:p>
    <w:p w14:paraId="5AF494D8" w14:textId="77777777" w:rsidR="00121E13" w:rsidRPr="006E18BA" w:rsidRDefault="00121E13" w:rsidP="008C7E2A">
      <w:pPr>
        <w:pStyle w:val="EndnoteText"/>
        <w:rPr>
          <w:rFonts w:cs="AdvP49811"/>
          <w:sz w:val="22"/>
          <w:szCs w:val="22"/>
        </w:rPr>
      </w:pPr>
      <w:r>
        <w:rPr>
          <w:sz w:val="22"/>
          <w:szCs w:val="22"/>
        </w:rPr>
        <w:t>pour la recherche en santé.</w:t>
      </w:r>
    </w:p>
    <w:p w14:paraId="73FEFACE" w14:textId="77777777" w:rsidR="00121E13" w:rsidRPr="00FC15D4" w:rsidRDefault="00121E13" w:rsidP="008C7E2A">
      <w:pPr>
        <w:pStyle w:val="EndnoteText"/>
        <w:rPr>
          <w:sz w:val="22"/>
          <w:szCs w:val="22"/>
        </w:rPr>
      </w:pPr>
    </w:p>
  </w:endnote>
  <w:endnote w:id="13">
    <w:p w14:paraId="17E8B6F6" w14:textId="77777777" w:rsidR="00121E13" w:rsidRPr="006E18BA" w:rsidRDefault="00121E13" w:rsidP="008C7E2A">
      <w:pPr>
        <w:autoSpaceDE w:val="0"/>
        <w:autoSpaceDN w:val="0"/>
        <w:adjustRightInd w:val="0"/>
        <w:spacing w:after="0" w:line="240" w:lineRule="auto"/>
        <w:rPr>
          <w:rFonts w:cs="AdvP49811"/>
        </w:rPr>
      </w:pPr>
      <w:r>
        <w:rPr>
          <w:rStyle w:val="EndnoteReference"/>
        </w:rPr>
        <w:endnoteRef/>
      </w:r>
      <w:r w:rsidRPr="00FC15D4">
        <w:rPr>
          <w:lang w:val="en-CA"/>
        </w:rPr>
        <w:t xml:space="preserve"> « World Report on Knowledge for Better Health: Strengthening Health Systems ». </w:t>
      </w:r>
      <w:r>
        <w:t>Organisation mondiale de la Santé (2004). Genève : Organisation mondiale de la Santé.</w:t>
      </w:r>
    </w:p>
    <w:p w14:paraId="55BFB43D" w14:textId="77777777" w:rsidR="00121E13" w:rsidRPr="00FC15D4" w:rsidRDefault="00121E13" w:rsidP="008C7E2A">
      <w:pPr>
        <w:autoSpaceDE w:val="0"/>
        <w:autoSpaceDN w:val="0"/>
        <w:adjustRightInd w:val="0"/>
        <w:spacing w:after="0" w:line="240" w:lineRule="auto"/>
        <w:rPr>
          <w:rFonts w:cs="AdvP49811"/>
        </w:rPr>
      </w:pPr>
    </w:p>
  </w:endnote>
  <w:endnote w:id="14">
    <w:p w14:paraId="36725CD4" w14:textId="77777777" w:rsidR="00121E13" w:rsidRPr="006E18BA" w:rsidRDefault="00121E13" w:rsidP="008C7E2A">
      <w:pPr>
        <w:pStyle w:val="EndnoteText"/>
        <w:rPr>
          <w:rFonts w:cs="AdvP49811"/>
          <w:sz w:val="22"/>
          <w:szCs w:val="22"/>
        </w:rPr>
      </w:pPr>
      <w:r>
        <w:rPr>
          <w:rStyle w:val="EndnoteReference"/>
          <w:sz w:val="22"/>
          <w:szCs w:val="22"/>
        </w:rPr>
        <w:endnoteRef/>
      </w:r>
      <w:r w:rsidRPr="00FC15D4">
        <w:rPr>
          <w:lang w:val="en-CA"/>
        </w:rPr>
        <w:t xml:space="preserve"> « </w:t>
      </w:r>
      <w:r w:rsidRPr="00FC15D4">
        <w:rPr>
          <w:sz w:val="22"/>
          <w:szCs w:val="22"/>
          <w:lang w:val="en-CA"/>
        </w:rPr>
        <w:t xml:space="preserve">Informed choices for attaining the Millennium Development Goals: Towards an international cooperative agenda for health-systems research ». </w:t>
      </w:r>
      <w:r>
        <w:rPr>
          <w:sz w:val="22"/>
          <w:szCs w:val="22"/>
        </w:rPr>
        <w:t>Task Force on Health Systems Research (2004). Lancet 364: 1756.</w:t>
      </w:r>
    </w:p>
    <w:p w14:paraId="5C601498" w14:textId="77777777" w:rsidR="00121E13" w:rsidRPr="00FC15D4" w:rsidRDefault="00121E13" w:rsidP="008C7E2A">
      <w:pPr>
        <w:pStyle w:val="EndnoteText"/>
        <w:rPr>
          <w:sz w:val="22"/>
          <w:szCs w:val="22"/>
        </w:rPr>
      </w:pPr>
    </w:p>
  </w:endnote>
  <w:endnote w:id="15">
    <w:p w14:paraId="6D02F46A" w14:textId="6F9B87E2" w:rsidR="00121E13" w:rsidRPr="006E18BA" w:rsidRDefault="00121E13" w:rsidP="008C7E2A">
      <w:pPr>
        <w:pStyle w:val="EndnoteText"/>
        <w:rPr>
          <w:rFonts w:cs="AdvP49811"/>
          <w:sz w:val="22"/>
          <w:szCs w:val="22"/>
        </w:rPr>
      </w:pPr>
      <w:r>
        <w:rPr>
          <w:rStyle w:val="EndnoteReference"/>
          <w:sz w:val="22"/>
          <w:szCs w:val="22"/>
        </w:rPr>
        <w:endnoteRef/>
      </w:r>
      <w:r>
        <w:t xml:space="preserve"> Résolution WHA58.34 de l’Assemblée mondiale de la Santé</w:t>
      </w:r>
      <w:r>
        <w:rPr>
          <w:sz w:val="22"/>
          <w:szCs w:val="22"/>
        </w:rPr>
        <w:t>, Sommet ministériel sur la recherche en santé. Organisation mondiale de la Santé (2005). Genève : Organisation mondiale de la Santé.</w:t>
      </w:r>
    </w:p>
    <w:p w14:paraId="2567879C" w14:textId="77777777" w:rsidR="00121E13" w:rsidRPr="00FC15D4" w:rsidRDefault="00121E13" w:rsidP="008C7E2A">
      <w:pPr>
        <w:pStyle w:val="EndnoteText"/>
        <w:rPr>
          <w:sz w:val="22"/>
          <w:szCs w:val="22"/>
        </w:rPr>
      </w:pPr>
    </w:p>
  </w:endnote>
  <w:endnote w:id="16">
    <w:p w14:paraId="0FCA4451" w14:textId="77777777" w:rsidR="00121E13" w:rsidRPr="006E18BA" w:rsidRDefault="00121E13" w:rsidP="008C7E2A">
      <w:pPr>
        <w:pStyle w:val="FootnoteText"/>
        <w:rPr>
          <w:sz w:val="22"/>
          <w:szCs w:val="22"/>
        </w:rPr>
      </w:pPr>
      <w:r>
        <w:endnoteRef/>
      </w:r>
      <w:r w:rsidRPr="00FC15D4">
        <w:rPr>
          <w:lang w:val="en-CA"/>
        </w:rPr>
        <w:t>« </w:t>
      </w:r>
      <w:r w:rsidRPr="00FC15D4">
        <w:rPr>
          <w:sz w:val="22"/>
          <w:szCs w:val="22"/>
          <w:lang w:val="en-CA"/>
        </w:rPr>
        <w:t xml:space="preserve">Report from the Ministerial Summit on Health Research: Identify challenges, inform actions, correct inequities ». </w:t>
      </w:r>
      <w:r>
        <w:rPr>
          <w:sz w:val="22"/>
          <w:szCs w:val="22"/>
        </w:rPr>
        <w:t xml:space="preserve">Organisation mondiale de la Santé (2005). Genève : Organisation mondiale de la Santé. </w:t>
      </w:r>
    </w:p>
    <w:p w14:paraId="5DAB8654" w14:textId="77777777" w:rsidR="00121E13" w:rsidRPr="00FC15D4" w:rsidRDefault="00121E13" w:rsidP="008C7E2A">
      <w:pPr>
        <w:pStyle w:val="FootnoteText"/>
        <w:rPr>
          <w:sz w:val="22"/>
          <w:szCs w:val="22"/>
        </w:rPr>
      </w:pPr>
    </w:p>
  </w:endnote>
  <w:endnote w:id="17">
    <w:p w14:paraId="184D397B" w14:textId="77777777" w:rsidR="00121E13" w:rsidRPr="00FC15D4" w:rsidRDefault="00121E13" w:rsidP="008C7E2A">
      <w:pPr>
        <w:autoSpaceDE w:val="0"/>
        <w:autoSpaceDN w:val="0"/>
        <w:adjustRightInd w:val="0"/>
        <w:spacing w:after="0" w:line="240" w:lineRule="auto"/>
        <w:rPr>
          <w:rFonts w:cs="AdvP49811"/>
          <w:lang w:val="en-CA"/>
        </w:rPr>
      </w:pPr>
      <w:r>
        <w:rPr>
          <w:rStyle w:val="EndnoteReference"/>
        </w:rPr>
        <w:endnoteRef/>
      </w:r>
      <w:r>
        <w:t xml:space="preserve">« Bamako Call to Action ». Forum ministériel mondial sur la recherche pour la santé (2008). </w:t>
      </w:r>
      <w:r w:rsidRPr="00FC15D4">
        <w:rPr>
          <w:lang w:val="en-CA"/>
        </w:rPr>
        <w:t xml:space="preserve">Genève : Forum mondial pour la recherche en santé. </w:t>
      </w:r>
    </w:p>
    <w:p w14:paraId="65A2EBEA" w14:textId="77777777" w:rsidR="00121E13" w:rsidRPr="006E18BA" w:rsidRDefault="00121E13" w:rsidP="008C7E2A">
      <w:pPr>
        <w:autoSpaceDE w:val="0"/>
        <w:autoSpaceDN w:val="0"/>
        <w:adjustRightInd w:val="0"/>
        <w:spacing w:after="0" w:line="240" w:lineRule="auto"/>
        <w:rPr>
          <w:rFonts w:cs="AdvP49811"/>
          <w:lang w:val="en-US"/>
        </w:rPr>
      </w:pPr>
    </w:p>
  </w:endnote>
  <w:endnote w:id="18">
    <w:p w14:paraId="36414DBE" w14:textId="1D931ECF" w:rsidR="00121E13" w:rsidRPr="006E18BA" w:rsidRDefault="00121E13" w:rsidP="008C7E2A">
      <w:pPr>
        <w:pStyle w:val="EndnoteText"/>
        <w:rPr>
          <w:rFonts w:cs="AdvP49811"/>
          <w:sz w:val="22"/>
          <w:szCs w:val="22"/>
        </w:rPr>
      </w:pPr>
      <w:r>
        <w:endnoteRef/>
      </w:r>
      <w:r w:rsidRPr="00FC15D4">
        <w:rPr>
          <w:sz w:val="22"/>
          <w:szCs w:val="22"/>
          <w:lang w:val="en-CA"/>
        </w:rPr>
        <w:t xml:space="preserve">Executive Board, 124th session: « WHO’s role and responsibilities in health research: Bamako Global Ministerial Forum on Research for Health ». </w:t>
      </w:r>
      <w:r>
        <w:rPr>
          <w:sz w:val="22"/>
          <w:szCs w:val="22"/>
        </w:rPr>
        <w:t>Organisation mondiale de la Santé (2009). Genève : Organisation mondiale de la Santé.</w:t>
      </w:r>
    </w:p>
    <w:p w14:paraId="025054C8" w14:textId="77777777" w:rsidR="00121E13" w:rsidRPr="00FC15D4" w:rsidRDefault="00121E13" w:rsidP="008C7E2A">
      <w:pPr>
        <w:pStyle w:val="EndnoteText"/>
        <w:rPr>
          <w:rFonts w:cs="AdvP49811"/>
          <w:sz w:val="22"/>
          <w:szCs w:val="22"/>
        </w:rPr>
      </w:pPr>
    </w:p>
  </w:endnote>
  <w:endnote w:id="19">
    <w:p w14:paraId="5ED13F91" w14:textId="77777777" w:rsidR="00121E13" w:rsidRPr="006E18BA" w:rsidRDefault="00121E13" w:rsidP="008C7E2A">
      <w:pPr>
        <w:pStyle w:val="EndnoteText"/>
        <w:rPr>
          <w:rFonts w:cs="AdvP49811"/>
          <w:sz w:val="22"/>
          <w:szCs w:val="22"/>
        </w:rPr>
      </w:pPr>
      <w:r>
        <w:rPr>
          <w:rStyle w:val="EndnoteReference"/>
          <w:sz w:val="22"/>
          <w:szCs w:val="22"/>
        </w:rPr>
        <w:endnoteRef/>
      </w:r>
      <w:r w:rsidRPr="00FC15D4">
        <w:rPr>
          <w:lang w:val="en-CA"/>
        </w:rPr>
        <w:t xml:space="preserve"> « </w:t>
      </w:r>
      <w:r w:rsidRPr="00FC15D4">
        <w:rPr>
          <w:sz w:val="22"/>
          <w:szCs w:val="22"/>
          <w:lang w:val="en-CA"/>
        </w:rPr>
        <w:t xml:space="preserve">Scaling up research and learning for health systems: Now is the time: Report of a High Level Task Force », présenté et appuyé au Forum ministériel mondial sur la recherche pour la santé en 2008, Bamako, Mali. </w:t>
      </w:r>
      <w:r>
        <w:rPr>
          <w:sz w:val="22"/>
          <w:szCs w:val="22"/>
        </w:rPr>
        <w:t>Organisation mondiale de la Santé (2009). Genève : Organisation mondiale de la Santé.</w:t>
      </w:r>
    </w:p>
    <w:p w14:paraId="1C807F63" w14:textId="77777777" w:rsidR="00121E13" w:rsidRPr="00FC15D4" w:rsidRDefault="00121E13" w:rsidP="008C7E2A">
      <w:pPr>
        <w:pStyle w:val="EndnoteText"/>
        <w:rPr>
          <w:sz w:val="22"/>
          <w:szCs w:val="22"/>
        </w:rPr>
      </w:pPr>
    </w:p>
  </w:endnote>
  <w:endnote w:id="20">
    <w:p w14:paraId="08A3BE0D" w14:textId="6116CB98" w:rsidR="00121E13" w:rsidRPr="006E18BA" w:rsidRDefault="00121E13" w:rsidP="008C7E2A">
      <w:pPr>
        <w:autoSpaceDE w:val="0"/>
        <w:autoSpaceDN w:val="0"/>
        <w:adjustRightInd w:val="0"/>
        <w:spacing w:after="0" w:line="240" w:lineRule="auto"/>
        <w:rPr>
          <w:rFonts w:cs="AdvP49811"/>
        </w:rPr>
      </w:pPr>
      <w:r>
        <w:rPr>
          <w:rStyle w:val="EndnoteReference"/>
        </w:rPr>
        <w:endnoteRef/>
      </w:r>
      <w:r>
        <w:t xml:space="preserve"> Résolution WHA63.21 de l’Assemblée mondiale de la santé, « WHO’s Role and Responsibilities in Health Research ». Organisation mondiale de la Santé (2010). Genève : Organisation mondiale de la Santé.</w:t>
      </w:r>
    </w:p>
    <w:p w14:paraId="0CBEBE56" w14:textId="77777777" w:rsidR="00121E13" w:rsidRPr="00FC15D4" w:rsidRDefault="00121E13" w:rsidP="008C7E2A">
      <w:pPr>
        <w:autoSpaceDE w:val="0"/>
        <w:autoSpaceDN w:val="0"/>
        <w:adjustRightInd w:val="0"/>
        <w:spacing w:after="0" w:line="240" w:lineRule="auto"/>
        <w:rPr>
          <w:rFonts w:cs="AdvP49811"/>
        </w:rPr>
      </w:pPr>
    </w:p>
  </w:endnote>
  <w:endnote w:id="21">
    <w:p w14:paraId="0C9892E8" w14:textId="0D1893FD" w:rsidR="00121E13" w:rsidRPr="006E18BA" w:rsidRDefault="00121E13" w:rsidP="008C7E2A">
      <w:pPr>
        <w:pStyle w:val="EndnoteText"/>
        <w:rPr>
          <w:rFonts w:cs="AdvP49811"/>
          <w:sz w:val="22"/>
          <w:szCs w:val="22"/>
        </w:rPr>
      </w:pPr>
      <w:r>
        <w:rPr>
          <w:rStyle w:val="EndnoteReference"/>
          <w:sz w:val="22"/>
          <w:szCs w:val="22"/>
        </w:rPr>
        <w:endnoteRef/>
      </w:r>
      <w:r>
        <w:t xml:space="preserve"> Résolution WHA63/22 de l’Assemblée mondiale de la santé, </w:t>
      </w:r>
      <w:r>
        <w:rPr>
          <w:sz w:val="22"/>
          <w:szCs w:val="22"/>
        </w:rPr>
        <w:t>« WHO’s role and responsibilities in health research: draft WHO strategy on research for health ». Organisation mondiale de la Santé (2010). Genève : Organisation mondiale de la Santé.</w:t>
      </w:r>
    </w:p>
    <w:p w14:paraId="54488175" w14:textId="77777777" w:rsidR="00121E13" w:rsidRPr="00FC15D4" w:rsidRDefault="00121E13" w:rsidP="008C7E2A">
      <w:pPr>
        <w:pStyle w:val="EndnoteText"/>
        <w:rPr>
          <w:sz w:val="22"/>
          <w:szCs w:val="22"/>
        </w:rPr>
      </w:pPr>
    </w:p>
  </w:endnote>
  <w:endnote w:id="22">
    <w:p w14:paraId="7C9B41AA" w14:textId="1BC422F0" w:rsidR="00121E13" w:rsidRPr="00FC15D4" w:rsidRDefault="00121E13" w:rsidP="008C7E2A">
      <w:pPr>
        <w:autoSpaceDE w:val="0"/>
        <w:autoSpaceDN w:val="0"/>
        <w:adjustRightInd w:val="0"/>
        <w:spacing w:after="0" w:line="240" w:lineRule="auto"/>
        <w:rPr>
          <w:rFonts w:cs="AdvP49811"/>
          <w:lang w:val="en-CA"/>
        </w:rPr>
      </w:pPr>
      <w:r>
        <w:rPr>
          <w:rStyle w:val="EndnoteReference"/>
        </w:rPr>
        <w:endnoteRef/>
      </w:r>
      <w:r>
        <w:t xml:space="preserve"> « Le rôle de l’UE dans la santé mondiale : Communication de la Commission au Conseil, au Parlement européen, au Comité économique et social européen et au Comité des régions ». </w:t>
      </w:r>
      <w:r w:rsidRPr="00FC15D4">
        <w:rPr>
          <w:lang w:val="en-CA"/>
        </w:rPr>
        <w:t>Commission européenne (2010). Commission européenne.</w:t>
      </w:r>
    </w:p>
    <w:p w14:paraId="6B3300A1" w14:textId="77777777" w:rsidR="00121E13" w:rsidRPr="006E18BA" w:rsidRDefault="00121E13" w:rsidP="008C7E2A">
      <w:pPr>
        <w:autoSpaceDE w:val="0"/>
        <w:autoSpaceDN w:val="0"/>
        <w:adjustRightInd w:val="0"/>
        <w:spacing w:after="0" w:line="240" w:lineRule="auto"/>
        <w:rPr>
          <w:rFonts w:cs="AdvP49811"/>
          <w:lang w:val="en-US"/>
        </w:rPr>
      </w:pPr>
    </w:p>
  </w:endnote>
  <w:endnote w:id="23">
    <w:p w14:paraId="1EAC13A8" w14:textId="77777777" w:rsidR="00121E13" w:rsidRPr="006E18BA" w:rsidRDefault="00121E13" w:rsidP="008C7E2A">
      <w:pPr>
        <w:autoSpaceDE w:val="0"/>
        <w:autoSpaceDN w:val="0"/>
        <w:adjustRightInd w:val="0"/>
        <w:spacing w:after="0" w:line="240" w:lineRule="auto"/>
        <w:rPr>
          <w:rFonts w:cs="AdvP49811"/>
        </w:rPr>
      </w:pPr>
      <w:r>
        <w:rPr>
          <w:rStyle w:val="EndnoteReference"/>
        </w:rPr>
        <w:endnoteRef/>
      </w:r>
      <w:r w:rsidRPr="00FC15D4">
        <w:rPr>
          <w:lang w:val="en-CA"/>
        </w:rPr>
        <w:t xml:space="preserve"> « DFID Research Strategy 2008–2013: Working Paper Series: Better Health ». </w:t>
      </w:r>
      <w:r>
        <w:t xml:space="preserve">Département du Développement international du Royaume-Uni (2008). Londres, Royaume-Uni : DFID. </w:t>
      </w:r>
    </w:p>
    <w:p w14:paraId="4A7ACE8D" w14:textId="77777777" w:rsidR="00121E13" w:rsidRPr="00FC15D4" w:rsidRDefault="00121E13" w:rsidP="008C7E2A">
      <w:pPr>
        <w:autoSpaceDE w:val="0"/>
        <w:autoSpaceDN w:val="0"/>
        <w:adjustRightInd w:val="0"/>
        <w:spacing w:after="0" w:line="240" w:lineRule="auto"/>
        <w:rPr>
          <w:rFonts w:cs="AdvP49811"/>
        </w:rPr>
      </w:pPr>
    </w:p>
  </w:endnote>
  <w:endnote w:id="24">
    <w:p w14:paraId="6452CBBD" w14:textId="2FDD9744" w:rsidR="00121E13" w:rsidRPr="006E18BA" w:rsidRDefault="00121E13" w:rsidP="008C7E2A">
      <w:pPr>
        <w:pStyle w:val="EndnoteText"/>
        <w:rPr>
          <w:rFonts w:cs="AdvP49811"/>
          <w:sz w:val="22"/>
          <w:szCs w:val="22"/>
        </w:rPr>
      </w:pPr>
      <w:r>
        <w:rPr>
          <w:rStyle w:val="EndnoteReference"/>
          <w:sz w:val="22"/>
          <w:szCs w:val="22"/>
        </w:rPr>
        <w:endnoteRef/>
      </w:r>
      <w:r w:rsidRPr="00FC15D4">
        <w:rPr>
          <w:lang w:val="en-CA"/>
        </w:rPr>
        <w:t xml:space="preserve"> « </w:t>
      </w:r>
      <w:r w:rsidRPr="00FC15D4">
        <w:rPr>
          <w:sz w:val="22"/>
          <w:szCs w:val="22"/>
          <w:lang w:val="en-CA"/>
        </w:rPr>
        <w:t xml:space="preserve">Global Action for Health System Strengthening ». Task Force on Global Action for Health System Strengthening (2009). </w:t>
      </w:r>
      <w:r>
        <w:rPr>
          <w:sz w:val="22"/>
          <w:szCs w:val="22"/>
        </w:rPr>
        <w:t>Policy Recommendations to the G8. Centre japonais d’échanges internationaux.</w:t>
      </w:r>
    </w:p>
    <w:p w14:paraId="575F0DAA" w14:textId="77777777" w:rsidR="00121E13" w:rsidRPr="00FC15D4" w:rsidRDefault="00121E13" w:rsidP="008C7E2A">
      <w:pPr>
        <w:pStyle w:val="EndnoteText"/>
        <w:rPr>
          <w:sz w:val="22"/>
          <w:szCs w:val="22"/>
        </w:rPr>
      </w:pPr>
    </w:p>
  </w:endnote>
  <w:endnote w:id="25">
    <w:p w14:paraId="749C2432" w14:textId="33A9A039" w:rsidR="00121E13" w:rsidRPr="00FC15D4" w:rsidRDefault="00121E13" w:rsidP="008C7E2A">
      <w:pPr>
        <w:pStyle w:val="EndnoteText"/>
        <w:rPr>
          <w:rFonts w:cs="AdvP49811"/>
          <w:sz w:val="22"/>
          <w:szCs w:val="22"/>
          <w:lang w:val="en-CA"/>
        </w:rPr>
      </w:pPr>
      <w:r>
        <w:rPr>
          <w:rStyle w:val="EndnoteReference"/>
          <w:sz w:val="22"/>
          <w:szCs w:val="22"/>
        </w:rPr>
        <w:endnoteRef/>
      </w:r>
      <w:r>
        <w:t xml:space="preserve"> </w:t>
      </w:r>
      <w:r>
        <w:rPr>
          <w:sz w:val="22"/>
          <w:szCs w:val="22"/>
          <w:shd w:val="clear" w:color="auto" w:fill="FFFFFF"/>
        </w:rPr>
        <w:t xml:space="preserve">Bennett, S., T. Adam, C. Zarowsky, V. Tangcharoensathien, K. Ranson, T. Evans et Comité consultatif scientifique et technique régional de l’Alliance (2008). </w:t>
      </w:r>
      <w:r w:rsidRPr="00FC15D4">
        <w:rPr>
          <w:sz w:val="22"/>
          <w:szCs w:val="22"/>
          <w:shd w:val="clear" w:color="auto" w:fill="FFFFFF"/>
          <w:lang w:val="en-CA"/>
        </w:rPr>
        <w:t>« From Mexico to Mali: progress in health policy and systems research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The Lancet</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372</w:t>
      </w:r>
      <w:r w:rsidRPr="00FC15D4">
        <w:rPr>
          <w:sz w:val="22"/>
          <w:szCs w:val="22"/>
          <w:shd w:val="clear" w:color="auto" w:fill="FFFFFF"/>
          <w:lang w:val="en-CA"/>
        </w:rPr>
        <w:t>(9649), 1571-1578.</w:t>
      </w:r>
    </w:p>
    <w:p w14:paraId="25259285" w14:textId="77777777" w:rsidR="00121E13" w:rsidRPr="006E18BA" w:rsidRDefault="00121E13" w:rsidP="008C7E2A">
      <w:pPr>
        <w:pStyle w:val="EndnoteText"/>
        <w:rPr>
          <w:sz w:val="22"/>
          <w:szCs w:val="22"/>
          <w:lang w:val="en-US"/>
        </w:rPr>
      </w:pPr>
    </w:p>
  </w:endnote>
  <w:endnote w:id="26">
    <w:p w14:paraId="2D72B1A3" w14:textId="066CB1B6"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lang w:val="en-CA"/>
        </w:rPr>
        <w:t xml:space="preserve"> </w:t>
      </w:r>
      <w:r w:rsidRPr="00FC15D4">
        <w:rPr>
          <w:sz w:val="22"/>
          <w:szCs w:val="22"/>
          <w:shd w:val="clear" w:color="auto" w:fill="FFFFFF"/>
          <w:lang w:val="en-CA"/>
        </w:rPr>
        <w:t>Yao, Q., K. Chen, L. Yao, P. H. Lyu, T. A. Yang, F. Luo et Z. Y. Liu (2014). « Scientometric trends and knowledge maps of global health systems research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Health Res Policy Syst</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12</w:t>
      </w:r>
      <w:r w:rsidRPr="00FC15D4">
        <w:rPr>
          <w:sz w:val="22"/>
          <w:szCs w:val="22"/>
          <w:shd w:val="clear" w:color="auto" w:fill="FFFFFF"/>
          <w:lang w:val="en-CA"/>
        </w:rPr>
        <w:t>(1), 26.</w:t>
      </w:r>
    </w:p>
    <w:p w14:paraId="24159255" w14:textId="77777777" w:rsidR="00121E13" w:rsidRPr="006E18BA" w:rsidRDefault="00121E13" w:rsidP="008C7E2A">
      <w:pPr>
        <w:pStyle w:val="EndnoteText"/>
        <w:rPr>
          <w:sz w:val="22"/>
          <w:szCs w:val="22"/>
          <w:lang w:val="en-US"/>
        </w:rPr>
      </w:pPr>
    </w:p>
  </w:endnote>
  <w:endnote w:id="27">
    <w:p w14:paraId="6A9B91BB" w14:textId="77777777" w:rsidR="00121E13" w:rsidRPr="00FC15D4" w:rsidRDefault="00121E13" w:rsidP="008C7E2A">
      <w:pPr>
        <w:pStyle w:val="EndnoteText"/>
        <w:rPr>
          <w:rFonts w:cs="Arial"/>
          <w:sz w:val="22"/>
          <w:szCs w:val="22"/>
          <w:shd w:val="clear" w:color="auto" w:fill="FFFFFF"/>
          <w:lang w:val="en-CA"/>
        </w:rPr>
      </w:pPr>
      <w:r>
        <w:endnoteRef/>
      </w:r>
      <w:r w:rsidRPr="00FC15D4">
        <w:rPr>
          <w:sz w:val="22"/>
          <w:szCs w:val="22"/>
          <w:lang w:val="en-CA"/>
        </w:rPr>
        <w:t>Op. cit. : xxv</w:t>
      </w:r>
    </w:p>
    <w:p w14:paraId="6D329E61" w14:textId="77777777" w:rsidR="00121E13" w:rsidRPr="006E18BA" w:rsidRDefault="00121E13" w:rsidP="008C7E2A">
      <w:pPr>
        <w:pStyle w:val="EndnoteText"/>
        <w:rPr>
          <w:sz w:val="22"/>
          <w:szCs w:val="22"/>
          <w:lang w:val="en-US"/>
        </w:rPr>
      </w:pPr>
    </w:p>
  </w:endnote>
  <w:endnote w:id="28">
    <w:p w14:paraId="49F2DB36" w14:textId="42DC2D49"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lang w:val="en-CA"/>
        </w:rPr>
        <w:t xml:space="preserve"> </w:t>
      </w:r>
      <w:r w:rsidRPr="00FC15D4">
        <w:rPr>
          <w:sz w:val="22"/>
          <w:szCs w:val="22"/>
          <w:shd w:val="clear" w:color="auto" w:fill="FFFFFF"/>
          <w:lang w:val="en-CA"/>
        </w:rPr>
        <w:t xml:space="preserve">El-Jardali, F., D. Jamal, N. Ataya, M. Jaafar, S. Raouf, C. Matta et C. Smith (2011). « Health policy and systems research in twelve Eastern Mediterranean countries: a stocktaking of production and gaps (2000–2008) ». </w:t>
      </w:r>
      <w:r w:rsidRPr="00FC15D4">
        <w:rPr>
          <w:i/>
          <w:iCs/>
          <w:sz w:val="22"/>
          <w:szCs w:val="22"/>
          <w:shd w:val="clear" w:color="auto" w:fill="FFFFFF"/>
          <w:lang w:val="en-CA"/>
        </w:rPr>
        <w:t>Health Res Policy Syst</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9</w:t>
      </w:r>
      <w:r w:rsidRPr="00FC15D4">
        <w:rPr>
          <w:sz w:val="22"/>
          <w:szCs w:val="22"/>
          <w:shd w:val="clear" w:color="auto" w:fill="FFFFFF"/>
          <w:lang w:val="en-CA"/>
        </w:rPr>
        <w:t>(39), 10-1186.</w:t>
      </w:r>
    </w:p>
    <w:p w14:paraId="04D076B8" w14:textId="77777777" w:rsidR="00121E13" w:rsidRPr="006E18BA" w:rsidRDefault="00121E13" w:rsidP="008C7E2A">
      <w:pPr>
        <w:pStyle w:val="EndnoteText"/>
        <w:rPr>
          <w:sz w:val="22"/>
          <w:szCs w:val="22"/>
          <w:lang w:val="en-US"/>
        </w:rPr>
      </w:pPr>
    </w:p>
  </w:endnote>
  <w:endnote w:id="29">
    <w:p w14:paraId="4C672AFD" w14:textId="77777777"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sz w:val="22"/>
          <w:szCs w:val="22"/>
          <w:lang w:val="en-CA"/>
        </w:rPr>
        <w:t>Op. cit. : xxv</w:t>
      </w:r>
      <w:r w:rsidRPr="00FC15D4">
        <w:rPr>
          <w:sz w:val="22"/>
          <w:szCs w:val="22"/>
          <w:shd w:val="clear" w:color="auto" w:fill="FFFFFF"/>
          <w:lang w:val="en-CA"/>
        </w:rPr>
        <w:t xml:space="preserve">i </w:t>
      </w:r>
    </w:p>
    <w:p w14:paraId="2CE903F4" w14:textId="77777777" w:rsidR="00121E13" w:rsidRPr="006E18BA" w:rsidRDefault="00121E13" w:rsidP="008C7E2A">
      <w:pPr>
        <w:pStyle w:val="EndnoteText"/>
        <w:rPr>
          <w:sz w:val="22"/>
          <w:szCs w:val="22"/>
          <w:lang w:val="en-US"/>
        </w:rPr>
      </w:pPr>
    </w:p>
  </w:endnote>
  <w:endnote w:id="30">
    <w:p w14:paraId="02496B88" w14:textId="77777777" w:rsidR="00121E13" w:rsidRPr="00FC15D4" w:rsidRDefault="00121E13" w:rsidP="008C7E2A">
      <w:pPr>
        <w:pStyle w:val="EndnoteText"/>
        <w:rPr>
          <w:sz w:val="22"/>
          <w:szCs w:val="22"/>
          <w:lang w:val="en-CA"/>
        </w:rPr>
      </w:pPr>
      <w:r>
        <w:rPr>
          <w:rStyle w:val="EndnoteReference"/>
          <w:sz w:val="22"/>
          <w:szCs w:val="22"/>
        </w:rPr>
        <w:endnoteRef/>
      </w:r>
      <w:r w:rsidRPr="00FC15D4">
        <w:rPr>
          <w:lang w:val="en-CA"/>
        </w:rPr>
        <w:t xml:space="preserve"> </w:t>
      </w:r>
      <w:r w:rsidRPr="00FC15D4">
        <w:rPr>
          <w:sz w:val="22"/>
          <w:szCs w:val="22"/>
          <w:lang w:val="en-CA"/>
        </w:rPr>
        <w:t>Op. cit. :xix</w:t>
      </w:r>
    </w:p>
    <w:p w14:paraId="55AEE33F" w14:textId="77777777" w:rsidR="00121E13" w:rsidRPr="006E18BA" w:rsidRDefault="00121E13" w:rsidP="008C7E2A">
      <w:pPr>
        <w:pStyle w:val="EndnoteText"/>
        <w:rPr>
          <w:sz w:val="22"/>
          <w:szCs w:val="22"/>
          <w:lang w:val="en-US"/>
        </w:rPr>
      </w:pPr>
    </w:p>
  </w:endnote>
  <w:endnote w:id="31">
    <w:p w14:paraId="3150D37D" w14:textId="7E7EAF32" w:rsidR="00121E13" w:rsidRPr="00FC15D4" w:rsidRDefault="00121E13" w:rsidP="008C7E2A">
      <w:pPr>
        <w:pStyle w:val="EndnoteText"/>
        <w:rPr>
          <w:sz w:val="22"/>
          <w:szCs w:val="22"/>
          <w:lang w:val="en-CA"/>
        </w:rPr>
      </w:pPr>
      <w:r>
        <w:rPr>
          <w:rStyle w:val="EndnoteReference"/>
          <w:sz w:val="22"/>
          <w:szCs w:val="22"/>
        </w:rPr>
        <w:endnoteRef/>
      </w:r>
      <w:r w:rsidRPr="00FC15D4">
        <w:rPr>
          <w:lang w:val="en-CA"/>
        </w:rPr>
        <w:t xml:space="preserve"> </w:t>
      </w:r>
      <w:r w:rsidRPr="00FC15D4">
        <w:rPr>
          <w:sz w:val="22"/>
          <w:szCs w:val="22"/>
          <w:shd w:val="clear" w:color="auto" w:fill="FFFFFF"/>
          <w:lang w:val="en-CA"/>
        </w:rPr>
        <w:t>Sundewall, J., R. C. Swanson, A. Betigeri, D. Sanders, T. E. Collins, G. Shakarishvili et R. Brugha (2011). « Health-systems strengthening: current and future activities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The Lancet</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377</w:t>
      </w:r>
      <w:r w:rsidRPr="00FC15D4">
        <w:rPr>
          <w:sz w:val="22"/>
          <w:szCs w:val="22"/>
          <w:shd w:val="clear" w:color="auto" w:fill="FFFFFF"/>
          <w:lang w:val="en-CA"/>
        </w:rPr>
        <w:t>(9773), 1222-1223.</w:t>
      </w:r>
    </w:p>
  </w:endnote>
  <w:endnote w:id="32">
    <w:p w14:paraId="04CE2699" w14:textId="77777777" w:rsidR="00121E13" w:rsidRPr="00FC15D4" w:rsidRDefault="00121E13" w:rsidP="008C7E2A">
      <w:pPr>
        <w:pStyle w:val="FootnoteText"/>
        <w:rPr>
          <w:sz w:val="22"/>
          <w:szCs w:val="22"/>
          <w:lang w:val="en-CA"/>
        </w:rPr>
      </w:pPr>
      <w:r>
        <w:rPr>
          <w:rStyle w:val="EndnoteReference"/>
          <w:sz w:val="22"/>
          <w:szCs w:val="22"/>
        </w:rPr>
        <w:endnoteRef/>
      </w:r>
      <w:r w:rsidRPr="00FC15D4">
        <w:rPr>
          <w:lang w:val="en-CA"/>
        </w:rPr>
        <w:t xml:space="preserve"> </w:t>
      </w:r>
      <w:r w:rsidRPr="00FC15D4">
        <w:rPr>
          <w:sz w:val="22"/>
          <w:szCs w:val="22"/>
          <w:lang w:val="en-CA"/>
        </w:rPr>
        <w:t xml:space="preserve">Banque mondiale (n.d.) « Country and lending groups », </w:t>
      </w:r>
      <w:hyperlink r:id="rId2" w:history="1">
        <w:r w:rsidRPr="00FC15D4">
          <w:rPr>
            <w:rStyle w:val="Hyperlink"/>
            <w:sz w:val="22"/>
            <w:szCs w:val="22"/>
            <w:lang w:val="en-CA"/>
          </w:rPr>
          <w:t>http://data.worldbank.org/about/country-and-lending-groups</w:t>
        </w:r>
      </w:hyperlink>
      <w:r w:rsidRPr="00FC15D4">
        <w:rPr>
          <w:sz w:val="22"/>
          <w:szCs w:val="22"/>
          <w:lang w:val="en-CA"/>
        </w:rPr>
        <w:t>, consulté le 31 mai 2016.</w:t>
      </w:r>
    </w:p>
    <w:p w14:paraId="73AB7A4B" w14:textId="77777777" w:rsidR="00121E13" w:rsidRPr="006E18BA" w:rsidRDefault="00121E13" w:rsidP="008C7E2A">
      <w:pPr>
        <w:pStyle w:val="FootnoteText"/>
        <w:rPr>
          <w:sz w:val="22"/>
          <w:szCs w:val="22"/>
          <w:lang w:val="en-US"/>
        </w:rPr>
      </w:pPr>
    </w:p>
  </w:endnote>
  <w:endnote w:id="33">
    <w:p w14:paraId="147F90BA" w14:textId="77777777" w:rsidR="00121E13" w:rsidRPr="00FC15D4" w:rsidRDefault="00121E13" w:rsidP="008C7E2A">
      <w:pPr>
        <w:pStyle w:val="EndnoteText"/>
        <w:rPr>
          <w:rFonts w:cs="Arial"/>
          <w:sz w:val="22"/>
          <w:szCs w:val="22"/>
          <w:shd w:val="clear" w:color="auto" w:fill="FFFFFF"/>
          <w:lang w:val="en-CA"/>
        </w:rPr>
      </w:pPr>
      <w:r>
        <w:endnoteRef/>
      </w:r>
      <w:r w:rsidRPr="00FC15D4">
        <w:rPr>
          <w:sz w:val="22"/>
          <w:szCs w:val="22"/>
          <w:lang w:val="en-CA"/>
        </w:rPr>
        <w:t>Op. cit. : xxviii.</w:t>
      </w:r>
    </w:p>
    <w:p w14:paraId="7CDFDE3F" w14:textId="77777777" w:rsidR="00121E13" w:rsidRPr="006E18BA" w:rsidRDefault="00121E13" w:rsidP="008C7E2A">
      <w:pPr>
        <w:pStyle w:val="EndnoteText"/>
        <w:rPr>
          <w:sz w:val="22"/>
          <w:szCs w:val="22"/>
          <w:lang w:val="en-US"/>
        </w:rPr>
      </w:pPr>
    </w:p>
  </w:endnote>
  <w:endnote w:id="34">
    <w:p w14:paraId="335E1D4F" w14:textId="4739611F" w:rsidR="00121E13" w:rsidRPr="006E18BA" w:rsidRDefault="00121E13" w:rsidP="008C7E2A">
      <w:pPr>
        <w:pStyle w:val="EndnoteText"/>
        <w:rPr>
          <w:rFonts w:cs="Arial"/>
          <w:sz w:val="22"/>
          <w:szCs w:val="22"/>
          <w:shd w:val="clear" w:color="auto" w:fill="FFFFFF"/>
        </w:rPr>
      </w:pPr>
      <w:r>
        <w:rPr>
          <w:rStyle w:val="EndnoteReference"/>
          <w:sz w:val="22"/>
          <w:szCs w:val="22"/>
        </w:rPr>
        <w:endnoteRef/>
      </w:r>
      <w:r w:rsidRPr="00FC15D4">
        <w:rPr>
          <w:lang w:val="en-CA"/>
        </w:rPr>
        <w:t xml:space="preserve"> </w:t>
      </w:r>
      <w:r w:rsidRPr="00FC15D4">
        <w:rPr>
          <w:sz w:val="22"/>
          <w:szCs w:val="22"/>
          <w:shd w:val="clear" w:color="auto" w:fill="FFFFFF"/>
          <w:lang w:val="en-CA"/>
        </w:rPr>
        <w:t>Sawyerr, A. (2004). « African universities and the challenge of research capacity development ».</w:t>
      </w:r>
      <w:r w:rsidRPr="00FC15D4">
        <w:rPr>
          <w:rStyle w:val="apple-converted-space"/>
          <w:sz w:val="22"/>
          <w:szCs w:val="22"/>
          <w:shd w:val="clear" w:color="auto" w:fill="FFFFFF"/>
          <w:lang w:val="en-CA"/>
        </w:rPr>
        <w:t xml:space="preserve"> </w:t>
      </w:r>
      <w:r>
        <w:rPr>
          <w:i/>
          <w:iCs/>
          <w:sz w:val="22"/>
          <w:szCs w:val="22"/>
          <w:shd w:val="clear" w:color="auto" w:fill="FFFFFF"/>
        </w:rPr>
        <w:t>Journal of Higher Education in Africa/Revue de l’enseignement supérieur en Afrique</w:t>
      </w:r>
      <w:r>
        <w:rPr>
          <w:sz w:val="22"/>
          <w:szCs w:val="22"/>
          <w:shd w:val="clear" w:color="auto" w:fill="FFFFFF"/>
        </w:rPr>
        <w:t>, 213-242</w:t>
      </w:r>
    </w:p>
    <w:p w14:paraId="3C973472" w14:textId="77777777" w:rsidR="00121E13" w:rsidRPr="006E18BA" w:rsidRDefault="00121E13" w:rsidP="008C7E2A">
      <w:pPr>
        <w:pStyle w:val="EndnoteText"/>
        <w:rPr>
          <w:sz w:val="22"/>
          <w:szCs w:val="22"/>
        </w:rPr>
      </w:pPr>
    </w:p>
  </w:endnote>
  <w:endnote w:id="35">
    <w:p w14:paraId="0FC3BD9A" w14:textId="79DA0B81"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t xml:space="preserve"> </w:t>
      </w:r>
      <w:r>
        <w:rPr>
          <w:sz w:val="22"/>
          <w:szCs w:val="22"/>
          <w:shd w:val="clear" w:color="auto" w:fill="FFFFFF"/>
        </w:rPr>
        <w:t xml:space="preserve">Sombié, I., J. Aidam, B. Konaté, T. D. Somé et S. S. Kambou (2013). </w:t>
      </w:r>
      <w:r w:rsidRPr="00FC15D4">
        <w:rPr>
          <w:sz w:val="22"/>
          <w:szCs w:val="22"/>
          <w:shd w:val="clear" w:color="auto" w:fill="FFFFFF"/>
          <w:lang w:val="en-CA"/>
        </w:rPr>
        <w:t>« The state of the research for health environment in the ministries of health of the Economic Community of the West African States (ECOWAS)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Health Res Policy Syst</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11</w:t>
      </w:r>
      <w:r w:rsidRPr="00FC15D4">
        <w:rPr>
          <w:sz w:val="22"/>
          <w:szCs w:val="22"/>
          <w:shd w:val="clear" w:color="auto" w:fill="FFFFFF"/>
          <w:lang w:val="en-CA"/>
        </w:rPr>
        <w:t>, 35.</w:t>
      </w:r>
    </w:p>
    <w:p w14:paraId="634D7BA9" w14:textId="77777777" w:rsidR="00121E13" w:rsidRPr="00C923CD" w:rsidRDefault="00121E13" w:rsidP="008C7E2A">
      <w:pPr>
        <w:pStyle w:val="EndnoteText"/>
        <w:rPr>
          <w:sz w:val="22"/>
          <w:szCs w:val="22"/>
          <w:lang w:val="en-CA"/>
        </w:rPr>
      </w:pPr>
    </w:p>
  </w:endnote>
  <w:endnote w:id="36">
    <w:p w14:paraId="2E8DDD82" w14:textId="18C32A28"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lang w:val="en-CA"/>
        </w:rPr>
        <w:t xml:space="preserve"> </w:t>
      </w:r>
      <w:r w:rsidRPr="00FC15D4">
        <w:rPr>
          <w:sz w:val="22"/>
          <w:szCs w:val="22"/>
          <w:shd w:val="clear" w:color="auto" w:fill="FFFFFF"/>
          <w:lang w:val="en-CA"/>
        </w:rPr>
        <w:t>Nwaka, S., T. B. Ilunga, J. S. Da Silva, E. R. Verde, D. Hackley, R. De Vré et R. G. Ridley (2010). « Developing ANDI: a novel approach to health product R&amp;D in Africa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PLoS Med</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7</w:t>
      </w:r>
      <w:r w:rsidRPr="00FC15D4">
        <w:rPr>
          <w:sz w:val="22"/>
          <w:szCs w:val="22"/>
          <w:shd w:val="clear" w:color="auto" w:fill="FFFFFF"/>
          <w:lang w:val="en-CA"/>
        </w:rPr>
        <w:t>(6), e1000293.</w:t>
      </w:r>
    </w:p>
    <w:p w14:paraId="13779946" w14:textId="77777777" w:rsidR="00121E13" w:rsidRPr="006E18BA" w:rsidRDefault="00121E13" w:rsidP="008C7E2A">
      <w:pPr>
        <w:pStyle w:val="EndnoteText"/>
        <w:rPr>
          <w:sz w:val="22"/>
          <w:szCs w:val="22"/>
          <w:lang w:val="en-US"/>
        </w:rPr>
      </w:pPr>
    </w:p>
  </w:endnote>
  <w:endnote w:id="37">
    <w:p w14:paraId="6E3FCC1F" w14:textId="77777777"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lang w:val="en-CA"/>
        </w:rPr>
        <w:t xml:space="preserve"> </w:t>
      </w:r>
      <w:r w:rsidRPr="00FC15D4">
        <w:rPr>
          <w:sz w:val="22"/>
          <w:szCs w:val="22"/>
          <w:lang w:val="en-CA"/>
        </w:rPr>
        <w:t xml:space="preserve">Op. cit. : xxxv </w:t>
      </w:r>
    </w:p>
    <w:p w14:paraId="2086BC39" w14:textId="77777777" w:rsidR="00121E13" w:rsidRPr="006E18BA" w:rsidRDefault="00121E13" w:rsidP="008C7E2A">
      <w:pPr>
        <w:pStyle w:val="EndnoteText"/>
        <w:rPr>
          <w:sz w:val="22"/>
          <w:szCs w:val="22"/>
          <w:lang w:val="en-US"/>
        </w:rPr>
      </w:pPr>
    </w:p>
  </w:endnote>
  <w:endnote w:id="38">
    <w:p w14:paraId="6BEF8D07" w14:textId="31463F3D" w:rsidR="00121E13" w:rsidRPr="00FC15D4" w:rsidRDefault="00121E13" w:rsidP="000957DF">
      <w:pPr>
        <w:pStyle w:val="EndnoteText"/>
        <w:rPr>
          <w:rFonts w:cs="Arial"/>
          <w:sz w:val="22"/>
          <w:szCs w:val="22"/>
          <w:shd w:val="clear" w:color="auto" w:fill="FFFFFF"/>
          <w:lang w:val="en-CA"/>
        </w:rPr>
      </w:pPr>
      <w:r>
        <w:rPr>
          <w:rStyle w:val="EndnoteReference"/>
          <w:sz w:val="22"/>
          <w:szCs w:val="22"/>
        </w:rPr>
        <w:endnoteRef/>
      </w:r>
      <w:r w:rsidRPr="00FC15D4">
        <w:rPr>
          <w:lang w:val="en-CA"/>
        </w:rPr>
        <w:t xml:space="preserve"> </w:t>
      </w:r>
      <w:r w:rsidRPr="00FC15D4">
        <w:rPr>
          <w:sz w:val="22"/>
          <w:szCs w:val="22"/>
          <w:shd w:val="clear" w:color="auto" w:fill="FFFFFF"/>
          <w:lang w:val="en-CA"/>
        </w:rPr>
        <w:t>Arksey, H. et L. O’Malley (2005). « Scoping studies: towards a methodological framework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International journal of social research methodology</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8</w:t>
      </w:r>
      <w:r w:rsidRPr="00FC15D4">
        <w:rPr>
          <w:sz w:val="22"/>
          <w:szCs w:val="22"/>
          <w:shd w:val="clear" w:color="auto" w:fill="FFFFFF"/>
          <w:lang w:val="en-CA"/>
        </w:rPr>
        <w:t>(1), 19-32.</w:t>
      </w:r>
    </w:p>
    <w:p w14:paraId="600239D4" w14:textId="77777777" w:rsidR="00121E13" w:rsidRPr="006E18BA" w:rsidRDefault="00121E13" w:rsidP="000957DF">
      <w:pPr>
        <w:pStyle w:val="EndnoteText"/>
        <w:rPr>
          <w:sz w:val="22"/>
          <w:szCs w:val="22"/>
          <w:lang w:val="en-US"/>
        </w:rPr>
      </w:pPr>
    </w:p>
  </w:endnote>
  <w:endnote w:id="39">
    <w:p w14:paraId="5071769F" w14:textId="420F9E31" w:rsidR="00121E13" w:rsidRPr="00FC15D4" w:rsidRDefault="00121E13" w:rsidP="000957DF">
      <w:pPr>
        <w:pStyle w:val="EndnoteText"/>
        <w:rPr>
          <w:rFonts w:cs="Arial"/>
          <w:sz w:val="22"/>
          <w:szCs w:val="22"/>
          <w:shd w:val="clear" w:color="auto" w:fill="FFFFFF"/>
          <w:lang w:val="en-CA"/>
        </w:rPr>
      </w:pPr>
      <w:r>
        <w:rPr>
          <w:rStyle w:val="EndnoteReference"/>
          <w:sz w:val="22"/>
          <w:szCs w:val="22"/>
        </w:rPr>
        <w:endnoteRef/>
      </w:r>
      <w:r w:rsidRPr="00FC15D4">
        <w:rPr>
          <w:lang w:val="en-CA"/>
        </w:rPr>
        <w:t xml:space="preserve"> </w:t>
      </w:r>
      <w:r w:rsidRPr="00FC15D4">
        <w:rPr>
          <w:sz w:val="22"/>
          <w:szCs w:val="22"/>
          <w:shd w:val="clear" w:color="auto" w:fill="FFFFFF"/>
          <w:lang w:val="en-CA"/>
        </w:rPr>
        <w:t>Levac, D., H. Colquhoun, H. et K. K. O’Brien (2010). « Scoping studies: advancing the methodology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Implement Sci</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5</w:t>
      </w:r>
      <w:r w:rsidRPr="00FC15D4">
        <w:rPr>
          <w:sz w:val="22"/>
          <w:szCs w:val="22"/>
          <w:shd w:val="clear" w:color="auto" w:fill="FFFFFF"/>
          <w:lang w:val="en-CA"/>
        </w:rPr>
        <w:t>(1), 1-9.</w:t>
      </w:r>
    </w:p>
    <w:p w14:paraId="2BE08E3A" w14:textId="77777777" w:rsidR="00121E13" w:rsidRPr="006E18BA" w:rsidRDefault="00121E13" w:rsidP="000957DF">
      <w:pPr>
        <w:pStyle w:val="EndnoteText"/>
        <w:rPr>
          <w:sz w:val="22"/>
          <w:szCs w:val="22"/>
          <w:lang w:val="en-US"/>
        </w:rPr>
      </w:pPr>
    </w:p>
  </w:endnote>
  <w:endnote w:id="40">
    <w:p w14:paraId="60BD0017" w14:textId="49FD1D3D" w:rsidR="00121E13" w:rsidRPr="00FC15D4" w:rsidRDefault="00121E13" w:rsidP="000957DF">
      <w:pPr>
        <w:pStyle w:val="FootnoteText"/>
        <w:rPr>
          <w:rFonts w:cs="Arial"/>
          <w:sz w:val="22"/>
          <w:szCs w:val="22"/>
          <w:shd w:val="clear" w:color="auto" w:fill="FFFFFF"/>
          <w:lang w:val="en-CA"/>
        </w:rPr>
      </w:pPr>
      <w:r>
        <w:rPr>
          <w:rStyle w:val="EndnoteReference"/>
          <w:sz w:val="22"/>
          <w:szCs w:val="22"/>
        </w:rPr>
        <w:endnoteRef/>
      </w:r>
      <w:r w:rsidRPr="00FC15D4">
        <w:rPr>
          <w:lang w:val="en-CA"/>
        </w:rPr>
        <w:t xml:space="preserve"> </w:t>
      </w:r>
      <w:r w:rsidRPr="00FC15D4">
        <w:rPr>
          <w:sz w:val="22"/>
          <w:szCs w:val="22"/>
          <w:shd w:val="clear" w:color="auto" w:fill="FFFFFF"/>
          <w:lang w:val="en-CA"/>
        </w:rPr>
        <w:t>Davis, K., N. Drey et D. Gould (2009). « What are scoping studies</w:t>
      </w:r>
      <w:r>
        <w:rPr>
          <w:sz w:val="22"/>
          <w:szCs w:val="22"/>
          <w:shd w:val="clear" w:color="auto" w:fill="FFFFFF"/>
          <w:lang w:val="en-CA"/>
        </w:rPr>
        <w:t>?</w:t>
      </w:r>
      <w:r w:rsidRPr="00FC15D4">
        <w:rPr>
          <w:sz w:val="22"/>
          <w:szCs w:val="22"/>
          <w:shd w:val="clear" w:color="auto" w:fill="FFFFFF"/>
          <w:lang w:val="en-CA"/>
        </w:rPr>
        <w:t xml:space="preserve"> A review of the nursing literature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International journal of nursing studies</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46</w:t>
      </w:r>
      <w:r w:rsidRPr="00FC15D4">
        <w:rPr>
          <w:sz w:val="22"/>
          <w:szCs w:val="22"/>
          <w:shd w:val="clear" w:color="auto" w:fill="FFFFFF"/>
          <w:lang w:val="en-CA"/>
        </w:rPr>
        <w:t>(10), 1386-1400.</w:t>
      </w:r>
    </w:p>
    <w:p w14:paraId="4DB954F6" w14:textId="77777777" w:rsidR="00121E13" w:rsidRPr="006E18BA" w:rsidRDefault="00121E13" w:rsidP="000957DF">
      <w:pPr>
        <w:pStyle w:val="EndnoteText"/>
        <w:rPr>
          <w:sz w:val="22"/>
          <w:szCs w:val="22"/>
          <w:lang w:val="en-US"/>
        </w:rPr>
      </w:pPr>
    </w:p>
  </w:endnote>
  <w:endnote w:id="41">
    <w:p w14:paraId="59FD3CB4" w14:textId="77777777" w:rsidR="00121E13" w:rsidRPr="00FC15D4" w:rsidRDefault="00121E13">
      <w:pPr>
        <w:pStyle w:val="EndnoteText"/>
        <w:rPr>
          <w:lang w:val="en-US"/>
        </w:rPr>
      </w:pPr>
      <w:r>
        <w:rPr>
          <w:rStyle w:val="EndnoteReference"/>
        </w:rPr>
        <w:endnoteRef/>
      </w:r>
      <w:r w:rsidRPr="00FC15D4">
        <w:rPr>
          <w:lang w:val="en-US"/>
        </w:rPr>
        <w:t xml:space="preserve"> </w:t>
      </w:r>
    </w:p>
  </w:endnote>
  <w:endnote w:id="42">
    <w:p w14:paraId="630EAF56" w14:textId="77777777" w:rsidR="00121E13" w:rsidRPr="00FC15D4" w:rsidRDefault="00121E13" w:rsidP="008C7E2A">
      <w:pPr>
        <w:pStyle w:val="FootnoteText"/>
        <w:rPr>
          <w:sz w:val="22"/>
          <w:szCs w:val="22"/>
          <w:lang w:val="en-US"/>
        </w:rPr>
      </w:pPr>
      <w:r>
        <w:rPr>
          <w:rStyle w:val="EndnoteReference"/>
          <w:sz w:val="22"/>
          <w:szCs w:val="22"/>
        </w:rPr>
        <w:endnoteRef/>
      </w:r>
      <w:r w:rsidRPr="00FC15D4">
        <w:rPr>
          <w:lang w:val="en-US"/>
        </w:rPr>
        <w:t xml:space="preserve"> </w:t>
      </w:r>
      <w:r w:rsidRPr="00FC15D4">
        <w:rPr>
          <w:sz w:val="22"/>
          <w:szCs w:val="22"/>
          <w:lang w:val="en-US"/>
        </w:rPr>
        <w:t>Op. cit. : xv</w:t>
      </w:r>
    </w:p>
    <w:p w14:paraId="4569704D" w14:textId="77777777" w:rsidR="00121E13" w:rsidRPr="006E18BA" w:rsidRDefault="00121E13" w:rsidP="008C7E2A">
      <w:pPr>
        <w:pStyle w:val="FootnoteText"/>
        <w:rPr>
          <w:sz w:val="22"/>
          <w:szCs w:val="22"/>
          <w:lang w:val="en-US"/>
        </w:rPr>
      </w:pPr>
    </w:p>
    <w:p w14:paraId="79060FB0" w14:textId="77777777" w:rsidR="00121E13" w:rsidRPr="00FC15D4" w:rsidRDefault="00121E13" w:rsidP="008C7E2A">
      <w:pPr>
        <w:autoSpaceDE w:val="0"/>
        <w:autoSpaceDN w:val="0"/>
        <w:adjustRightInd w:val="0"/>
        <w:spacing w:after="0" w:line="240" w:lineRule="auto"/>
        <w:rPr>
          <w:lang w:val="en-US"/>
        </w:rPr>
      </w:pPr>
      <w:r>
        <w:rPr>
          <w:rStyle w:val="FootnoteReference"/>
        </w:rPr>
        <w:endnoteRef/>
      </w:r>
      <w:r w:rsidRPr="00FC15D4">
        <w:rPr>
          <w:lang w:val="en-US"/>
        </w:rPr>
        <w:t xml:space="preserve"> Op. cit. : xvii</w:t>
      </w:r>
    </w:p>
    <w:p w14:paraId="7894CB58" w14:textId="77777777" w:rsidR="00121E13" w:rsidRPr="00FC15D4" w:rsidRDefault="00121E13" w:rsidP="008C7E2A">
      <w:pPr>
        <w:pStyle w:val="FootnoteText"/>
        <w:rPr>
          <w:sz w:val="22"/>
          <w:szCs w:val="22"/>
          <w:lang w:val="en-US"/>
        </w:rPr>
      </w:pPr>
      <w:r w:rsidRPr="00FC15D4">
        <w:rPr>
          <w:sz w:val="22"/>
          <w:szCs w:val="22"/>
          <w:lang w:val="en-US"/>
        </w:rPr>
        <w:t xml:space="preserve"> </w:t>
      </w:r>
    </w:p>
  </w:endnote>
  <w:endnote w:id="43">
    <w:p w14:paraId="7F49EB45" w14:textId="77777777" w:rsidR="00121E13" w:rsidRPr="006E18BA" w:rsidRDefault="00121E13" w:rsidP="008C7E2A">
      <w:pPr>
        <w:pStyle w:val="EndnoteText"/>
        <w:rPr>
          <w:sz w:val="22"/>
          <w:szCs w:val="22"/>
          <w:lang w:val="en-US"/>
        </w:rPr>
      </w:pPr>
    </w:p>
  </w:endnote>
  <w:endnote w:id="44">
    <w:p w14:paraId="51D3C375" w14:textId="77777777" w:rsidR="00121E13" w:rsidRPr="00FC15D4" w:rsidRDefault="00121E13" w:rsidP="008C7E2A">
      <w:pPr>
        <w:pStyle w:val="EndnoteText"/>
        <w:rPr>
          <w:sz w:val="22"/>
          <w:szCs w:val="22"/>
          <w:lang w:val="en-US"/>
        </w:rPr>
      </w:pPr>
      <w:r>
        <w:rPr>
          <w:rStyle w:val="EndnoteReference"/>
          <w:sz w:val="22"/>
          <w:szCs w:val="22"/>
        </w:rPr>
        <w:endnoteRef/>
      </w:r>
      <w:r w:rsidRPr="00FC15D4">
        <w:rPr>
          <w:sz w:val="22"/>
          <w:szCs w:val="22"/>
          <w:lang w:val="en-US"/>
        </w:rPr>
        <w:t xml:space="preserve"> Op. cit. : xvi</w:t>
      </w:r>
    </w:p>
    <w:p w14:paraId="43FE300D" w14:textId="77777777" w:rsidR="00121E13" w:rsidRPr="006E18BA" w:rsidRDefault="00121E13" w:rsidP="008C7E2A">
      <w:pPr>
        <w:pStyle w:val="EndnoteText"/>
        <w:rPr>
          <w:sz w:val="22"/>
          <w:szCs w:val="22"/>
          <w:lang w:val="en-US"/>
        </w:rPr>
      </w:pPr>
    </w:p>
  </w:endnote>
  <w:endnote w:id="45">
    <w:p w14:paraId="098646AE" w14:textId="77777777" w:rsidR="00121E13" w:rsidRPr="00FC15D4" w:rsidRDefault="00121E13" w:rsidP="008C7E2A">
      <w:pPr>
        <w:pStyle w:val="EndnoteText"/>
        <w:rPr>
          <w:sz w:val="22"/>
          <w:szCs w:val="22"/>
          <w:lang w:val="en-US"/>
        </w:rPr>
      </w:pPr>
      <w:r>
        <w:rPr>
          <w:rStyle w:val="EndnoteReference"/>
          <w:sz w:val="22"/>
          <w:szCs w:val="22"/>
        </w:rPr>
        <w:endnoteRef/>
      </w:r>
      <w:r w:rsidRPr="00FC15D4">
        <w:rPr>
          <w:sz w:val="22"/>
          <w:szCs w:val="22"/>
          <w:lang w:val="en-US"/>
        </w:rPr>
        <w:t xml:space="preserve"> Op. cit. : xxi</w:t>
      </w:r>
    </w:p>
    <w:p w14:paraId="7F524086" w14:textId="77777777" w:rsidR="00121E13" w:rsidRPr="006E18BA" w:rsidRDefault="00121E13" w:rsidP="008C7E2A">
      <w:pPr>
        <w:pStyle w:val="EndnoteText"/>
        <w:rPr>
          <w:sz w:val="22"/>
          <w:szCs w:val="22"/>
          <w:lang w:val="en-US"/>
        </w:rPr>
      </w:pPr>
    </w:p>
  </w:endnote>
  <w:endnote w:id="46">
    <w:p w14:paraId="1182412E" w14:textId="77777777" w:rsidR="00121E13" w:rsidRPr="00FC15D4" w:rsidRDefault="00121E13" w:rsidP="008C7E2A">
      <w:pPr>
        <w:pStyle w:val="EndnoteText"/>
        <w:rPr>
          <w:sz w:val="22"/>
          <w:szCs w:val="22"/>
          <w:lang w:val="en-US"/>
        </w:rPr>
      </w:pPr>
      <w:r>
        <w:rPr>
          <w:rStyle w:val="EndnoteReference"/>
          <w:sz w:val="22"/>
          <w:szCs w:val="22"/>
        </w:rPr>
        <w:endnoteRef/>
      </w:r>
      <w:r w:rsidRPr="00FC15D4">
        <w:rPr>
          <w:sz w:val="22"/>
          <w:szCs w:val="22"/>
          <w:lang w:val="en-US"/>
        </w:rPr>
        <w:t xml:space="preserve"> Op. cit. : xxiii</w:t>
      </w:r>
    </w:p>
    <w:p w14:paraId="4D0B35C9" w14:textId="77777777" w:rsidR="00121E13" w:rsidRPr="006E18BA" w:rsidRDefault="00121E13" w:rsidP="008C7E2A">
      <w:pPr>
        <w:pStyle w:val="EndnoteText"/>
        <w:rPr>
          <w:sz w:val="22"/>
          <w:szCs w:val="22"/>
          <w:lang w:val="en-US"/>
        </w:rPr>
      </w:pPr>
    </w:p>
  </w:endnote>
  <w:endnote w:id="47">
    <w:p w14:paraId="421B4313" w14:textId="77777777" w:rsidR="00121E13" w:rsidRPr="00FC15D4" w:rsidRDefault="00121E13" w:rsidP="008C7E2A">
      <w:pPr>
        <w:autoSpaceDE w:val="0"/>
        <w:autoSpaceDN w:val="0"/>
        <w:adjustRightInd w:val="0"/>
        <w:spacing w:after="0" w:line="240" w:lineRule="auto"/>
        <w:rPr>
          <w:lang w:val="en-US"/>
        </w:rPr>
      </w:pPr>
      <w:r>
        <w:rPr>
          <w:rStyle w:val="EndnoteReference"/>
        </w:rPr>
        <w:endnoteRef/>
      </w:r>
      <w:r w:rsidRPr="00FC15D4">
        <w:rPr>
          <w:lang w:val="en-US"/>
        </w:rPr>
        <w:t xml:space="preserve"> Op. cit. : xxii</w:t>
      </w:r>
    </w:p>
    <w:p w14:paraId="2AE90EB0" w14:textId="77777777" w:rsidR="00121E13" w:rsidRPr="006E18BA" w:rsidRDefault="00121E13" w:rsidP="008C7E2A">
      <w:pPr>
        <w:pStyle w:val="EndnoteText"/>
        <w:rPr>
          <w:sz w:val="22"/>
          <w:szCs w:val="22"/>
          <w:lang w:val="en-US"/>
        </w:rPr>
      </w:pPr>
    </w:p>
  </w:endnote>
  <w:endnote w:id="48">
    <w:p w14:paraId="49E54729" w14:textId="71A0395A" w:rsidR="00121E13" w:rsidRPr="006E18BA" w:rsidRDefault="00121E13" w:rsidP="008C7E2A">
      <w:pPr>
        <w:pStyle w:val="EndnoteText"/>
        <w:rPr>
          <w:rFonts w:cs="Arial"/>
          <w:sz w:val="22"/>
          <w:szCs w:val="22"/>
          <w:shd w:val="clear" w:color="auto" w:fill="FFFFFF"/>
        </w:rPr>
      </w:pPr>
      <w:r>
        <w:rPr>
          <w:rStyle w:val="EndnoteReference"/>
          <w:sz w:val="22"/>
          <w:szCs w:val="22"/>
        </w:rPr>
        <w:endnoteRef/>
      </w:r>
      <w:r w:rsidRPr="00FC15D4">
        <w:rPr>
          <w:sz w:val="22"/>
          <w:szCs w:val="22"/>
          <w:lang w:val="en-US"/>
        </w:rPr>
        <w:t xml:space="preserve"> </w:t>
      </w:r>
      <w:r w:rsidRPr="00FC15D4">
        <w:rPr>
          <w:sz w:val="22"/>
          <w:szCs w:val="22"/>
          <w:shd w:val="clear" w:color="auto" w:fill="FFFFFF"/>
          <w:lang w:val="en-US"/>
        </w:rPr>
        <w:t>Mills, A. (2004).</w:t>
      </w:r>
      <w:r w:rsidRPr="00FC15D4">
        <w:rPr>
          <w:rStyle w:val="apple-converted-space"/>
          <w:sz w:val="22"/>
          <w:szCs w:val="22"/>
          <w:shd w:val="clear" w:color="auto" w:fill="FFFFFF"/>
          <w:lang w:val="en-US"/>
        </w:rPr>
        <w:t xml:space="preserve"> </w:t>
      </w:r>
      <w:r w:rsidRPr="00FC15D4">
        <w:rPr>
          <w:sz w:val="22"/>
          <w:szCs w:val="22"/>
          <w:shd w:val="clear" w:color="auto" w:fill="FFFFFF"/>
          <w:lang w:val="en-CA"/>
        </w:rPr>
        <w:t xml:space="preserve">« Strengthening health systems: the role and promise of policy and systems research ». </w:t>
      </w:r>
      <w:r>
        <w:rPr>
          <w:sz w:val="22"/>
          <w:szCs w:val="22"/>
          <w:shd w:val="clear" w:color="auto" w:fill="FFFFFF"/>
        </w:rPr>
        <w:t>Organisation mondiale de la Santé (OMS). Alliance pour la recherche sur les politiques et systèmes de santé.</w:t>
      </w:r>
    </w:p>
    <w:p w14:paraId="7BE7C5D5" w14:textId="77777777" w:rsidR="00121E13" w:rsidRPr="00FC15D4" w:rsidRDefault="00121E13" w:rsidP="008C7E2A">
      <w:pPr>
        <w:pStyle w:val="EndnoteText"/>
        <w:rPr>
          <w:sz w:val="22"/>
          <w:szCs w:val="22"/>
        </w:rPr>
      </w:pPr>
    </w:p>
  </w:endnote>
  <w:endnote w:id="49">
    <w:p w14:paraId="059D89B3" w14:textId="134B622F"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C923CD">
        <w:rPr>
          <w:sz w:val="22"/>
          <w:szCs w:val="22"/>
          <w:lang w:val="en-CA"/>
        </w:rPr>
        <w:t xml:space="preserve"> </w:t>
      </w:r>
      <w:r w:rsidRPr="00C923CD">
        <w:rPr>
          <w:sz w:val="22"/>
          <w:szCs w:val="22"/>
          <w:shd w:val="clear" w:color="auto" w:fill="FFFFFF"/>
          <w:lang w:val="en-CA"/>
        </w:rPr>
        <w:t xml:space="preserve">Kirigia, J. M. et C. Wambebe (2006). </w:t>
      </w:r>
      <w:r w:rsidRPr="00FC15D4">
        <w:rPr>
          <w:sz w:val="22"/>
          <w:szCs w:val="22"/>
          <w:shd w:val="clear" w:color="auto" w:fill="FFFFFF"/>
          <w:lang w:val="en-CA"/>
        </w:rPr>
        <w:t>« Status of national health research systems in ten countries of the WHO African Region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BMC Health Services Research</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6</w:t>
      </w:r>
      <w:r w:rsidRPr="00FC15D4">
        <w:rPr>
          <w:sz w:val="22"/>
          <w:szCs w:val="22"/>
          <w:shd w:val="clear" w:color="auto" w:fill="FFFFFF"/>
          <w:lang w:val="en-CA"/>
        </w:rPr>
        <w:t>(1), 1.</w:t>
      </w:r>
    </w:p>
    <w:p w14:paraId="07B83B53" w14:textId="77777777" w:rsidR="00121E13" w:rsidRPr="006E18BA" w:rsidRDefault="00121E13" w:rsidP="008C7E2A">
      <w:pPr>
        <w:pStyle w:val="EndnoteText"/>
        <w:rPr>
          <w:sz w:val="22"/>
          <w:szCs w:val="22"/>
          <w:lang w:val="en-US"/>
        </w:rPr>
      </w:pPr>
    </w:p>
  </w:endnote>
  <w:endnote w:id="50">
    <w:p w14:paraId="41C88178" w14:textId="77777777"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sz w:val="22"/>
          <w:szCs w:val="22"/>
          <w:lang w:val="en-CA"/>
        </w:rPr>
        <w:t xml:space="preserve"> Op. cit. : xxv</w:t>
      </w:r>
    </w:p>
    <w:p w14:paraId="441BB9C7" w14:textId="77777777" w:rsidR="00121E13" w:rsidRPr="006E18BA" w:rsidRDefault="00121E13" w:rsidP="008C7E2A">
      <w:pPr>
        <w:pStyle w:val="EndnoteText"/>
        <w:rPr>
          <w:sz w:val="22"/>
          <w:szCs w:val="22"/>
          <w:lang w:val="en-US"/>
        </w:rPr>
      </w:pPr>
    </w:p>
  </w:endnote>
  <w:endnote w:id="51">
    <w:p w14:paraId="76B2D152" w14:textId="77777777"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sz w:val="22"/>
          <w:szCs w:val="22"/>
          <w:lang w:val="en-CA"/>
        </w:rPr>
        <w:t xml:space="preserve"> Op. cit. : xxxv </w:t>
      </w:r>
    </w:p>
    <w:p w14:paraId="45152250" w14:textId="77777777" w:rsidR="00121E13" w:rsidRPr="006E18BA" w:rsidRDefault="00121E13" w:rsidP="008C7E2A">
      <w:pPr>
        <w:pStyle w:val="EndnoteText"/>
        <w:rPr>
          <w:sz w:val="22"/>
          <w:szCs w:val="22"/>
          <w:lang w:val="en-US"/>
        </w:rPr>
      </w:pPr>
    </w:p>
  </w:endnote>
  <w:endnote w:id="52">
    <w:p w14:paraId="56D223B7" w14:textId="0718718F" w:rsidR="00121E13" w:rsidRPr="00FC15D4" w:rsidRDefault="00121E13" w:rsidP="00082AD2">
      <w:pPr>
        <w:pStyle w:val="EndnoteText"/>
        <w:rPr>
          <w:rFonts w:cs="Arial"/>
          <w:sz w:val="22"/>
          <w:szCs w:val="22"/>
          <w:shd w:val="clear" w:color="auto" w:fill="FFFFFF"/>
          <w:lang w:val="en-CA"/>
        </w:rPr>
      </w:pPr>
      <w:r>
        <w:rPr>
          <w:rStyle w:val="EndnoteReference"/>
          <w:sz w:val="22"/>
          <w:szCs w:val="22"/>
        </w:rPr>
        <w:endnoteRef/>
      </w:r>
      <w:r w:rsidRPr="00FC15D4">
        <w:rPr>
          <w:sz w:val="22"/>
          <w:szCs w:val="22"/>
          <w:lang w:val="en-CA"/>
        </w:rPr>
        <w:t xml:space="preserve"> </w:t>
      </w:r>
      <w:r w:rsidRPr="00FC15D4">
        <w:rPr>
          <w:sz w:val="22"/>
          <w:szCs w:val="22"/>
          <w:shd w:val="clear" w:color="auto" w:fill="FFFFFF"/>
          <w:lang w:val="en-CA"/>
        </w:rPr>
        <w:t>Adam, T., S. Ahmad, M. Bigdeli, A. Ghaffar et J. A. Røttingen (2011). « Trends in health policy and systems research over the past decade: still too little capacity in low-income countries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PLoS One</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6</w:t>
      </w:r>
      <w:r w:rsidRPr="00FC15D4">
        <w:rPr>
          <w:sz w:val="22"/>
          <w:szCs w:val="22"/>
          <w:shd w:val="clear" w:color="auto" w:fill="FFFFFF"/>
          <w:lang w:val="en-CA"/>
        </w:rPr>
        <w:t>(11), e27263.</w:t>
      </w:r>
    </w:p>
    <w:p w14:paraId="56B0F65A" w14:textId="77777777" w:rsidR="00121E13" w:rsidRPr="006E18BA" w:rsidRDefault="00121E13" w:rsidP="00082AD2">
      <w:pPr>
        <w:pStyle w:val="EndnoteText"/>
        <w:rPr>
          <w:sz w:val="22"/>
          <w:szCs w:val="22"/>
          <w:lang w:val="en-US"/>
        </w:rPr>
      </w:pPr>
    </w:p>
  </w:endnote>
  <w:endnote w:id="53">
    <w:p w14:paraId="5DE7B07D" w14:textId="77777777" w:rsidR="00121E13" w:rsidRPr="00FC15D4" w:rsidRDefault="00121E13" w:rsidP="00082AD2">
      <w:pPr>
        <w:pStyle w:val="EndnoteText"/>
        <w:rPr>
          <w:rFonts w:cs="Arial"/>
          <w:sz w:val="22"/>
          <w:szCs w:val="22"/>
          <w:shd w:val="clear" w:color="auto" w:fill="FFFFFF"/>
          <w:lang w:val="en-CA"/>
        </w:rPr>
      </w:pPr>
      <w:r>
        <w:rPr>
          <w:rStyle w:val="EndnoteReference"/>
          <w:sz w:val="22"/>
          <w:szCs w:val="22"/>
        </w:rPr>
        <w:endnoteRef/>
      </w:r>
      <w:r w:rsidRPr="00FC15D4">
        <w:rPr>
          <w:sz w:val="22"/>
          <w:szCs w:val="22"/>
          <w:lang w:val="en-CA"/>
        </w:rPr>
        <w:t xml:space="preserve"> Op. cit. : xx</w:t>
      </w:r>
    </w:p>
    <w:p w14:paraId="1C6A846D" w14:textId="77777777" w:rsidR="00121E13" w:rsidRPr="006E18BA" w:rsidRDefault="00121E13" w:rsidP="00082AD2">
      <w:pPr>
        <w:pStyle w:val="EndnoteText"/>
        <w:rPr>
          <w:sz w:val="22"/>
          <w:szCs w:val="22"/>
          <w:lang w:val="en-US"/>
        </w:rPr>
      </w:pPr>
    </w:p>
  </w:endnote>
  <w:endnote w:id="54">
    <w:p w14:paraId="3D671B58" w14:textId="71B0F82B" w:rsidR="00121E13" w:rsidRPr="00FC15D4" w:rsidRDefault="00121E13" w:rsidP="00082AD2">
      <w:pPr>
        <w:pStyle w:val="EndnoteText"/>
        <w:rPr>
          <w:rFonts w:cs="Arial"/>
          <w:sz w:val="22"/>
          <w:szCs w:val="22"/>
          <w:shd w:val="clear" w:color="auto" w:fill="FFFFFF"/>
          <w:lang w:val="en-CA"/>
        </w:rPr>
      </w:pPr>
      <w:r>
        <w:rPr>
          <w:rStyle w:val="EndnoteReference"/>
          <w:sz w:val="22"/>
          <w:szCs w:val="22"/>
        </w:rPr>
        <w:endnoteRef/>
      </w:r>
      <w:r w:rsidRPr="00FC15D4">
        <w:rPr>
          <w:sz w:val="22"/>
          <w:szCs w:val="22"/>
          <w:lang w:val="en-CA"/>
        </w:rPr>
        <w:t xml:space="preserve"> </w:t>
      </w:r>
      <w:r w:rsidRPr="00FC15D4">
        <w:rPr>
          <w:sz w:val="22"/>
          <w:szCs w:val="22"/>
          <w:shd w:val="clear" w:color="auto" w:fill="FFFFFF"/>
          <w:lang w:val="en-CA"/>
        </w:rPr>
        <w:t xml:space="preserve">Mbondji, P. E., D. Kebede, C. Zielinski, W. Kouvividila, I. Sanou et P. S. Lusamba-Dikassa (2014). « Overview of national health research systems in sub-Saharan Africa: results of a questionnaire-based survey ». </w:t>
      </w:r>
      <w:r w:rsidRPr="00FC15D4">
        <w:rPr>
          <w:i/>
          <w:iCs/>
          <w:sz w:val="22"/>
          <w:szCs w:val="22"/>
          <w:shd w:val="clear" w:color="auto" w:fill="FFFFFF"/>
          <w:lang w:val="en-CA"/>
        </w:rPr>
        <w:t>Journal of the Royal Society of Medicine</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107</w:t>
      </w:r>
      <w:r w:rsidRPr="00FC15D4">
        <w:rPr>
          <w:sz w:val="22"/>
          <w:szCs w:val="22"/>
          <w:shd w:val="clear" w:color="auto" w:fill="FFFFFF"/>
          <w:lang w:val="en-CA"/>
        </w:rPr>
        <w:t>(1 suppl), 46-54.</w:t>
      </w:r>
    </w:p>
    <w:p w14:paraId="3790DF54" w14:textId="77777777" w:rsidR="00121E13" w:rsidRPr="006E18BA" w:rsidRDefault="00121E13" w:rsidP="00082AD2">
      <w:pPr>
        <w:pStyle w:val="EndnoteText"/>
        <w:rPr>
          <w:sz w:val="22"/>
          <w:szCs w:val="22"/>
          <w:lang w:val="en-US"/>
        </w:rPr>
      </w:pPr>
    </w:p>
  </w:endnote>
  <w:endnote w:id="55">
    <w:p w14:paraId="4BD4639F" w14:textId="77777777" w:rsidR="00121E13" w:rsidRPr="00FC15D4" w:rsidRDefault="00121E13" w:rsidP="00082AD2">
      <w:pPr>
        <w:pStyle w:val="EndnoteText"/>
        <w:rPr>
          <w:rFonts w:cs="Arial"/>
          <w:sz w:val="22"/>
          <w:szCs w:val="22"/>
          <w:shd w:val="clear" w:color="auto" w:fill="FFFFFF"/>
          <w:lang w:val="en-CA"/>
        </w:rPr>
      </w:pPr>
      <w:r>
        <w:rPr>
          <w:rStyle w:val="EndnoteReference"/>
          <w:sz w:val="22"/>
          <w:szCs w:val="22"/>
        </w:rPr>
        <w:endnoteRef/>
      </w:r>
      <w:r w:rsidRPr="00FC15D4">
        <w:rPr>
          <w:sz w:val="22"/>
          <w:szCs w:val="22"/>
          <w:lang w:val="en-CA"/>
        </w:rPr>
        <w:t xml:space="preserve"> Op. cit. : xxv</w:t>
      </w:r>
    </w:p>
    <w:p w14:paraId="2DFE96E4" w14:textId="77777777" w:rsidR="00121E13" w:rsidRPr="006E18BA" w:rsidRDefault="00121E13" w:rsidP="00082AD2">
      <w:pPr>
        <w:pStyle w:val="EndnoteText"/>
        <w:rPr>
          <w:sz w:val="22"/>
          <w:szCs w:val="22"/>
          <w:lang w:val="en-US"/>
        </w:rPr>
      </w:pPr>
    </w:p>
  </w:endnote>
  <w:endnote w:id="56">
    <w:p w14:paraId="1AEF7149" w14:textId="77777777" w:rsidR="00121E13" w:rsidRPr="006E18BA" w:rsidRDefault="00121E13" w:rsidP="008C7E2A">
      <w:pPr>
        <w:pStyle w:val="EndnoteText"/>
        <w:rPr>
          <w:sz w:val="22"/>
          <w:szCs w:val="22"/>
        </w:rPr>
      </w:pPr>
      <w:r>
        <w:rPr>
          <w:rStyle w:val="EndnoteReference"/>
          <w:sz w:val="22"/>
          <w:szCs w:val="22"/>
        </w:rPr>
        <w:endnoteRef/>
      </w:r>
      <w:r>
        <w:rPr>
          <w:sz w:val="22"/>
          <w:szCs w:val="22"/>
        </w:rPr>
        <w:t xml:space="preserve"> Idem</w:t>
      </w:r>
    </w:p>
    <w:p w14:paraId="6ED9C9CB" w14:textId="77777777" w:rsidR="00121E13" w:rsidRPr="00FC15D4" w:rsidRDefault="00121E13" w:rsidP="008C7E2A">
      <w:pPr>
        <w:pStyle w:val="EndnoteText"/>
        <w:rPr>
          <w:sz w:val="22"/>
          <w:szCs w:val="22"/>
        </w:rPr>
      </w:pPr>
    </w:p>
  </w:endnote>
  <w:endnote w:id="57">
    <w:p w14:paraId="341F6D81" w14:textId="77777777" w:rsidR="00121E13" w:rsidRPr="006E18BA" w:rsidRDefault="00121E13" w:rsidP="008C7E2A">
      <w:pPr>
        <w:pStyle w:val="EndnoteText"/>
      </w:pPr>
      <w:r>
        <w:rPr>
          <w:rStyle w:val="EndnoteReference"/>
          <w:sz w:val="22"/>
          <w:szCs w:val="22"/>
        </w:rPr>
        <w:endnoteRef/>
      </w:r>
      <w:r>
        <w:rPr>
          <w:sz w:val="22"/>
          <w:szCs w:val="22"/>
        </w:rPr>
        <w:t xml:space="preserve"> PNUD. « Capacity development practice note », Programme des Nations Unies pour le développement, New York. </w:t>
      </w:r>
      <w:hyperlink r:id="rId3" w:history="1">
        <w:r>
          <w:rPr>
            <w:rStyle w:val="Hyperlink"/>
            <w:sz w:val="22"/>
            <w:szCs w:val="22"/>
          </w:rPr>
          <w:t>http://www.undp.org/content/dam/undp/library/capacity-development/french/PN%20Capacity%20Development_FR_final.pdf,</w:t>
        </w:r>
      </w:hyperlink>
      <w:r>
        <w:t xml:space="preserve"> consulté le 11 juin 2016.</w:t>
      </w:r>
    </w:p>
    <w:p w14:paraId="34B8B1F9" w14:textId="77777777" w:rsidR="00121E13" w:rsidRPr="00FC15D4" w:rsidRDefault="00121E13" w:rsidP="008C7E2A">
      <w:pPr>
        <w:pStyle w:val="EndnoteText"/>
        <w:rPr>
          <w:sz w:val="22"/>
          <w:szCs w:val="22"/>
        </w:rPr>
      </w:pPr>
    </w:p>
  </w:endnote>
  <w:endnote w:id="58">
    <w:p w14:paraId="2C907B92" w14:textId="4EFA0944"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sz w:val="22"/>
          <w:szCs w:val="22"/>
          <w:lang w:val="en-CA"/>
        </w:rPr>
        <w:t xml:space="preserve"> </w:t>
      </w:r>
      <w:r w:rsidRPr="00FC15D4">
        <w:rPr>
          <w:sz w:val="22"/>
          <w:szCs w:val="22"/>
          <w:shd w:val="clear" w:color="auto" w:fill="FFFFFF"/>
          <w:lang w:val="en-CA"/>
        </w:rPr>
        <w:t>Block, M. A. G. et A. Mills (2003). « Assessing capacity for health policy and systems research in low and middle income countries*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Health Research Policy and Systems</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1</w:t>
      </w:r>
      <w:r w:rsidRPr="00FC15D4">
        <w:rPr>
          <w:sz w:val="22"/>
          <w:szCs w:val="22"/>
          <w:shd w:val="clear" w:color="auto" w:fill="FFFFFF"/>
          <w:lang w:val="en-CA"/>
        </w:rPr>
        <w:t>(1), 1.</w:t>
      </w:r>
    </w:p>
    <w:p w14:paraId="3DE148E9" w14:textId="77777777" w:rsidR="00121E13" w:rsidRPr="006E18BA" w:rsidRDefault="00121E13" w:rsidP="008C7E2A">
      <w:pPr>
        <w:pStyle w:val="EndnoteText"/>
        <w:rPr>
          <w:sz w:val="22"/>
          <w:szCs w:val="22"/>
          <w:lang w:val="en-US"/>
        </w:rPr>
      </w:pPr>
    </w:p>
  </w:endnote>
  <w:endnote w:id="59">
    <w:p w14:paraId="06B6E751" w14:textId="77777777" w:rsidR="00121E13" w:rsidRPr="00FC15D4" w:rsidRDefault="00121E13" w:rsidP="008C7E2A">
      <w:pPr>
        <w:pStyle w:val="EndnoteText"/>
        <w:rPr>
          <w:sz w:val="22"/>
          <w:szCs w:val="22"/>
          <w:lang w:val="en-CA"/>
        </w:rPr>
      </w:pPr>
      <w:r>
        <w:rPr>
          <w:rStyle w:val="EndnoteReference"/>
          <w:sz w:val="22"/>
          <w:szCs w:val="22"/>
        </w:rPr>
        <w:endnoteRef/>
      </w:r>
      <w:r w:rsidRPr="00FC15D4">
        <w:rPr>
          <w:sz w:val="22"/>
          <w:szCs w:val="22"/>
          <w:lang w:val="en-CA"/>
        </w:rPr>
        <w:t xml:space="preserve"> Op. cit. : liii</w:t>
      </w:r>
    </w:p>
    <w:p w14:paraId="31D4CBA5" w14:textId="77777777" w:rsidR="00121E13" w:rsidRPr="006E18BA" w:rsidRDefault="00121E13" w:rsidP="008C7E2A">
      <w:pPr>
        <w:pStyle w:val="EndnoteText"/>
        <w:rPr>
          <w:sz w:val="22"/>
          <w:szCs w:val="22"/>
          <w:lang w:val="en-US"/>
        </w:rPr>
      </w:pPr>
    </w:p>
  </w:endnote>
  <w:endnote w:id="60">
    <w:p w14:paraId="4B953BC7" w14:textId="77777777" w:rsidR="00121E13" w:rsidRPr="00FC15D4" w:rsidRDefault="00121E13" w:rsidP="008C7E2A">
      <w:pPr>
        <w:pStyle w:val="EndnoteText"/>
        <w:rPr>
          <w:sz w:val="22"/>
          <w:szCs w:val="22"/>
          <w:lang w:val="en-CA"/>
        </w:rPr>
      </w:pPr>
      <w:r>
        <w:rPr>
          <w:rStyle w:val="EndnoteReference"/>
          <w:sz w:val="22"/>
          <w:szCs w:val="22"/>
        </w:rPr>
        <w:endnoteRef/>
      </w:r>
      <w:r w:rsidRPr="00FC15D4">
        <w:rPr>
          <w:sz w:val="22"/>
          <w:szCs w:val="22"/>
          <w:lang w:val="en-CA"/>
        </w:rPr>
        <w:t xml:space="preserve"> Op. cit. : lviii</w:t>
      </w:r>
    </w:p>
    <w:p w14:paraId="37231C08" w14:textId="77777777" w:rsidR="00121E13" w:rsidRPr="006E18BA" w:rsidRDefault="00121E13" w:rsidP="008C7E2A">
      <w:pPr>
        <w:pStyle w:val="EndnoteText"/>
        <w:rPr>
          <w:sz w:val="22"/>
          <w:szCs w:val="22"/>
          <w:lang w:val="en-US"/>
        </w:rPr>
      </w:pPr>
    </w:p>
  </w:endnote>
  <w:endnote w:id="61">
    <w:p w14:paraId="58F73778" w14:textId="77777777" w:rsidR="00121E13" w:rsidRPr="00FC15D4" w:rsidRDefault="00121E13" w:rsidP="008C7E2A">
      <w:pPr>
        <w:pStyle w:val="EndnoteText"/>
        <w:rPr>
          <w:sz w:val="22"/>
          <w:szCs w:val="22"/>
          <w:lang w:val="en-CA"/>
        </w:rPr>
      </w:pPr>
      <w:r>
        <w:rPr>
          <w:rStyle w:val="EndnoteReference"/>
          <w:sz w:val="22"/>
          <w:szCs w:val="22"/>
        </w:rPr>
        <w:endnoteRef/>
      </w:r>
      <w:r w:rsidRPr="00FC15D4">
        <w:rPr>
          <w:sz w:val="22"/>
          <w:szCs w:val="22"/>
          <w:lang w:val="en-CA"/>
        </w:rPr>
        <w:t xml:space="preserve"> Op. cit. : xxxv </w:t>
      </w:r>
    </w:p>
    <w:p w14:paraId="1F17EB42" w14:textId="77777777" w:rsidR="00121E13" w:rsidRPr="006E18BA" w:rsidRDefault="00121E13" w:rsidP="008C7E2A">
      <w:pPr>
        <w:pStyle w:val="EndnoteText"/>
        <w:rPr>
          <w:sz w:val="22"/>
          <w:szCs w:val="22"/>
          <w:lang w:val="en-US"/>
        </w:rPr>
      </w:pPr>
    </w:p>
  </w:endnote>
  <w:endnote w:id="62">
    <w:p w14:paraId="73A915B2" w14:textId="04D8552C"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sz w:val="22"/>
          <w:szCs w:val="22"/>
          <w:lang w:val="en-CA"/>
        </w:rPr>
        <w:t xml:space="preserve"> </w:t>
      </w:r>
      <w:r w:rsidRPr="00FC15D4">
        <w:rPr>
          <w:sz w:val="22"/>
          <w:szCs w:val="22"/>
          <w:shd w:val="clear" w:color="auto" w:fill="FFFFFF"/>
          <w:lang w:val="en-CA"/>
        </w:rPr>
        <w:t>Olaleye, D. O., G. N. Odaibo, P. Carney, O. Agbaji, A. S. Sagay, H. Muktar et S. Akanmu (2014). « Enhancement of health research capacity in Nigeria through North–South and in-country partnerships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Academic Medicine</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89</w:t>
      </w:r>
      <w:r w:rsidRPr="00FC15D4">
        <w:rPr>
          <w:sz w:val="22"/>
          <w:szCs w:val="22"/>
          <w:shd w:val="clear" w:color="auto" w:fill="FFFFFF"/>
          <w:lang w:val="en-CA"/>
        </w:rPr>
        <w:t>(8), S93-S97.</w:t>
      </w:r>
    </w:p>
    <w:p w14:paraId="38B23BE2" w14:textId="77777777" w:rsidR="00121E13" w:rsidRPr="006E18BA" w:rsidRDefault="00121E13" w:rsidP="008C7E2A">
      <w:pPr>
        <w:pStyle w:val="EndnoteText"/>
        <w:rPr>
          <w:sz w:val="22"/>
          <w:szCs w:val="22"/>
          <w:lang w:val="en-US"/>
        </w:rPr>
      </w:pPr>
    </w:p>
  </w:endnote>
  <w:endnote w:id="63">
    <w:p w14:paraId="28B02E6F" w14:textId="0D994E39"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sz w:val="22"/>
          <w:szCs w:val="22"/>
          <w:lang w:val="en-CA"/>
        </w:rPr>
        <w:t xml:space="preserve"> </w:t>
      </w:r>
      <w:r w:rsidRPr="00FC15D4">
        <w:rPr>
          <w:sz w:val="22"/>
          <w:szCs w:val="22"/>
          <w:shd w:val="clear" w:color="auto" w:fill="FFFFFF"/>
          <w:lang w:val="en-CA"/>
        </w:rPr>
        <w:t>Mayhew, S. H., J. Doherty et S. Pitayarangsarit (2008). « Developing health systems research capacities through north-south partnership: an evaluation of collaboration with South Africa and Thailand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Health Research Policy and Systems</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6</w:t>
      </w:r>
      <w:r w:rsidRPr="00FC15D4">
        <w:rPr>
          <w:sz w:val="22"/>
          <w:szCs w:val="22"/>
          <w:shd w:val="clear" w:color="auto" w:fill="FFFFFF"/>
          <w:lang w:val="en-CA"/>
        </w:rPr>
        <w:t>(1), 8.</w:t>
      </w:r>
    </w:p>
    <w:p w14:paraId="09F2304B" w14:textId="77777777" w:rsidR="00121E13" w:rsidRPr="006E18BA" w:rsidRDefault="00121E13" w:rsidP="008C7E2A">
      <w:pPr>
        <w:pStyle w:val="EndnoteText"/>
        <w:rPr>
          <w:sz w:val="22"/>
          <w:szCs w:val="22"/>
          <w:lang w:val="en-US"/>
        </w:rPr>
      </w:pPr>
    </w:p>
  </w:endnote>
  <w:endnote w:id="64">
    <w:p w14:paraId="2B336A2A" w14:textId="258F30C9"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sz w:val="22"/>
          <w:szCs w:val="22"/>
          <w:lang w:val="en-CA"/>
        </w:rPr>
        <w:t xml:space="preserve"> </w:t>
      </w:r>
      <w:r w:rsidRPr="00FC15D4">
        <w:rPr>
          <w:sz w:val="22"/>
          <w:szCs w:val="22"/>
          <w:shd w:val="clear" w:color="auto" w:fill="FFFFFF"/>
          <w:lang w:val="en-CA"/>
        </w:rPr>
        <w:t>Chandiwana, S. et N. Ornbjerg (2003). « Review of North-South and South-South cooperation and conditions necessary to sustain research capability in developing countries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Journal of Health, Population and Nutrition</w:t>
      </w:r>
      <w:r w:rsidRPr="00FC15D4">
        <w:rPr>
          <w:sz w:val="22"/>
          <w:szCs w:val="22"/>
          <w:shd w:val="clear" w:color="auto" w:fill="FFFFFF"/>
          <w:lang w:val="en-CA"/>
        </w:rPr>
        <w:t>, 288-297.</w:t>
      </w:r>
    </w:p>
    <w:p w14:paraId="6E7C9A95" w14:textId="77777777" w:rsidR="00121E13" w:rsidRPr="006E18BA" w:rsidRDefault="00121E13" w:rsidP="008C7E2A">
      <w:pPr>
        <w:pStyle w:val="EndnoteText"/>
        <w:rPr>
          <w:sz w:val="22"/>
          <w:szCs w:val="22"/>
          <w:lang w:val="en-US"/>
        </w:rPr>
      </w:pPr>
    </w:p>
  </w:endnote>
  <w:endnote w:id="65">
    <w:p w14:paraId="3D43315A" w14:textId="14734B96"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sz w:val="22"/>
          <w:szCs w:val="22"/>
          <w:lang w:val="en-CA"/>
        </w:rPr>
        <w:t xml:space="preserve"> </w:t>
      </w:r>
      <w:r w:rsidRPr="00FC15D4">
        <w:rPr>
          <w:sz w:val="22"/>
          <w:szCs w:val="22"/>
          <w:shd w:val="clear" w:color="auto" w:fill="FFFFFF"/>
          <w:lang w:val="en-CA"/>
        </w:rPr>
        <w:t>Cash-Gibson, L., G. Guerra et V. N. Salgado-de-Snyder (2015). « SDH-NET: a South–North-South collaboration to build sustainable research capacities on social determinants of health in low-and middle-income countries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Health Research Policy and Systems</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13</w:t>
      </w:r>
      <w:r w:rsidRPr="00FC15D4">
        <w:rPr>
          <w:sz w:val="22"/>
          <w:szCs w:val="22"/>
          <w:shd w:val="clear" w:color="auto" w:fill="FFFFFF"/>
          <w:lang w:val="en-CA"/>
        </w:rPr>
        <w:t>(1), 45.</w:t>
      </w:r>
    </w:p>
    <w:p w14:paraId="55C920D6" w14:textId="77777777" w:rsidR="00121E13" w:rsidRPr="006E18BA" w:rsidRDefault="00121E13" w:rsidP="008C7E2A">
      <w:pPr>
        <w:pStyle w:val="EndnoteText"/>
        <w:rPr>
          <w:sz w:val="22"/>
          <w:szCs w:val="22"/>
          <w:lang w:val="en-US"/>
        </w:rPr>
      </w:pPr>
    </w:p>
  </w:endnote>
  <w:endnote w:id="66">
    <w:p w14:paraId="1FFD9519" w14:textId="4B434421"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sz w:val="22"/>
          <w:szCs w:val="22"/>
          <w:lang w:val="en-CA"/>
        </w:rPr>
        <w:t xml:space="preserve"> </w:t>
      </w:r>
      <w:r w:rsidRPr="00FC15D4">
        <w:rPr>
          <w:sz w:val="22"/>
          <w:szCs w:val="22"/>
          <w:shd w:val="clear" w:color="auto" w:fill="FFFFFF"/>
          <w:lang w:val="en-CA"/>
        </w:rPr>
        <w:t>de Solla Price, D. J. et D. Beaver (1966). « Collaboration in an invisible college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American psychologist</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21</w:t>
      </w:r>
      <w:r w:rsidRPr="00FC15D4">
        <w:rPr>
          <w:sz w:val="22"/>
          <w:szCs w:val="22"/>
          <w:shd w:val="clear" w:color="auto" w:fill="FFFFFF"/>
          <w:lang w:val="en-CA"/>
        </w:rPr>
        <w:t>(11), 1011.</w:t>
      </w:r>
    </w:p>
    <w:p w14:paraId="5E4DB460" w14:textId="77777777" w:rsidR="00121E13" w:rsidRPr="006E18BA" w:rsidRDefault="00121E13" w:rsidP="008C7E2A">
      <w:pPr>
        <w:pStyle w:val="EndnoteText"/>
        <w:rPr>
          <w:sz w:val="22"/>
          <w:szCs w:val="22"/>
          <w:lang w:val="en-US"/>
        </w:rPr>
      </w:pPr>
    </w:p>
  </w:endnote>
  <w:endnote w:id="67">
    <w:p w14:paraId="660DADF9" w14:textId="544CD3C6"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sz w:val="22"/>
          <w:szCs w:val="22"/>
          <w:lang w:val="en-CA"/>
        </w:rPr>
        <w:t xml:space="preserve"> </w:t>
      </w:r>
      <w:r w:rsidRPr="00FC15D4">
        <w:rPr>
          <w:sz w:val="22"/>
          <w:szCs w:val="22"/>
          <w:shd w:val="clear" w:color="auto" w:fill="FFFFFF"/>
          <w:lang w:val="en-CA"/>
        </w:rPr>
        <w:t>Godin, B. et Y. Gingras (2000). « Impact of collaborative research on academic science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Science and Public Policy</w:t>
      </w:r>
      <w:r w:rsidRPr="00FC15D4">
        <w:rPr>
          <w:sz w:val="22"/>
          <w:szCs w:val="22"/>
          <w:shd w:val="clear" w:color="auto" w:fill="FFFFFF"/>
          <w:lang w:val="en-CA"/>
        </w:rPr>
        <w:t>,</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27</w:t>
      </w:r>
      <w:r w:rsidRPr="00FC15D4">
        <w:rPr>
          <w:sz w:val="22"/>
          <w:szCs w:val="22"/>
          <w:shd w:val="clear" w:color="auto" w:fill="FFFFFF"/>
          <w:lang w:val="en-CA"/>
        </w:rPr>
        <w:t>(1), 65-73.</w:t>
      </w:r>
    </w:p>
    <w:p w14:paraId="35D82743" w14:textId="77777777" w:rsidR="00121E13" w:rsidRPr="006E18BA" w:rsidRDefault="00121E13" w:rsidP="008C7E2A">
      <w:pPr>
        <w:pStyle w:val="EndnoteText"/>
        <w:rPr>
          <w:sz w:val="22"/>
          <w:szCs w:val="22"/>
          <w:lang w:val="en-US"/>
        </w:rPr>
      </w:pPr>
    </w:p>
  </w:endnote>
  <w:endnote w:id="68">
    <w:p w14:paraId="40670E35" w14:textId="1DD25A7C" w:rsidR="00121E13" w:rsidRPr="00FC15D4" w:rsidRDefault="00121E13" w:rsidP="008C7E2A">
      <w:pPr>
        <w:pStyle w:val="EndnoteText"/>
        <w:rPr>
          <w:rFonts w:cs="Arial"/>
          <w:sz w:val="22"/>
          <w:szCs w:val="22"/>
          <w:shd w:val="clear" w:color="auto" w:fill="FFFFFF"/>
          <w:lang w:val="en-CA"/>
        </w:rPr>
      </w:pPr>
      <w:r>
        <w:rPr>
          <w:rStyle w:val="EndnoteReference"/>
          <w:sz w:val="22"/>
          <w:szCs w:val="22"/>
        </w:rPr>
        <w:endnoteRef/>
      </w:r>
      <w:r w:rsidRPr="00FC15D4">
        <w:rPr>
          <w:sz w:val="22"/>
          <w:szCs w:val="22"/>
          <w:lang w:val="en-CA"/>
        </w:rPr>
        <w:t xml:space="preserve"> </w:t>
      </w:r>
      <w:r w:rsidRPr="00FC15D4">
        <w:rPr>
          <w:sz w:val="22"/>
          <w:szCs w:val="22"/>
          <w:shd w:val="clear" w:color="auto" w:fill="FFFFFF"/>
          <w:lang w:val="en-CA"/>
        </w:rPr>
        <w:t>Zuckerman, H. (1967). « Nobel laureates in science: Patterns of productivity, collaboration, and authorship ».</w:t>
      </w:r>
      <w:r w:rsidRPr="00FC15D4">
        <w:rPr>
          <w:rStyle w:val="apple-converted-space"/>
          <w:sz w:val="22"/>
          <w:szCs w:val="22"/>
          <w:shd w:val="clear" w:color="auto" w:fill="FFFFFF"/>
          <w:lang w:val="en-CA"/>
        </w:rPr>
        <w:t xml:space="preserve"> </w:t>
      </w:r>
      <w:r w:rsidRPr="00FC15D4">
        <w:rPr>
          <w:i/>
          <w:iCs/>
          <w:sz w:val="22"/>
          <w:szCs w:val="22"/>
          <w:shd w:val="clear" w:color="auto" w:fill="FFFFFF"/>
          <w:lang w:val="en-CA"/>
        </w:rPr>
        <w:t>American Sociological Review</w:t>
      </w:r>
      <w:r w:rsidRPr="00FC15D4">
        <w:rPr>
          <w:sz w:val="22"/>
          <w:szCs w:val="22"/>
          <w:shd w:val="clear" w:color="auto" w:fill="FFFFFF"/>
          <w:lang w:val="en-CA"/>
        </w:rPr>
        <w:t>, 391-403.</w:t>
      </w:r>
    </w:p>
    <w:p w14:paraId="4C98CB10" w14:textId="77777777" w:rsidR="00121E13" w:rsidRPr="006E18BA" w:rsidRDefault="00121E13" w:rsidP="008C7E2A">
      <w:pPr>
        <w:pStyle w:val="EndnoteText"/>
        <w:rPr>
          <w:sz w:val="22"/>
          <w:szCs w:val="22"/>
          <w:lang w:val="en-US"/>
        </w:rPr>
      </w:pPr>
    </w:p>
  </w:endnote>
  <w:endnote w:id="69">
    <w:p w14:paraId="1CB30D6A" w14:textId="1E6E70B3" w:rsidR="00121E13" w:rsidRPr="006E18BA" w:rsidRDefault="00121E13" w:rsidP="008C7E2A">
      <w:pPr>
        <w:pStyle w:val="EndnoteText"/>
        <w:rPr>
          <w:rFonts w:cs="Arial"/>
          <w:sz w:val="22"/>
          <w:szCs w:val="22"/>
          <w:shd w:val="clear" w:color="auto" w:fill="FFFFFF"/>
        </w:rPr>
      </w:pPr>
      <w:r>
        <w:rPr>
          <w:rStyle w:val="EndnoteReference"/>
          <w:sz w:val="22"/>
          <w:szCs w:val="22"/>
        </w:rPr>
        <w:endnoteRef/>
      </w:r>
      <w:r w:rsidRPr="00FC15D4">
        <w:rPr>
          <w:sz w:val="22"/>
          <w:szCs w:val="22"/>
          <w:lang w:val="en-CA"/>
        </w:rPr>
        <w:t xml:space="preserve"> </w:t>
      </w:r>
      <w:r w:rsidRPr="00FC15D4">
        <w:rPr>
          <w:sz w:val="22"/>
          <w:szCs w:val="22"/>
          <w:shd w:val="clear" w:color="auto" w:fill="FFFFFF"/>
          <w:lang w:val="en-CA"/>
        </w:rPr>
        <w:t>Lee, S. et B. Bozeman (2005). « The impact of research collaboration on scientific productivity ».</w:t>
      </w:r>
      <w:r w:rsidRPr="00FC15D4">
        <w:rPr>
          <w:rStyle w:val="apple-converted-space"/>
          <w:sz w:val="22"/>
          <w:szCs w:val="22"/>
          <w:shd w:val="clear" w:color="auto" w:fill="FFFFFF"/>
          <w:lang w:val="en-CA"/>
        </w:rPr>
        <w:t xml:space="preserve"> </w:t>
      </w:r>
      <w:r>
        <w:rPr>
          <w:i/>
          <w:iCs/>
          <w:sz w:val="22"/>
          <w:szCs w:val="22"/>
          <w:shd w:val="clear" w:color="auto" w:fill="FFFFFF"/>
        </w:rPr>
        <w:t>Social studies of science</w:t>
      </w:r>
      <w:r>
        <w:rPr>
          <w:sz w:val="22"/>
          <w:szCs w:val="22"/>
          <w:shd w:val="clear" w:color="auto" w:fill="FFFFFF"/>
        </w:rPr>
        <w:t>,</w:t>
      </w:r>
      <w:r>
        <w:rPr>
          <w:rStyle w:val="apple-converted-space"/>
          <w:sz w:val="22"/>
          <w:szCs w:val="22"/>
          <w:shd w:val="clear" w:color="auto" w:fill="FFFFFF"/>
        </w:rPr>
        <w:t xml:space="preserve"> </w:t>
      </w:r>
      <w:r>
        <w:rPr>
          <w:i/>
          <w:iCs/>
          <w:sz w:val="22"/>
          <w:szCs w:val="22"/>
          <w:shd w:val="clear" w:color="auto" w:fill="FFFFFF"/>
        </w:rPr>
        <w:t>35</w:t>
      </w:r>
      <w:r>
        <w:rPr>
          <w:sz w:val="22"/>
          <w:szCs w:val="22"/>
          <w:shd w:val="clear" w:color="auto" w:fill="FFFFFF"/>
        </w:rPr>
        <w:t>(5), 673-702.</w:t>
      </w:r>
    </w:p>
    <w:p w14:paraId="1C1664DD" w14:textId="77777777" w:rsidR="00121E13" w:rsidRPr="00FC15D4" w:rsidRDefault="00121E13" w:rsidP="008C7E2A">
      <w:pPr>
        <w:pStyle w:val="EndnoteText"/>
        <w:rPr>
          <w:rFonts w:cs="Arial"/>
          <w:color w:val="222222"/>
          <w:sz w:val="22"/>
          <w:szCs w:val="22"/>
          <w:shd w:val="clear" w:color="auto" w:fill="FFFFFF"/>
        </w:rPr>
      </w:pPr>
    </w:p>
    <w:p w14:paraId="563E5703" w14:textId="77777777" w:rsidR="00121E13" w:rsidRPr="006E18BA" w:rsidRDefault="00121E13" w:rsidP="008C7E2A">
      <w:pPr>
        <w:pStyle w:val="EndnoteText"/>
        <w:rPr>
          <w:b/>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TRVJW+Sabon-Roman">
    <w:altName w:val="Sabo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brsgtAdvTT86d47313">
    <w:panose1 w:val="00000000000000000000"/>
    <w:charset w:val="00"/>
    <w:family w:val="roman"/>
    <w:notTrueType/>
    <w:pitch w:val="default"/>
    <w:sig w:usb0="00000003" w:usb1="00000000" w:usb2="00000000" w:usb3="00000000" w:csb0="00000001" w:csb1="00000000"/>
  </w:font>
  <w:font w:name="AdvPED1282">
    <w:panose1 w:val="00000000000000000000"/>
    <w:charset w:val="00"/>
    <w:family w:val="roman"/>
    <w:notTrueType/>
    <w:pitch w:val="default"/>
    <w:sig w:usb0="00000003" w:usb1="00000000" w:usb2="00000000" w:usb3="00000000" w:csb0="00000001" w:csb1="00000000"/>
  </w:font>
  <w:font w:name="AdvP49811">
    <w:altName w:val="Calibri"/>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00"/>
    <w:family w:val="auto"/>
    <w:notTrueType/>
    <w:pitch w:val="default"/>
    <w:sig w:usb0="00000000" w:usb1="08070000" w:usb2="00000010" w:usb3="00000000" w:csb0="00020001" w:csb1="00000000"/>
  </w:font>
  <w:font w:name="CswkjqAdvTTb5929f4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53000"/>
      <w:docPartObj>
        <w:docPartGallery w:val="Page Numbers (Bottom of Page)"/>
        <w:docPartUnique/>
      </w:docPartObj>
    </w:sdtPr>
    <w:sdtEndPr/>
    <w:sdtContent>
      <w:p w14:paraId="29D1CD63" w14:textId="0DDC49BB" w:rsidR="00121E13" w:rsidRDefault="00121E13" w:rsidP="004222B6">
        <w:pPr>
          <w:pStyle w:val="Footer"/>
          <w:ind w:left="3960" w:firstLine="4536"/>
          <w:jc w:val="center"/>
        </w:pPr>
        <w:r>
          <w:fldChar w:fldCharType="begin"/>
        </w:r>
        <w:r>
          <w:instrText xml:space="preserve"> PAGE   \* MERGEFORMAT </w:instrText>
        </w:r>
        <w:r>
          <w:fldChar w:fldCharType="separate"/>
        </w:r>
        <w:r w:rsidR="00941556">
          <w:rPr>
            <w:noProof/>
          </w:rPr>
          <w:t>1</w:t>
        </w:r>
        <w:r>
          <w:fldChar w:fldCharType="end"/>
        </w:r>
      </w:p>
    </w:sdtContent>
  </w:sdt>
  <w:p w14:paraId="70C1164B" w14:textId="77777777" w:rsidR="00121E13" w:rsidRDefault="00121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F23B2" w14:textId="77777777" w:rsidR="00941556" w:rsidRDefault="00941556" w:rsidP="008C7E2A">
      <w:pPr>
        <w:spacing w:after="0" w:line="240" w:lineRule="auto"/>
      </w:pPr>
      <w:r>
        <w:separator/>
      </w:r>
    </w:p>
  </w:footnote>
  <w:footnote w:type="continuationSeparator" w:id="0">
    <w:p w14:paraId="6F0323F7" w14:textId="77777777" w:rsidR="00941556" w:rsidRDefault="00941556" w:rsidP="008C7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9426B"/>
    <w:multiLevelType w:val="hybridMultilevel"/>
    <w:tmpl w:val="8676C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7E4241"/>
    <w:multiLevelType w:val="hybridMultilevel"/>
    <w:tmpl w:val="E0363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656508"/>
    <w:multiLevelType w:val="hybridMultilevel"/>
    <w:tmpl w:val="61962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2A"/>
    <w:rsid w:val="000066E5"/>
    <w:rsid w:val="00057F7C"/>
    <w:rsid w:val="00071827"/>
    <w:rsid w:val="0007520D"/>
    <w:rsid w:val="00082AD2"/>
    <w:rsid w:val="000957DF"/>
    <w:rsid w:val="000A01AE"/>
    <w:rsid w:val="000A43FE"/>
    <w:rsid w:val="000A7801"/>
    <w:rsid w:val="000B1406"/>
    <w:rsid w:val="000B4DBB"/>
    <w:rsid w:val="000C15E2"/>
    <w:rsid w:val="000E386D"/>
    <w:rsid w:val="000E6B8B"/>
    <w:rsid w:val="000F7FC1"/>
    <w:rsid w:val="00113587"/>
    <w:rsid w:val="00113D79"/>
    <w:rsid w:val="001162E3"/>
    <w:rsid w:val="00121E13"/>
    <w:rsid w:val="00136AD0"/>
    <w:rsid w:val="00155E7B"/>
    <w:rsid w:val="00161ADE"/>
    <w:rsid w:val="0017360E"/>
    <w:rsid w:val="00183558"/>
    <w:rsid w:val="0018658B"/>
    <w:rsid w:val="0019477C"/>
    <w:rsid w:val="001A40F1"/>
    <w:rsid w:val="001C7619"/>
    <w:rsid w:val="00212282"/>
    <w:rsid w:val="00217164"/>
    <w:rsid w:val="00236D9F"/>
    <w:rsid w:val="00237987"/>
    <w:rsid w:val="002513E8"/>
    <w:rsid w:val="0026756D"/>
    <w:rsid w:val="00274CEF"/>
    <w:rsid w:val="00275503"/>
    <w:rsid w:val="00285526"/>
    <w:rsid w:val="00287252"/>
    <w:rsid w:val="002B34F9"/>
    <w:rsid w:val="002C64AC"/>
    <w:rsid w:val="002F7453"/>
    <w:rsid w:val="002F763D"/>
    <w:rsid w:val="00314C49"/>
    <w:rsid w:val="003275A7"/>
    <w:rsid w:val="00343163"/>
    <w:rsid w:val="00347697"/>
    <w:rsid w:val="0035241C"/>
    <w:rsid w:val="00353224"/>
    <w:rsid w:val="00362675"/>
    <w:rsid w:val="0036726A"/>
    <w:rsid w:val="0039578A"/>
    <w:rsid w:val="00403EF7"/>
    <w:rsid w:val="00416C88"/>
    <w:rsid w:val="0042153C"/>
    <w:rsid w:val="004222B6"/>
    <w:rsid w:val="00440E22"/>
    <w:rsid w:val="004447B6"/>
    <w:rsid w:val="00444A10"/>
    <w:rsid w:val="004529A4"/>
    <w:rsid w:val="0046321F"/>
    <w:rsid w:val="0047340A"/>
    <w:rsid w:val="00490F42"/>
    <w:rsid w:val="00495A8C"/>
    <w:rsid w:val="00497BF6"/>
    <w:rsid w:val="004A3935"/>
    <w:rsid w:val="004A512E"/>
    <w:rsid w:val="004C1853"/>
    <w:rsid w:val="004C452F"/>
    <w:rsid w:val="004D7FB0"/>
    <w:rsid w:val="004F7F27"/>
    <w:rsid w:val="0051438A"/>
    <w:rsid w:val="00536F0C"/>
    <w:rsid w:val="005500C2"/>
    <w:rsid w:val="005514EC"/>
    <w:rsid w:val="005559A1"/>
    <w:rsid w:val="00560B7C"/>
    <w:rsid w:val="00564359"/>
    <w:rsid w:val="00565AA9"/>
    <w:rsid w:val="00571DFB"/>
    <w:rsid w:val="00571FCC"/>
    <w:rsid w:val="0057506C"/>
    <w:rsid w:val="005827F1"/>
    <w:rsid w:val="0058514C"/>
    <w:rsid w:val="00586B52"/>
    <w:rsid w:val="00595E57"/>
    <w:rsid w:val="005A4435"/>
    <w:rsid w:val="005C39EA"/>
    <w:rsid w:val="005C6832"/>
    <w:rsid w:val="005E3FA2"/>
    <w:rsid w:val="006222F3"/>
    <w:rsid w:val="00635A2B"/>
    <w:rsid w:val="00661FC3"/>
    <w:rsid w:val="00670856"/>
    <w:rsid w:val="006767B9"/>
    <w:rsid w:val="006E18BA"/>
    <w:rsid w:val="006E2515"/>
    <w:rsid w:val="006E40D2"/>
    <w:rsid w:val="006F424F"/>
    <w:rsid w:val="006F5047"/>
    <w:rsid w:val="00761B34"/>
    <w:rsid w:val="0077346D"/>
    <w:rsid w:val="0078716D"/>
    <w:rsid w:val="007931B5"/>
    <w:rsid w:val="007A08E5"/>
    <w:rsid w:val="007A6BD8"/>
    <w:rsid w:val="007B0A36"/>
    <w:rsid w:val="007B6A2F"/>
    <w:rsid w:val="007C1245"/>
    <w:rsid w:val="007E16F9"/>
    <w:rsid w:val="007E2AEB"/>
    <w:rsid w:val="007F0B0D"/>
    <w:rsid w:val="007F762E"/>
    <w:rsid w:val="00820A3D"/>
    <w:rsid w:val="00824392"/>
    <w:rsid w:val="00837BE1"/>
    <w:rsid w:val="008625DC"/>
    <w:rsid w:val="00873EA2"/>
    <w:rsid w:val="00884215"/>
    <w:rsid w:val="008A4629"/>
    <w:rsid w:val="008C5443"/>
    <w:rsid w:val="008C7E2A"/>
    <w:rsid w:val="008D0867"/>
    <w:rsid w:val="008E7F14"/>
    <w:rsid w:val="008F1D2F"/>
    <w:rsid w:val="00941556"/>
    <w:rsid w:val="00943833"/>
    <w:rsid w:val="00950A81"/>
    <w:rsid w:val="009559BD"/>
    <w:rsid w:val="00961BAB"/>
    <w:rsid w:val="00962635"/>
    <w:rsid w:val="009632AD"/>
    <w:rsid w:val="00965CB5"/>
    <w:rsid w:val="00996F9F"/>
    <w:rsid w:val="009C0007"/>
    <w:rsid w:val="009C05FB"/>
    <w:rsid w:val="009C2F7E"/>
    <w:rsid w:val="009D24FE"/>
    <w:rsid w:val="009D6F09"/>
    <w:rsid w:val="009E18E3"/>
    <w:rsid w:val="009F10B5"/>
    <w:rsid w:val="009F33F0"/>
    <w:rsid w:val="009F5C72"/>
    <w:rsid w:val="00A00E64"/>
    <w:rsid w:val="00A013EB"/>
    <w:rsid w:val="00A10F2E"/>
    <w:rsid w:val="00A11368"/>
    <w:rsid w:val="00A21A1B"/>
    <w:rsid w:val="00A2443D"/>
    <w:rsid w:val="00A33C2E"/>
    <w:rsid w:val="00A36CB0"/>
    <w:rsid w:val="00A41DDD"/>
    <w:rsid w:val="00A522A4"/>
    <w:rsid w:val="00A7708B"/>
    <w:rsid w:val="00A81688"/>
    <w:rsid w:val="00A870CC"/>
    <w:rsid w:val="00A927B0"/>
    <w:rsid w:val="00A9643F"/>
    <w:rsid w:val="00AA2827"/>
    <w:rsid w:val="00AC7742"/>
    <w:rsid w:val="00AD13BF"/>
    <w:rsid w:val="00AD3716"/>
    <w:rsid w:val="00AD7B87"/>
    <w:rsid w:val="00AE24AF"/>
    <w:rsid w:val="00AE3D25"/>
    <w:rsid w:val="00B045E0"/>
    <w:rsid w:val="00B05B4C"/>
    <w:rsid w:val="00B41EA6"/>
    <w:rsid w:val="00B453B2"/>
    <w:rsid w:val="00B532A2"/>
    <w:rsid w:val="00B5566E"/>
    <w:rsid w:val="00B7544D"/>
    <w:rsid w:val="00B90835"/>
    <w:rsid w:val="00BA6FFB"/>
    <w:rsid w:val="00BB50CB"/>
    <w:rsid w:val="00BC27E7"/>
    <w:rsid w:val="00BD1030"/>
    <w:rsid w:val="00BE1D7A"/>
    <w:rsid w:val="00BF76C7"/>
    <w:rsid w:val="00C13639"/>
    <w:rsid w:val="00C219D7"/>
    <w:rsid w:val="00C31174"/>
    <w:rsid w:val="00C51CC6"/>
    <w:rsid w:val="00C923CD"/>
    <w:rsid w:val="00CA22F4"/>
    <w:rsid w:val="00CC6AE1"/>
    <w:rsid w:val="00CD3EDB"/>
    <w:rsid w:val="00CF09E0"/>
    <w:rsid w:val="00CF225B"/>
    <w:rsid w:val="00CF2EE7"/>
    <w:rsid w:val="00D029EC"/>
    <w:rsid w:val="00D23ADE"/>
    <w:rsid w:val="00D35C80"/>
    <w:rsid w:val="00D47814"/>
    <w:rsid w:val="00D53BDE"/>
    <w:rsid w:val="00D57A46"/>
    <w:rsid w:val="00D60103"/>
    <w:rsid w:val="00D829A0"/>
    <w:rsid w:val="00D91BC7"/>
    <w:rsid w:val="00D97942"/>
    <w:rsid w:val="00DB7495"/>
    <w:rsid w:val="00DC7A05"/>
    <w:rsid w:val="00DE0DC7"/>
    <w:rsid w:val="00DE43B0"/>
    <w:rsid w:val="00DF0186"/>
    <w:rsid w:val="00DF2C86"/>
    <w:rsid w:val="00E2322D"/>
    <w:rsid w:val="00E27DD8"/>
    <w:rsid w:val="00E550DD"/>
    <w:rsid w:val="00E570C6"/>
    <w:rsid w:val="00E73D93"/>
    <w:rsid w:val="00E92E57"/>
    <w:rsid w:val="00E96D4D"/>
    <w:rsid w:val="00EA059A"/>
    <w:rsid w:val="00EB1C88"/>
    <w:rsid w:val="00EB256A"/>
    <w:rsid w:val="00ED2C20"/>
    <w:rsid w:val="00EE35A2"/>
    <w:rsid w:val="00EF69A4"/>
    <w:rsid w:val="00F03037"/>
    <w:rsid w:val="00F11836"/>
    <w:rsid w:val="00F27CCB"/>
    <w:rsid w:val="00F37343"/>
    <w:rsid w:val="00F6365F"/>
    <w:rsid w:val="00F8623A"/>
    <w:rsid w:val="00F863CE"/>
    <w:rsid w:val="00FB1E25"/>
    <w:rsid w:val="00FC15D4"/>
    <w:rsid w:val="00FC3256"/>
    <w:rsid w:val="00FD16C8"/>
    <w:rsid w:val="00FD3167"/>
    <w:rsid w:val="00FD78C1"/>
    <w:rsid w:val="00FF04C7"/>
    <w:rsid w:val="00FF6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C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2A"/>
  </w:style>
  <w:style w:type="paragraph" w:styleId="Heading1">
    <w:name w:val="heading 1"/>
    <w:basedOn w:val="Normal"/>
    <w:link w:val="Heading1Char"/>
    <w:uiPriority w:val="9"/>
    <w:qFormat/>
    <w:rsid w:val="008C7E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3">
    <w:name w:val="heading 3"/>
    <w:basedOn w:val="Normal"/>
    <w:next w:val="Normal"/>
    <w:link w:val="Heading3Char"/>
    <w:uiPriority w:val="9"/>
    <w:semiHidden/>
    <w:unhideWhenUsed/>
    <w:qFormat/>
    <w:rsid w:val="00121E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E2A"/>
    <w:rPr>
      <w:rFonts w:ascii="Times New Roman" w:eastAsia="Times New Roman" w:hAnsi="Times New Roman" w:cs="Times New Roman"/>
      <w:b/>
      <w:bCs/>
      <w:kern w:val="36"/>
      <w:sz w:val="48"/>
      <w:szCs w:val="48"/>
      <w:lang w:eastAsia="fr-FR"/>
    </w:rPr>
  </w:style>
  <w:style w:type="character" w:styleId="CommentReference">
    <w:name w:val="annotation reference"/>
    <w:basedOn w:val="DefaultParagraphFont"/>
    <w:uiPriority w:val="99"/>
    <w:semiHidden/>
    <w:unhideWhenUsed/>
    <w:rsid w:val="008C7E2A"/>
    <w:rPr>
      <w:sz w:val="18"/>
      <w:szCs w:val="18"/>
    </w:rPr>
  </w:style>
  <w:style w:type="paragraph" w:styleId="CommentText">
    <w:name w:val="annotation text"/>
    <w:basedOn w:val="Normal"/>
    <w:link w:val="CommentTextChar"/>
    <w:uiPriority w:val="99"/>
    <w:semiHidden/>
    <w:unhideWhenUsed/>
    <w:rsid w:val="008C7E2A"/>
    <w:pPr>
      <w:spacing w:line="240" w:lineRule="auto"/>
    </w:pPr>
    <w:rPr>
      <w:sz w:val="24"/>
      <w:szCs w:val="24"/>
    </w:rPr>
  </w:style>
  <w:style w:type="character" w:customStyle="1" w:styleId="CommentTextChar">
    <w:name w:val="Comment Text Char"/>
    <w:basedOn w:val="DefaultParagraphFont"/>
    <w:link w:val="CommentText"/>
    <w:uiPriority w:val="99"/>
    <w:semiHidden/>
    <w:rsid w:val="008C7E2A"/>
    <w:rPr>
      <w:sz w:val="24"/>
      <w:szCs w:val="24"/>
    </w:rPr>
  </w:style>
  <w:style w:type="paragraph" w:styleId="FootnoteText">
    <w:name w:val="footnote text"/>
    <w:basedOn w:val="Normal"/>
    <w:link w:val="FootnoteTextChar"/>
    <w:uiPriority w:val="99"/>
    <w:unhideWhenUsed/>
    <w:rsid w:val="008C7E2A"/>
    <w:pPr>
      <w:spacing w:after="0" w:line="240" w:lineRule="auto"/>
    </w:pPr>
    <w:rPr>
      <w:sz w:val="20"/>
      <w:szCs w:val="20"/>
    </w:rPr>
  </w:style>
  <w:style w:type="character" w:customStyle="1" w:styleId="FootnoteTextChar">
    <w:name w:val="Footnote Text Char"/>
    <w:basedOn w:val="DefaultParagraphFont"/>
    <w:link w:val="FootnoteText"/>
    <w:uiPriority w:val="99"/>
    <w:rsid w:val="008C7E2A"/>
    <w:rPr>
      <w:sz w:val="20"/>
      <w:szCs w:val="20"/>
    </w:rPr>
  </w:style>
  <w:style w:type="character" w:styleId="FootnoteReference">
    <w:name w:val="footnote reference"/>
    <w:basedOn w:val="DefaultParagraphFont"/>
    <w:uiPriority w:val="99"/>
    <w:unhideWhenUsed/>
    <w:rsid w:val="008C7E2A"/>
    <w:rPr>
      <w:vertAlign w:val="superscript"/>
    </w:rPr>
  </w:style>
  <w:style w:type="character" w:customStyle="1" w:styleId="apple-converted-space">
    <w:name w:val="apple-converted-space"/>
    <w:basedOn w:val="DefaultParagraphFont"/>
    <w:rsid w:val="008C7E2A"/>
  </w:style>
  <w:style w:type="paragraph" w:styleId="Footer">
    <w:name w:val="footer"/>
    <w:basedOn w:val="Normal"/>
    <w:link w:val="FooterChar"/>
    <w:uiPriority w:val="99"/>
    <w:unhideWhenUsed/>
    <w:rsid w:val="008C7E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7E2A"/>
  </w:style>
  <w:style w:type="paragraph" w:styleId="EndnoteText">
    <w:name w:val="endnote text"/>
    <w:basedOn w:val="Normal"/>
    <w:link w:val="EndnoteTextChar"/>
    <w:uiPriority w:val="99"/>
    <w:unhideWhenUsed/>
    <w:rsid w:val="008C7E2A"/>
    <w:pPr>
      <w:spacing w:after="0" w:line="240" w:lineRule="auto"/>
    </w:pPr>
    <w:rPr>
      <w:sz w:val="20"/>
      <w:szCs w:val="20"/>
    </w:rPr>
  </w:style>
  <w:style w:type="character" w:customStyle="1" w:styleId="EndnoteTextChar">
    <w:name w:val="Endnote Text Char"/>
    <w:basedOn w:val="DefaultParagraphFont"/>
    <w:link w:val="EndnoteText"/>
    <w:uiPriority w:val="99"/>
    <w:rsid w:val="008C7E2A"/>
    <w:rPr>
      <w:sz w:val="20"/>
      <w:szCs w:val="20"/>
    </w:rPr>
  </w:style>
  <w:style w:type="character" w:styleId="EndnoteReference">
    <w:name w:val="endnote reference"/>
    <w:basedOn w:val="DefaultParagraphFont"/>
    <w:uiPriority w:val="99"/>
    <w:unhideWhenUsed/>
    <w:rsid w:val="008C7E2A"/>
    <w:rPr>
      <w:vertAlign w:val="superscript"/>
    </w:rPr>
  </w:style>
  <w:style w:type="character" w:styleId="Hyperlink">
    <w:name w:val="Hyperlink"/>
    <w:basedOn w:val="DefaultParagraphFont"/>
    <w:uiPriority w:val="99"/>
    <w:unhideWhenUsed/>
    <w:rsid w:val="008C7E2A"/>
    <w:rPr>
      <w:color w:val="0000FF" w:themeColor="hyperlink"/>
      <w:u w:val="single"/>
    </w:rPr>
  </w:style>
  <w:style w:type="table" w:customStyle="1" w:styleId="TableGridLight1">
    <w:name w:val="Table Grid Light1"/>
    <w:basedOn w:val="TableNormal"/>
    <w:uiPriority w:val="40"/>
    <w:rsid w:val="008C7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8C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7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E2A"/>
    <w:rPr>
      <w:rFonts w:ascii="Tahoma" w:hAnsi="Tahoma" w:cs="Tahoma"/>
      <w:sz w:val="16"/>
      <w:szCs w:val="16"/>
    </w:rPr>
  </w:style>
  <w:style w:type="paragraph" w:styleId="Header">
    <w:name w:val="header"/>
    <w:basedOn w:val="Normal"/>
    <w:link w:val="HeaderChar"/>
    <w:uiPriority w:val="99"/>
    <w:unhideWhenUsed/>
    <w:rsid w:val="008C7E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7E2A"/>
  </w:style>
  <w:style w:type="paragraph" w:styleId="CommentSubject">
    <w:name w:val="annotation subject"/>
    <w:basedOn w:val="CommentText"/>
    <w:next w:val="CommentText"/>
    <w:link w:val="CommentSubjectChar"/>
    <w:uiPriority w:val="99"/>
    <w:semiHidden/>
    <w:unhideWhenUsed/>
    <w:rsid w:val="009F10B5"/>
    <w:rPr>
      <w:b/>
      <w:bCs/>
      <w:sz w:val="20"/>
      <w:szCs w:val="20"/>
    </w:rPr>
  </w:style>
  <w:style w:type="character" w:customStyle="1" w:styleId="CommentSubjectChar">
    <w:name w:val="Comment Subject Char"/>
    <w:basedOn w:val="CommentTextChar"/>
    <w:link w:val="CommentSubject"/>
    <w:uiPriority w:val="99"/>
    <w:semiHidden/>
    <w:rsid w:val="009F10B5"/>
    <w:rPr>
      <w:b/>
      <w:bCs/>
      <w:sz w:val="20"/>
      <w:szCs w:val="20"/>
    </w:rPr>
  </w:style>
  <w:style w:type="character" w:styleId="LineNumber">
    <w:name w:val="line number"/>
    <w:basedOn w:val="DefaultParagraphFont"/>
    <w:uiPriority w:val="99"/>
    <w:semiHidden/>
    <w:unhideWhenUsed/>
    <w:rsid w:val="000957DF"/>
  </w:style>
  <w:style w:type="paragraph" w:styleId="Revision">
    <w:name w:val="Revision"/>
    <w:hidden/>
    <w:uiPriority w:val="99"/>
    <w:semiHidden/>
    <w:rsid w:val="00F6365F"/>
    <w:pPr>
      <w:spacing w:after="0" w:line="240" w:lineRule="auto"/>
    </w:pPr>
  </w:style>
  <w:style w:type="paragraph" w:styleId="DocumentMap">
    <w:name w:val="Document Map"/>
    <w:basedOn w:val="Normal"/>
    <w:link w:val="DocumentMapChar"/>
    <w:uiPriority w:val="99"/>
    <w:semiHidden/>
    <w:unhideWhenUsed/>
    <w:rsid w:val="0007520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7520D"/>
    <w:rPr>
      <w:rFonts w:ascii="Times New Roman" w:hAnsi="Times New Roman" w:cs="Times New Roman"/>
      <w:sz w:val="24"/>
      <w:szCs w:val="24"/>
    </w:rPr>
  </w:style>
  <w:style w:type="paragraph" w:styleId="ListParagraph">
    <w:name w:val="List Paragraph"/>
    <w:basedOn w:val="Normal"/>
    <w:uiPriority w:val="34"/>
    <w:qFormat/>
    <w:rsid w:val="000B1406"/>
    <w:pPr>
      <w:ind w:left="720"/>
      <w:contextualSpacing/>
    </w:pPr>
  </w:style>
  <w:style w:type="character" w:customStyle="1" w:styleId="Heading3Char">
    <w:name w:val="Heading 3 Char"/>
    <w:basedOn w:val="DefaultParagraphFont"/>
    <w:link w:val="Heading3"/>
    <w:uiPriority w:val="9"/>
    <w:semiHidden/>
    <w:rsid w:val="00121E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847335">
      <w:bodyDiv w:val="1"/>
      <w:marLeft w:val="0"/>
      <w:marRight w:val="0"/>
      <w:marTop w:val="0"/>
      <w:marBottom w:val="0"/>
      <w:divBdr>
        <w:top w:val="none" w:sz="0" w:space="0" w:color="auto"/>
        <w:left w:val="none" w:sz="0" w:space="0" w:color="auto"/>
        <w:bottom w:val="none" w:sz="0" w:space="0" w:color="auto"/>
        <w:right w:val="none" w:sz="0" w:space="0" w:color="auto"/>
      </w:divBdr>
    </w:div>
    <w:div w:id="1417705637">
      <w:bodyDiv w:val="1"/>
      <w:marLeft w:val="0"/>
      <w:marRight w:val="0"/>
      <w:marTop w:val="0"/>
      <w:marBottom w:val="0"/>
      <w:divBdr>
        <w:top w:val="none" w:sz="0" w:space="0" w:color="auto"/>
        <w:left w:val="none" w:sz="0" w:space="0" w:color="auto"/>
        <w:bottom w:val="none" w:sz="0" w:space="0" w:color="auto"/>
        <w:right w:val="none" w:sz="0" w:space="0" w:color="auto"/>
      </w:divBdr>
    </w:div>
    <w:div w:id="20455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undp.org/content/dam/undp/library/capacity-development/french/PN%20Capacity%20Development_FR_final.pdf" TargetMode="External"/><Relationship Id="rId2" Type="http://schemas.openxmlformats.org/officeDocument/2006/relationships/hyperlink" Target="http://data.worldbank.org/about/country-and-lending-groups" TargetMode="External"/><Relationship Id="rId1" Type="http://schemas.openxmlformats.org/officeDocument/2006/relationships/hyperlink" Target="http://www.who.int/alliance-hpsr/about/hpsr/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d326a63-e8c7-43bb-9a06-0a8e285f0039" ContentTypeId="0x0101005E6801225366EF4084288B20FCC1D63302" PreviousValue="false"/>
</file>

<file path=customXml/item4.xml><?xml version="1.0" encoding="utf-8"?>
<ct:contentTypeSchema xmlns:ct="http://schemas.microsoft.com/office/2006/metadata/contentType" xmlns:ma="http://schemas.microsoft.com/office/2006/metadata/properties/metaAttributes" ct:_="" ma:_="" ma:contentTypeName="Translation Services Document" ma:contentTypeID="0x0101005E6801225366EF4084288B20FCC1D633020060C2EC393954904E8EEA8C9A3EE68CC6" ma:contentTypeVersion="176" ma:contentTypeDescription="" ma:contentTypeScope="" ma:versionID="60b7aea1962807d683baa3f3a019286d">
  <xsd:schema xmlns:xsd="http://www.w3.org/2001/XMLSchema" xmlns:xs="http://www.w3.org/2001/XMLSchema" xmlns:p="http://schemas.microsoft.com/office/2006/metadata/properties" xmlns:ns1="cd7d28e7-c92e-4b40-a495-8445e851351e" targetNamespace="http://schemas.microsoft.com/office/2006/metadata/properties" ma:root="true" ma:fieldsID="dae8884d6863474779ec4ae47ed88471" ns1:_="">
    <xsd:import namespace="cd7d28e7-c92e-4b40-a495-8445e851351e"/>
    <xsd:element name="properties">
      <xsd:complexType>
        <xsd:sequence>
          <xsd:element name="documentManagement">
            <xsd:complexType>
              <xsd:all>
                <xsd:element ref="ns1:Task_x0020_By" minOccurs="0"/>
                <xsd:element ref="ns1:Document_x0020_Status" minOccurs="0"/>
                <xsd:element ref="ns1:Financial_x0020_Year" minOccurs="0"/>
                <xsd:element ref="ns1:Client_x0020_Submitted_x0020_Date" minOccurs="0"/>
                <xsd:element ref="ns1:Date_x0020_Processed" minOccurs="0"/>
                <xsd:element ref="ns1:Task_x0020_Submitted_x0020_Date" minOccurs="0"/>
                <xsd:element ref="ns1:Required_x0020_Date" minOccurs="0"/>
                <xsd:element ref="ns1:Task_x0020_Completed" minOccurs="0"/>
                <xsd:element ref="ns1:Returned_x0020_to_x0020_Client" minOccurs="0"/>
                <xsd:element ref="ns1:Reference_x0020_Number" minOccurs="0"/>
                <xsd:element ref="ns1:Request" minOccurs="0"/>
                <xsd:element ref="ns1:Audience_x0020_Rating" minOccurs="0"/>
                <xsd:element ref="ns1:Source_x0020_Language" minOccurs="0"/>
                <xsd:element ref="ns1:Target_x0020_Language" minOccurs="0"/>
                <xsd:element ref="ns1:Service1" minOccurs="0"/>
                <xsd:element ref="ns1:Original_x0020_Number_x0020_of_x0020_Words" minOccurs="0"/>
                <xsd:element ref="ns1:_x0023__x0020_MultiTrans_x0020_Words" minOccurs="0"/>
                <xsd:element ref="ns1:Client_x0020_Name" minOccurs="0"/>
                <xsd:element ref="ns1:Special_x0020_Instructions" minOccurs="0"/>
                <xsd:element ref="ns1:Coding" minOccurs="0"/>
                <xsd:element ref="ns1:Cost" minOccurs="0"/>
                <xsd:element ref="ns1:Cost_x0020_HST" minOccurs="0"/>
                <xsd:element ref="ns1:_x0023__x0020_of_x0020_Hours" minOccurs="0"/>
                <xsd:element ref="ns1:Reference_x0020_File_x0020_1" minOccurs="0"/>
                <xsd:element ref="ns1:Reference_x0020_File_x0020_2" minOccurs="0"/>
                <xsd:element ref="ns1:Reference_x0020_File_x0020_3" minOccurs="0"/>
                <xsd:element ref="ns1:Reference_x0020_File_x0020_4" minOccurs="0"/>
                <xsd:element ref="ns1:Reference_x0020_File_x0020_5" minOccurs="0"/>
                <xsd:element ref="ns1:Accepted_x0020_Status" minOccurs="0"/>
                <xsd:element ref="ns1:_dlc_DocId" minOccurs="0"/>
                <xsd:element ref="ns1:_dlc_DocIdPersistId" minOccurs="0"/>
                <xsd:element ref="ns1:TaxKeywordTaxHTField" minOccurs="0"/>
                <xsd:element ref="ns1:p8db240d38af4d19914800eaec5ab9d7" minOccurs="0"/>
                <xsd:element ref="ns1:TaxCatchAll" minOccurs="0"/>
                <xsd:element ref="ns1:TaxCatchAllLabel" minOccurs="0"/>
                <xsd:element ref="ns1:_dlc_DocIdUrl" minOccurs="0"/>
                <xsd:element ref="ns1:ActivityTaxHTField0" minOccurs="0"/>
                <xsd:element ref="ns1:Email_x0020_Flag" minOccurs="0"/>
                <xsd:element ref="ns1:a8447493819c43edbc0322b566c5e6d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28e7-c92e-4b40-a495-8445e851351e" elementFormDefault="qualified">
    <xsd:import namespace="http://schemas.microsoft.com/office/2006/documentManagement/types"/>
    <xsd:import namespace="http://schemas.microsoft.com/office/infopath/2007/PartnerControls"/>
    <xsd:element name="Task_x0020_By" ma:index="0" nillable="true" ma:displayName="Task By" ma:format="Dropdown" ma:indexed="true" ma:internalName="Task_x0020_By">
      <xsd:simpleType>
        <xsd:restriction base="dms:Choice">
          <xsd:enumeration value="Firm"/>
          <xsd:enumeration value="Coordinator"/>
        </xsd:restriction>
      </xsd:simpleType>
    </xsd:element>
    <xsd:element name="Document_x0020_Status" ma:index="1" nillable="true" ma:displayName="Document Status" ma:default="Admin" ma:format="Dropdown" ma:indexed="true" ma:internalName="Document_x0020_Status">
      <xsd:simpleType>
        <xsd:restriction base="dms:Choice">
          <xsd:enumeration value="Admin"/>
          <xsd:enumeration value="Submitted"/>
          <xsd:enumeration value="Completed"/>
          <xsd:enumeration value="Returned to client"/>
          <xsd:enumeration value="Request Stopped"/>
        </xsd:restriction>
      </xsd:simpleType>
    </xsd:element>
    <xsd:element name="Financial_x0020_Year" ma:index="2" nillable="true" ma:displayName="Financial Year" ma:default="2018-2019" ma:format="Dropdown" ma:indexed="true" ma:internalName="Financial_x0020_Year">
      <xsd:simpleType>
        <xsd:restriction base="dms:Choice">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restriction>
      </xsd:simpleType>
    </xsd:element>
    <xsd:element name="Client_x0020_Submitted_x0020_Date" ma:index="3" nillable="true" ma:displayName="Client Submitted Date" ma:format="DateOnly" ma:indexed="true" ma:internalName="Client_x0020_Submitted_x0020_Date">
      <xsd:simpleType>
        <xsd:restriction base="dms:DateTime"/>
      </xsd:simpleType>
    </xsd:element>
    <xsd:element name="Date_x0020_Processed" ma:index="4" nillable="true" ma:displayName="Date Processed" ma:format="DateOnly" ma:indexed="true" ma:internalName="Date_x0020_Processed">
      <xsd:simpleType>
        <xsd:restriction base="dms:DateTime"/>
      </xsd:simpleType>
    </xsd:element>
    <xsd:element name="Task_x0020_Submitted_x0020_Date" ma:index="5" nillable="true" ma:displayName="Task Submitted Date" ma:format="DateOnly" ma:indexed="true" ma:internalName="Task_x0020_Submitted_x0020_Date">
      <xsd:simpleType>
        <xsd:restriction base="dms:DateTime"/>
      </xsd:simpleType>
    </xsd:element>
    <xsd:element name="Required_x0020_Date" ma:index="6" nillable="true" ma:displayName="Required Date" ma:format="DateTime" ma:indexed="true" ma:internalName="Required_x0020_Date">
      <xsd:simpleType>
        <xsd:restriction base="dms:DateTime"/>
      </xsd:simpleType>
    </xsd:element>
    <xsd:element name="Task_x0020_Completed" ma:index="7" nillable="true" ma:displayName="Task Completed" ma:description="Please enter time to reflect Eastern Standard Time (EST)" ma:format="DateTime" ma:indexed="true" ma:internalName="Task_x0020_Completed">
      <xsd:simpleType>
        <xsd:restriction base="dms:DateTime"/>
      </xsd:simpleType>
    </xsd:element>
    <xsd:element name="Returned_x0020_to_x0020_Client" ma:index="8" nillable="true" ma:displayName="Returned to Client" ma:format="DateOnly" ma:indexed="true" ma:internalName="Returned_x0020_to_x0020_Client">
      <xsd:simpleType>
        <xsd:restriction base="dms:DateTime"/>
      </xsd:simpleType>
    </xsd:element>
    <xsd:element name="Reference_x0020_Number" ma:index="15" nillable="true" ma:displayName="Reference Number" ma:indexed="true" ma:internalName="Reference_x0020_Number" ma:readOnly="false">
      <xsd:simpleType>
        <xsd:restriction base="dms:Text">
          <xsd:maxLength value="255"/>
        </xsd:restriction>
      </xsd:simpleType>
    </xsd:element>
    <xsd:element name="Request" ma:index="16" nillable="true" ma:displayName="Request" ma:format="Dropdown" ma:indexed="true" ma:internalName="Request">
      <xsd:simpleType>
        <xsd:restriction base="dms:Choice">
          <xsd:enumeration value="Regular"/>
          <xsd:enumeration value="Urgent"/>
        </xsd:restriction>
      </xsd:simpleType>
    </xsd:element>
    <xsd:element name="Audience_x0020_Rating" ma:index="17" nillable="true" ma:displayName="Audience Rating" ma:default="Regular" ma:format="Dropdown" ma:indexed="true" ma:internalName="Audience_x0020_Rating">
      <xsd:simpleType>
        <xsd:restriction base="dms:Choice">
          <xsd:enumeration value="Regular"/>
          <xsd:enumeration value="Sensitive"/>
        </xsd:restriction>
      </xsd:simpleType>
    </xsd:element>
    <xsd:element name="Source_x0020_Language" ma:index="19" nillable="true" ma:displayName="Source Language" ma:format="Dropdown" ma:indexed="true" ma:internalName="Source_x0020_Language" ma:readOnly="false">
      <xsd:simpleType>
        <xsd:restriction base="dms:Choice">
          <xsd:enumeration value="English"/>
          <xsd:enumeration value="French"/>
          <xsd:enumeration value="Spanish"/>
          <xsd:enumeration value="Other - See notes field"/>
        </xsd:restriction>
      </xsd:simpleType>
    </xsd:element>
    <xsd:element name="Target_x0020_Language" ma:index="20" nillable="true" ma:displayName="Target Language" ma:format="Dropdown" ma:indexed="true" ma:internalName="Target_x0020_Language" ma:readOnly="false">
      <xsd:simpleType>
        <xsd:restriction base="dms:Choice">
          <xsd:enumeration value="French"/>
          <xsd:enumeration value="English"/>
          <xsd:enumeration value="Spanish"/>
          <xsd:enumeration value="Other - See notes field"/>
        </xsd:restriction>
      </xsd:simpleType>
    </xsd:element>
    <xsd:element name="Service1" ma:index="21" nillable="true" ma:displayName="Service" ma:format="Dropdown" ma:indexed="true" ma:internalName="Service1">
      <xsd:simpleType>
        <xsd:restriction base="dms:Choice">
          <xsd:enumeration value="Translation"/>
          <xsd:enumeration value="Editing"/>
          <xsd:enumeration value="Proof Reading"/>
        </xsd:restriction>
      </xsd:simpleType>
    </xsd:element>
    <xsd:element name="Original_x0020_Number_x0020_of_x0020_Words" ma:index="22" nillable="true" ma:displayName="Original Number of Words" ma:internalName="Original_x0020_Number_x0020_of_x0020_Words">
      <xsd:simpleType>
        <xsd:restriction base="dms:Number"/>
      </xsd:simpleType>
    </xsd:element>
    <xsd:element name="_x0023__x0020_MultiTrans_x0020_Words" ma:index="23" nillable="true" ma:displayName="# MultiTrans Words" ma:internalName="_x0023__x0020_MultiTrans_x0020_Words">
      <xsd:simpleType>
        <xsd:restriction base="dms:Number"/>
      </xsd:simpleType>
    </xsd:element>
    <xsd:element name="Client_x0020_Name" ma:index="25" nillable="true" ma:displayName="Client Name" ma:indexed="true" ma:list="UserInfo" ma:SharePointGroup="0" ma:internalName="Client_x0020_Nam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_x0020_Instructions" ma:index="27" nillable="true" ma:displayName="Special Instructions" ma:internalName="Special_x0020_Instructions">
      <xsd:simpleType>
        <xsd:restriction base="dms:Note">
          <xsd:maxLength value="255"/>
        </xsd:restriction>
      </xsd:simpleType>
    </xsd:element>
    <xsd:element name="Coding" ma:index="28" nillable="true" ma:displayName="Coding" ma:default="42625-" ma:description="XXXXX-XXX-XXXXXX-XXX-XX" ma:internalName="Coding" ma:readOnly="false">
      <xsd:simpleType>
        <xsd:restriction base="dms:Text">
          <xsd:maxLength value="255"/>
        </xsd:restriction>
      </xsd:simpleType>
    </xsd:element>
    <xsd:element name="Cost" ma:index="30" nillable="true" ma:displayName="Cost" ma:decimals="2" ma:LCID="3084" ma:internalName="Cost">
      <xsd:simpleType>
        <xsd:restriction base="dms:Currency"/>
      </xsd:simpleType>
    </xsd:element>
    <xsd:element name="Cost_x0020_HST" ma:index="31" nillable="true" ma:displayName="Cost HST" ma:LCID="1033" ma:internalName="Cost_x0020_HST">
      <xsd:simpleType>
        <xsd:restriction base="dms:Currency"/>
      </xsd:simpleType>
    </xsd:element>
    <xsd:element name="_x0023__x0020_of_x0020_Hours" ma:index="32" nillable="true" ma:displayName="# of Hours" ma:internalName="_x0023__x0020_of_x0020_Hours">
      <xsd:simpleType>
        <xsd:restriction base="dms:Number"/>
      </xsd:simpleType>
    </xsd:element>
    <xsd:element name="Reference_x0020_File_x0020_1" ma:index="33" nillable="true" ma:displayName="Reference File 1" ma:internalName="Reference_x0020_File_x0020_1">
      <xsd:simpleType>
        <xsd:restriction base="dms:Unknown"/>
      </xsd:simpleType>
    </xsd:element>
    <xsd:element name="Reference_x0020_File_x0020_2" ma:index="34" nillable="true" ma:displayName="Reference File 2" ma:internalName="Reference_x0020_File_x0020_2">
      <xsd:simpleType>
        <xsd:restriction base="dms:Unknown"/>
      </xsd:simpleType>
    </xsd:element>
    <xsd:element name="Reference_x0020_File_x0020_3" ma:index="35" nillable="true" ma:displayName="Reference File 3" ma:internalName="Reference_x0020_File_x0020_3">
      <xsd:simpleType>
        <xsd:restriction base="dms:Unknown"/>
      </xsd:simpleType>
    </xsd:element>
    <xsd:element name="Reference_x0020_File_x0020_4" ma:index="36" nillable="true" ma:displayName="Reference File 4" ma:internalName="Reference_x0020_File_x0020_4">
      <xsd:simpleType>
        <xsd:restriction base="dms:Unknown"/>
      </xsd:simpleType>
    </xsd:element>
    <xsd:element name="Reference_x0020_File_x0020_5" ma:index="37" nillable="true" ma:displayName="Reference File 5" ma:internalName="Reference_x0020_File_x0020_5">
      <xsd:simpleType>
        <xsd:restriction base="dms:Unknown"/>
      </xsd:simpleType>
    </xsd:element>
    <xsd:element name="Accepted_x0020_Status" ma:index="38" nillable="true" ma:displayName="Accepted Status" ma:internalName="Accepted_x0020_Status">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PersistId" ma:index="42" nillable="true" ma:displayName="Persist ID" ma:description="Keep ID on add." ma:hidden="true" ma:internalName="_dlc_DocIdPersistId" ma:readOnly="true">
      <xsd:simpleType>
        <xsd:restriction base="dms:Boolean"/>
      </xsd:simpleType>
    </xsd:element>
    <xsd:element name="TaxKeywordTaxHTField" ma:index="45" nillable="true" ma:taxonomy="true" ma:internalName="TaxKeywordTaxHTField" ma:taxonomyFieldName="TaxKeyword" ma:displayName="Enterprise Keywords" ma:readOnly="false" ma:fieldId="{23f27201-bee3-471e-b2e7-b64fd8b7ca38}" ma:taxonomyMulti="true" ma:sspId="65eb484b-e582-4856-a392-b1726b750586" ma:termSetId="00000000-0000-0000-0000-000000000000" ma:anchorId="00000000-0000-0000-0000-000000000000" ma:open="true" ma:isKeyword="true">
      <xsd:complexType>
        <xsd:sequence>
          <xsd:element ref="pc:Terms" minOccurs="0" maxOccurs="1"/>
        </xsd:sequence>
      </xsd:complexType>
    </xsd:element>
    <xsd:element name="p8db240d38af4d19914800eaec5ab9d7" ma:index="46" nillable="true" ma:taxonomy="true" ma:internalName="p8db240d38af4d19914800eaec5ab9d7" ma:taxonomyFieldName="Task_x0020_Document_x0020_Type" ma:displayName="Task Document Type" ma:indexed="true" ma:default="" ma:fieldId="{98db240d-38af-4d19-9148-00eaec5ab9d7}" ma:sspId="7d326a63-e8c7-43bb-9a06-0a8e285f0039" ma:termSetId="d486a91e-cdec-4f3e-9f4c-8af08bc94632" ma:anchorId="00000000-0000-0000-0000-000000000000" ma:open="false" ma:isKeyword="false">
      <xsd:complexType>
        <xsd:sequence>
          <xsd:element ref="pc:Terms" minOccurs="0" maxOccurs="1"/>
        </xsd:sequence>
      </xsd:complexType>
    </xsd:element>
    <xsd:element name="TaxCatchAll" ma:index="47" nillable="true" ma:displayName="Taxonomy Catch All Column" ma:hidden="true" ma:list="{76d703a3-8254-406b-862a-cce3d4a4c5c9}" ma:internalName="TaxCatchAll" ma:showField="CatchAllData" ma:web="222da00a-954f-41ba-a1c6-2860ccf80c15">
      <xsd:complexType>
        <xsd:complexContent>
          <xsd:extension base="dms:MultiChoiceLookup">
            <xsd:sequence>
              <xsd:element name="Value" type="dms:Lookup" maxOccurs="unbounded" minOccurs="0" nillable="true"/>
            </xsd:sequence>
          </xsd:extension>
        </xsd:complexContent>
      </xsd:complexType>
    </xsd:element>
    <xsd:element name="TaxCatchAllLabel" ma:index="48" nillable="true" ma:displayName="Taxonomy Catch All Column1" ma:hidden="true" ma:list="{76d703a3-8254-406b-862a-cce3d4a4c5c9}" ma:internalName="TaxCatchAllLabel" ma:readOnly="true" ma:showField="CatchAllDataLabel" ma:web="222da00a-954f-41ba-a1c6-2860ccf80c15">
      <xsd:complexType>
        <xsd:complexContent>
          <xsd:extension base="dms:MultiChoiceLookup">
            <xsd:sequence>
              <xsd:element name="Value" type="dms:Lookup" maxOccurs="unbounded" minOccurs="0" nillable="true"/>
            </xsd:sequence>
          </xsd:extension>
        </xsd:complexContent>
      </xsd:complex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ctivityTaxHTField0" ma:index="51" nillable="true" ma:taxonomy="true" ma:internalName="ActivityTaxHTField0" ma:taxonomyFieldName="Activity" ma:displayName="Activity" ma:default="" ma:fieldId="{d9b2ac47-fe2b-4d22-be0e-a32c301f7280}" ma:sspId="7d326a63-e8c7-43bb-9a06-0a8e285f0039" ma:termSetId="443b521e-e17d-4fb6-af02-88cf3ec8d6cc" ma:anchorId="00000000-0000-0000-0000-000000000000" ma:open="true" ma:isKeyword="false">
      <xsd:complexType>
        <xsd:sequence>
          <xsd:element ref="pc:Terms" minOccurs="0" maxOccurs="1"/>
        </xsd:sequence>
      </xsd:complexType>
    </xsd:element>
    <xsd:element name="Email_x0020_Flag" ma:index="52" nillable="true" ma:displayName="Email Flag" ma:default="No" ma:format="Dropdown" ma:hidden="true" ma:internalName="Email_x0020_Flag" ma:readOnly="false">
      <xsd:simpleType>
        <xsd:restriction base="dms:Choice">
          <xsd:enumeration value="No"/>
          <xsd:enumeration value="Yes"/>
        </xsd:restriction>
      </xsd:simpleType>
    </xsd:element>
    <xsd:element name="a8447493819c43edbc0322b566c5e6d9" ma:index="55" nillable="true" ma:taxonomy="true" ma:internalName="a8447493819c43edbc0322b566c5e6d9" ma:taxonomyFieldName="Work_x0020_Group" ma:displayName="Work Group" ma:indexed="true" ma:default="" ma:fieldId="{a8447493-819c-43ed-bc03-22b566c5e6d9}" ma:sspId="7d326a63-e8c7-43bb-9a06-0a8e285f0039" ma:termSetId="018c7a66-cf47-4f3f-a238-164b28777ba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5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sk_x0020_By xmlns="cd7d28e7-c92e-4b40-a495-8445e851351e">Firm</Task_x0020_By>
    <Service1 xmlns="cd7d28e7-c92e-4b40-a495-8445e851351e">Translation</Service1>
    <Reference_x0020_Number xmlns="cd7d28e7-c92e-4b40-a495-8445e851351e">80882</Reference_x0020_Number>
    <Coding xmlns="cd7d28e7-c92e-4b40-a495-8445e851351e">42625-108617-002</Coding>
    <Reference_x0020_File_x0020_1 xmlns="cd7d28e7-c92e-4b40-a495-8445e851351e" xsi:nil="true"/>
    <Request xmlns="cd7d28e7-c92e-4b40-a495-8445e851351e">Regular</Request>
    <Client_x0020_Name xmlns="cd7d28e7-c92e-4b40-a495-8445e851351e">
      <UserInfo>
        <DisplayName>Sue GODT</DisplayName>
        <AccountId>804</AccountId>
        <AccountType/>
      </UserInfo>
    </Client_x0020_Name>
    <ActivityTaxHTField0 xmlns="cd7d28e7-c92e-4b40-a495-8445e851351e">
      <Terms xmlns="http://schemas.microsoft.com/office/infopath/2007/PartnerControls"/>
    </ActivityTaxHTField0>
    <Financial_x0020_Year xmlns="cd7d28e7-c92e-4b40-a495-8445e851351e">2018-2019</Financial_x0020_Year>
    <Email_x0020_Flag xmlns="cd7d28e7-c92e-4b40-a495-8445e851351e">Yes</Email_x0020_Flag>
    <Cost xmlns="cd7d28e7-c92e-4b40-a495-8445e851351e" xsi:nil="true"/>
    <Reference_x0020_File_x0020_5 xmlns="cd7d28e7-c92e-4b40-a495-8445e851351e" xsi:nil="true"/>
    <Task_x0020_Submitted_x0020_Date xmlns="cd7d28e7-c92e-4b40-a495-8445e851351e">2018-06-20T04:00:00+00:00</Task_x0020_Submitted_x0020_Date>
    <Task_x0020_Completed xmlns="cd7d28e7-c92e-4b40-a495-8445e851351e">2018-07-19T19:40:00+00:00</Task_x0020_Completed>
    <Audience_x0020_Rating xmlns="cd7d28e7-c92e-4b40-a495-8445e851351e">Regular</Audience_x0020_Rating>
    <_x0023__x0020_of_x0020_Hours xmlns="cd7d28e7-c92e-4b40-a495-8445e851351e">5</_x0023__x0020_of_x0020_Hours>
    <Document_x0020_Status xmlns="cd7d28e7-c92e-4b40-a495-8445e851351e">Completed</Document_x0020_Status>
    <Date_x0020_Processed xmlns="cd7d28e7-c92e-4b40-a495-8445e851351e">2018-06-20T04:00:00+00:00</Date_x0020_Processed>
    <Required_x0020_Date xmlns="cd7d28e7-c92e-4b40-a495-8445e851351e">2018-07-03T16:00:00+00:00</Required_x0020_Date>
    <Source_x0020_Language xmlns="cd7d28e7-c92e-4b40-a495-8445e851351e">English</Source_x0020_Language>
    <Cost_x0020_HST xmlns="cd7d28e7-c92e-4b40-a495-8445e851351e" xsi:nil="true"/>
    <Reference_x0020_File_x0020_3 xmlns="cd7d28e7-c92e-4b40-a495-8445e851351e" xsi:nil="true"/>
    <Reference_x0020_File_x0020_4 xmlns="cd7d28e7-c92e-4b40-a495-8445e851351e" xsi:nil="true"/>
    <TaxKeywordTaxHTField xmlns="cd7d28e7-c92e-4b40-a495-8445e851351e">
      <Terms xmlns="http://schemas.microsoft.com/office/infopath/2007/PartnerControls"/>
    </TaxKeywordTaxHTField>
    <Original_x0020_Number_x0020_of_x0020_Words xmlns="cd7d28e7-c92e-4b40-a495-8445e851351e">6818</Original_x0020_Number_x0020_of_x0020_Words>
    <_x0023__x0020_MultiTrans_x0020_Words xmlns="cd7d28e7-c92e-4b40-a495-8445e851351e" xsi:nil="true"/>
    <p8db240d38af4d19914800eaec5ab9d7 xmlns="cd7d28e7-c92e-4b40-a495-8445e851351e">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f34ddaa6-4166-47fa-9aea-2ffd744bda33</TermId>
        </TermInfo>
      </Terms>
    </p8db240d38af4d19914800eaec5ab9d7>
    <Returned_x0020_to_x0020_Client xmlns="cd7d28e7-c92e-4b40-a495-8445e851351e" xsi:nil="true"/>
    <Client_x0020_Submitted_x0020_Date xmlns="cd7d28e7-c92e-4b40-a495-8445e851351e">2018-06-20T04:00:00+00:00</Client_x0020_Submitted_x0020_Date>
    <Reference_x0020_File_x0020_2 xmlns="cd7d28e7-c92e-4b40-a495-8445e851351e" xsi:nil="true"/>
    <a8447493819c43edbc0322b566c5e6d9 xmlns="cd7d28e7-c92e-4b40-a495-8445e851351e">
      <Terms xmlns="http://schemas.microsoft.com/office/infopath/2007/PartnerControls">
        <TermInfo xmlns="http://schemas.microsoft.com/office/infopath/2007/PartnerControls">
          <TermName xmlns="http://schemas.microsoft.com/office/infopath/2007/PartnerControls">Maternal, Newborn and Child Health</TermName>
          <TermId xmlns="http://schemas.microsoft.com/office/infopath/2007/PartnerControls">9f79c9a4-a8b3-47d8-94e3-778d7fa996ea</TermId>
        </TermInfo>
      </Terms>
    </a8447493819c43edbc0322b566c5e6d9>
    <Accepted_x0020_Status xmlns="cd7d28e7-c92e-4b40-a495-8445e851351e">
      <Value>Yes</Value>
    </Accepted_x0020_Status>
    <Target_x0020_Language xmlns="cd7d28e7-c92e-4b40-a495-8445e851351e">French</Target_x0020_Language>
    <Special_x0020_Instructions xmlns="cd7d28e7-c92e-4b40-a495-8445e851351e" xsi:nil="true"/>
    <TaxCatchAll xmlns="cd7d28e7-c92e-4b40-a495-8445e851351e">
      <Value>293</Value>
      <Value>36</Value>
    </TaxCatchAll>
    <_dlc_DocId xmlns="cd7d28e7-c92e-4b40-a495-8445e851351e">EC01-21-8183</_dlc_DocId>
    <_dlc_DocIdUrl xmlns="cd7d28e7-c92e-4b40-a495-8445e851351e">
      <Url>http://extranet.idrc.ca/sites/ec/translation/_layouts/15/DocIdRedir.aspx?ID=EC01-21-8183</Url>
      <Description>EC01-21-8183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ED61A-B406-4528-8D32-29AE3EDEF8AD}">
  <ds:schemaRefs>
    <ds:schemaRef ds:uri="http://schemas.microsoft.com/sharepoint/v3/contenttype/forms"/>
  </ds:schemaRefs>
</ds:datastoreItem>
</file>

<file path=customXml/itemProps2.xml><?xml version="1.0" encoding="utf-8"?>
<ds:datastoreItem xmlns:ds="http://schemas.openxmlformats.org/officeDocument/2006/customXml" ds:itemID="{5B2B8008-B479-4A24-B625-E0ABB66C2144}">
  <ds:schemaRefs>
    <ds:schemaRef ds:uri="http://schemas.microsoft.com/sharepoint/events"/>
  </ds:schemaRefs>
</ds:datastoreItem>
</file>

<file path=customXml/itemProps3.xml><?xml version="1.0" encoding="utf-8"?>
<ds:datastoreItem xmlns:ds="http://schemas.openxmlformats.org/officeDocument/2006/customXml" ds:itemID="{3F5BD7AB-AB7E-4C27-A9FA-554CFDB1FA1E}">
  <ds:schemaRefs>
    <ds:schemaRef ds:uri="Microsoft.SharePoint.Taxonomy.ContentTypeSync"/>
  </ds:schemaRefs>
</ds:datastoreItem>
</file>

<file path=customXml/itemProps4.xml><?xml version="1.0" encoding="utf-8"?>
<ds:datastoreItem xmlns:ds="http://schemas.openxmlformats.org/officeDocument/2006/customXml" ds:itemID="{F6A05288-4913-48D7-B535-EB3175004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28e7-c92e-4b40-a495-8445e8513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92EE21-4CF2-4EFD-8FBA-41BB7BA19367}">
  <ds:schemaRefs>
    <ds:schemaRef ds:uri="http://schemas.microsoft.com/office/2006/metadata/properties"/>
    <ds:schemaRef ds:uri="http://schemas.microsoft.com/office/infopath/2007/PartnerControls"/>
    <ds:schemaRef ds:uri="cd7d28e7-c92e-4b40-a495-8445e851351e"/>
  </ds:schemaRefs>
</ds:datastoreItem>
</file>

<file path=customXml/itemProps6.xml><?xml version="1.0" encoding="utf-8"?>
<ds:datastoreItem xmlns:ds="http://schemas.openxmlformats.org/officeDocument/2006/customXml" ds:itemID="{49098CC9-2811-4193-AA80-992DA932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7231</Words>
  <Characters>41219</Characters>
  <Application>Microsoft Office Word</Application>
  <DocSecurity>0</DocSecurity>
  <Lines>343</Lines>
  <Paragraphs>96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Résumé</vt:lpstr>
      <vt:lpstr>Contexte :</vt:lpstr>
      <vt:lpstr/>
      <vt:lpstr>Méthodologies :</vt:lpstr>
      <vt:lpstr/>
      <vt:lpstr>Résultats :</vt:lpstr>
      <vt:lpstr>Conclusion :</vt:lpstr>
      <vt:lpstr/>
      <vt:lpstr>Introduction</vt:lpstr>
      <vt:lpstr>Méthodologies</vt:lpstr>
      <vt:lpstr>RÉSULTATS</vt:lpstr>
      <vt:lpstr>Publication par emplacement des pays de l’étude</vt:lpstr>
      <vt:lpstr>Auteur principal et pays de rattachement</vt:lpstr>
      <vt:lpstr>Tableau 2 : Auteurs principaux ouest-africains par pays dans lequel la recherche</vt:lpstr>
      <vt:lpstr>Tableau 4 : Résumé des établissements des auteurs principaux</vt:lpstr>
      <vt:lpstr>Langue de publication</vt:lpstr>
      <vt:lpstr>Discussion</vt:lpstr>
      <vt:lpstr>Limites de l’étude </vt:lpstr>
      <vt:lpstr>Conclusions</vt:lpstr>
    </vt:vector>
  </TitlesOfParts>
  <Company/>
  <LinksUpToDate>false</LinksUpToDate>
  <CharactersWithSpaces>48354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2018-10-31T18:43:00Z</dcterms:created>
  <dcterms:modified xsi:type="dcterms:W3CDTF">2018-12-03T15:05:00Z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0x0101005E6801225366EF4084288B20FCC1D633020060C2EC393954904E8EEA8C9A3EE68CC6</vt:lpwstr>
  </property>
  <property fmtid="{D5CDD505-2E9C-101B-9397-08002B2CF9AE}" pid="3" name="_dlc_DocIdItemGuid">
    <vt:lpwstr>977242b9-b038-4c91-b8f2-b6217255ed08</vt:lpwstr>
  </property>
  <property fmtid="{D5CDD505-2E9C-101B-9397-08002B2CF9AE}" pid="4" name="TaxKeyword">
    <vt:lpwstr/>
  </property>
  <property fmtid="{D5CDD505-2E9C-101B-9397-08002B2CF9AE}" pid="5" name="Activity">
    <vt:lpwstr/>
  </property>
  <property fmtid="{D5CDD505-2E9C-101B-9397-08002B2CF9AE}" pid="6" name="Work Group">
    <vt:lpwstr>293;#Maternal, Newborn and Child Health|9f79c9a4-a8b3-47d8-94e3-778d7fa996ea</vt:lpwstr>
  </property>
  <property fmtid="{D5CDD505-2E9C-101B-9397-08002B2CF9AE}" pid="7" name="Task Document Type">
    <vt:lpwstr>36;#Programs|f34ddaa6-4166-47fa-9aea-2ffd744bda33</vt:lpwstr>
  </property>
  <property fmtid="{D5CDD505-2E9C-101B-9397-08002B2CF9AE}" pid="8" name="WorkflowChangePath">
    <vt:lpwstr>ebe8e2e8-4c70-4fbc-9764-0124ed98e24b,4;</vt:lpwstr>
  </property>
</Properties>
</file>