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Patients and </w:t>
      </w:r>
      <w:r>
        <w:rPr>
          <w:rFonts w:ascii="Times New Roman" w:eastAsia="SimSun" w:hAnsi="Times New Roman" w:cs="Times New Roman" w:hint="eastAsia"/>
          <w:b/>
          <w:color w:val="000000"/>
          <w:sz w:val="24"/>
          <w:szCs w:val="24"/>
        </w:rPr>
        <w:t>M</w:t>
      </w:r>
      <w:r w:rsidRPr="00DA19B8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ethods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 xml:space="preserve">Study design and population 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Data were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retrieved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from the electronic medical records and laboratory reports of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RCC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patients who visited the department of Urology in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Renji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Hospital affiliated to Shanghai Jiao Tong University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S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chool of Medicine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between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January 2010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and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December 2017. This study involved patients who received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axitinib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sunitinib</w:t>
      </w:r>
      <w:proofErr w:type="spellEnd"/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,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sorafenib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neoadjuvant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therapy before nephrectomy.</w:t>
      </w:r>
      <w:r w:rsidRPr="00F62F9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bookmarkStart w:id="0" w:name="_Hlk15654399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The goals of </w:t>
      </w:r>
      <w:proofErr w:type="spellStart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neoadjuvant</w:t>
      </w:r>
      <w:proofErr w:type="spellEnd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therapy were to make a partial nephrectomy feasible, downsize the tumor thrombus</w:t>
      </w:r>
      <w:r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>,</w:t>
      </w:r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or make </w:t>
      </w:r>
      <w:proofErr w:type="spellStart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unresectable</w:t>
      </w:r>
      <w:proofErr w:type="spellEnd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tumor resectable.</w:t>
      </w:r>
      <w:r w:rsidRPr="00F62F9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bookmarkStart w:id="1" w:name="_Hlk15894533"/>
      <w:bookmarkEnd w:id="0"/>
      <w:r w:rsidRPr="00DA19B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Treatment and follow</w:t>
      </w:r>
      <w:r>
        <w:rPr>
          <w:rFonts w:ascii="Times New Roman" w:eastAsia="SimSun" w:hAnsi="Times New Roman" w:cs="Times New Roman" w:hint="eastAsia"/>
          <w:b/>
          <w:i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 xml:space="preserve">up </w:t>
      </w:r>
    </w:p>
    <w:bookmarkEnd w:id="1"/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Axitinib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administered 5 mg twice daily orally for 8-12 weeks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.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S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unitinib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prescribed 50 mg once daily orally (on a 4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/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off schedule) for 8-12 weeks.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Sorafenib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administered 400 mg twice daily orally for 8-12 weeks. Dose </w:t>
      </w:r>
      <w:proofErr w:type="gram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titrations</w:t>
      </w:r>
      <w:proofErr w:type="gram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were done considering the patient’s tolerance.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Axitinib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reduced to 3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mg twice daily,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sunitinib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reduced to 37.5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mg once daily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,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sorafenib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 reduced to 200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mg twice daily. Surgery was performed 1-2 weeks after the completion of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axitinib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treatment or 3-4 weeks after that of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sorafenib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sunitinib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treatment. 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bookmarkStart w:id="2" w:name="_Hlk15893248"/>
      <w:r w:rsidRPr="00DA19B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Outcome measures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bookmarkStart w:id="3" w:name="_Hlk15893153"/>
      <w:bookmarkEnd w:id="2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Fuhrman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’s</w:t>
      </w:r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grade and clinical stage were based on </w:t>
      </w:r>
      <w:r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 xml:space="preserve">the examination of </w:t>
      </w:r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nephrectomy specimens. </w:t>
      </w:r>
      <w:proofErr w:type="gramStart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According to the 2009 </w:t>
      </w:r>
      <w:proofErr w:type="spellStart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TNM</w:t>
      </w:r>
      <w:proofErr w:type="spellEnd"/>
      <w:r w:rsidRPr="00F62F9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classificatio</w:t>
      </w:r>
      <w:r w:rsidRPr="009251C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 of </w:t>
      </w:r>
      <w:r w:rsidRPr="009251C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the</w:t>
      </w:r>
      <w:r w:rsidRPr="009251C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9251C0">
          <w:rPr>
            <w:rFonts w:ascii="Times New Roman" w:eastAsia="SimSun" w:hAnsi="Times New Roman" w:cs="Times New Roman"/>
            <w:color w:val="000000"/>
            <w:sz w:val="24"/>
            <w:szCs w:val="24"/>
          </w:rPr>
          <w:t>American Joint Committee on Cancer</w:t>
        </w:r>
      </w:hyperlink>
      <w:r w:rsidRPr="009251C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(</w:t>
      </w:r>
      <w:proofErr w:type="spellStart"/>
      <w:r w:rsidRPr="009251C0">
        <w:rPr>
          <w:rFonts w:ascii="Times New Roman" w:eastAsia="SimSun" w:hAnsi="Times New Roman" w:cs="Times New Roman"/>
          <w:color w:val="000000"/>
          <w:sz w:val="24"/>
          <w:szCs w:val="24"/>
        </w:rPr>
        <w:t>AJCC</w:t>
      </w:r>
      <w:proofErr w:type="spellEnd"/>
      <w:r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>)</w:t>
      </w:r>
      <w:r w:rsidRPr="00F62F9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F62F98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[1]</w:t>
      </w:r>
      <w:r w:rsidRPr="00F62F98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bookmarkEnd w:id="3"/>
      <w:proofErr w:type="gramEnd"/>
      <w:r w:rsidRPr="00F62F9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Clinical response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of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primary tumor after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neoadjuvant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therapy was assessed according to Response Evaluation Criteria in Solid Tumors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V1.1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[2]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DA19B8">
        <w:rPr>
          <w:rFonts w:ascii="Times New Roman" w:eastAsia="SimSun" w:hAnsi="Times New Roman" w:cs="Times New Roman"/>
          <w:sz w:val="24"/>
          <w:szCs w:val="24"/>
        </w:rPr>
        <w:t xml:space="preserve"> National Cancer Institute Common Terminology Criteria for Adverse Events version </w:t>
      </w:r>
      <w:proofErr w:type="spellStart"/>
      <w:r w:rsidRPr="00DA19B8">
        <w:rPr>
          <w:rFonts w:ascii="Times New Roman" w:eastAsia="SimSun" w:hAnsi="Times New Roman" w:cs="Times New Roman"/>
          <w:sz w:val="24"/>
          <w:szCs w:val="24"/>
        </w:rPr>
        <w:t>V4.0</w:t>
      </w:r>
      <w:proofErr w:type="spellEnd"/>
      <w:r w:rsidRPr="00DA19B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 xml:space="preserve">[3] </w:t>
      </w:r>
      <w:r w:rsidRPr="00DA19B8">
        <w:rPr>
          <w:rFonts w:ascii="Times New Roman" w:eastAsia="SimSun" w:hAnsi="Times New Roman" w:cs="Times New Roman"/>
          <w:sz w:val="24"/>
          <w:szCs w:val="24"/>
        </w:rPr>
        <w:t>were used for grading of treatment-related adverse events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 w:hint="eastAsia"/>
          <w:sz w:val="24"/>
          <w:szCs w:val="24"/>
        </w:rPr>
        <w:t>AEs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</w:rPr>
        <w:t>)</w:t>
      </w:r>
      <w:r w:rsidRPr="00DA19B8">
        <w:rPr>
          <w:rFonts w:ascii="Times New Roman" w:eastAsia="SimSun" w:hAnsi="Times New Roman" w:cs="Times New Roman"/>
          <w:sz w:val="24"/>
          <w:szCs w:val="24"/>
        </w:rPr>
        <w:t>. The primary outcome was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eastAsia="SimSun" w:hAnsi="Times New Roman" w:cs="Times New Roman"/>
          <w:sz w:val="24"/>
          <w:szCs w:val="24"/>
        </w:rPr>
        <w:t>change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of</w:t>
      </w:r>
      <w:r w:rsidRPr="00CA028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maximal tumor</w:t>
      </w:r>
      <w:r w:rsidRPr="00DA19B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diameter.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The s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econdary outcome was</w:t>
      </w:r>
      <w:r w:rsidRPr="00BC06BE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sz w:val="24"/>
          <w:szCs w:val="24"/>
        </w:rPr>
        <w:t>AEs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All patients were suggested to have imaging examinations before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neoadjuvant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therapy and 8-12 weeks after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neoadjuvant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therapy initiation. Computed tomography or magnetic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r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esonance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i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maging w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as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used to evaluate primary tumor. The imaging assessments of the same patient w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ere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performed by the same doctor.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lastRenderedPageBreak/>
        <w:t>Statistical analyses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All analyses were performed using the SAS version 9.0 (SAS Corporation, Cary, NC, USA).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Wilcoxon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signed rank test was used to compare</w:t>
      </w:r>
      <w:r w:rsidRPr="00BC06B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tumor diameter change and the reduction rate of tumor diameter among</w:t>
      </w:r>
      <w:r w:rsidRPr="00356194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</w:rPr>
        <w:t>the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axitinib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sunitinib</w:t>
      </w:r>
      <w:proofErr w:type="spellEnd"/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,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sorafenib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group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s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. The categorical variables such as clinicopathological characteristics, tumor responses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,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SimSun" w:hAnsi="Times New Roman" w:cs="Times New Roman" w:hint="eastAsia"/>
          <w:sz w:val="24"/>
          <w:szCs w:val="24"/>
        </w:rPr>
        <w:t>AEs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a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 presented as number of patients and were analyzed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using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Pearson’s Chi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-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square test. </w:t>
      </w:r>
      <w:r w:rsidRPr="00DA19B8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0.05 was considered statistically significant.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References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[1] Edge,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S.B.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Compton, C.C. </w:t>
      </w:r>
      <w:r w:rsidRPr="009A63D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American Joint Committee on Cancer: the 7th edition of the </w:t>
      </w:r>
      <w:proofErr w:type="spellStart"/>
      <w:r w:rsidRPr="009A63DD">
        <w:rPr>
          <w:rFonts w:ascii="Times New Roman" w:eastAsia="SimSun" w:hAnsi="Times New Roman" w:cs="Times New Roman"/>
          <w:color w:val="000000"/>
          <w:sz w:val="24"/>
          <w:szCs w:val="24"/>
        </w:rPr>
        <w:t>AJCC</w:t>
      </w:r>
      <w:proofErr w:type="spellEnd"/>
      <w:r w:rsidRPr="009A63D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cancer staging manual and the future of </w:t>
      </w:r>
      <w:proofErr w:type="spellStart"/>
      <w:r w:rsidRPr="009A63DD">
        <w:rPr>
          <w:rFonts w:ascii="Times New Roman" w:eastAsia="SimSun" w:hAnsi="Times New Roman" w:cs="Times New Roman"/>
          <w:color w:val="000000"/>
          <w:sz w:val="24"/>
          <w:szCs w:val="24"/>
        </w:rPr>
        <w:t>TNM</w:t>
      </w:r>
      <w:proofErr w:type="spellEnd"/>
      <w:r w:rsidRPr="009A63DD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Ann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Surg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Oncol. 2010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Jun</w:t>
      </w:r>
      <w:proofErr w:type="gram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;17</w:t>
      </w:r>
      <w:proofErr w:type="spellEnd"/>
      <w:proofErr w:type="gram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(6):1471-4.  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[2]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Duffaud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Therasse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P. </w:t>
      </w:r>
      <w:proofErr w:type="gram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New guidelines to evaluate the response to treatment in solid tumors.</w:t>
      </w:r>
      <w:proofErr w:type="gram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Bull Cancer. 2001</w:t>
      </w:r>
      <w:proofErr w:type="gram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;87:881</w:t>
      </w:r>
      <w:proofErr w:type="gram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–6.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[3] Common Terminology Criteria for Adverse Events </w:t>
      </w:r>
      <w:proofErr w:type="spellStart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v4.0</w:t>
      </w:r>
      <w:proofErr w:type="spellEnd"/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(CTCAE). Washington,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DA19B8">
        <w:rPr>
          <w:rFonts w:ascii="Times New Roman" w:eastAsia="SimSun" w:hAnsi="Times New Roman" w:cs="Times New Roman"/>
          <w:color w:val="000000"/>
          <w:sz w:val="24"/>
          <w:szCs w:val="24"/>
        </w:rPr>
        <w:t>DC: US Department of Health and Human Services. https://evs.nci.nih.gov/ftp1/CTCAE/CTCAE_4.03/CTCAE_4.03_2010-06-14_QuickReference_5x7.pdf.</w:t>
      </w:r>
    </w:p>
    <w:p w:rsidR="009D0545" w:rsidRPr="00DA19B8" w:rsidRDefault="009D0545" w:rsidP="009D054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0545" w:rsidRDefault="009D0545">
      <w:bookmarkStart w:id="4" w:name="_GoBack"/>
      <w:bookmarkEnd w:id="4"/>
    </w:p>
    <w:sectPr w:rsidR="009D0545" w:rsidSect="0021374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4">
      <wne:macro wne:macroName="SPRING.SWIFT.THNSPACE"/>
    </wne:keymap>
    <wne:keymap wne:kcmPrimary="044D">
      <wne:macro wne:macroName="SPRING.SWIFT.EMSPACESC"/>
    </wne:keymap>
    <wne:keymap wne:kcmPrimary="044E">
      <wne:macro wne:macroName="SPRING.SWIFT.ENSPACESC"/>
    </wne:keymap>
    <wne:keymap wne:kcmPrimary="0644">
      <wne:macro wne:macroName="SPRING.SWIFT.AFFILIATIONELEMENTDIVISION"/>
    </wne:keymap>
    <wne:keymap wne:kcmPrimary="0653">
      <wne:macro wne:macroName="SPRING.SWIFT.AFFILIATIONELEMENTSTREET"/>
    </wne:keymap>
    <wne:keymap wne:kcmPrimary="0658">
      <wne:macro wne:macroName="SPRING.SWIFT.MOVE2END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revisionView w:markup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doNotValidateAgainstSchema/>
  <w:saveInvalidXml/>
  <w:compat>
    <w:useFELayout/>
  </w:compat>
  <w:docVars>
    <w:docVar w:name="SWIFT" w:val="0016235"/>
  </w:docVars>
  <w:rsids>
    <w:rsidRoot w:val="009D0545"/>
    <w:rsid w:val="00213746"/>
    <w:rsid w:val="002138C4"/>
    <w:rsid w:val="00432E22"/>
    <w:rsid w:val="009D0545"/>
    <w:rsid w:val="00D522C6"/>
    <w:rsid w:val="00F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ring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45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5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MfzHJidDLKmdasy6KgonSVeAVsmCMcOVOf4uvuY4-pVU7klmAarFgnt5_lqeo99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6235\Spring\Spring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>微软中国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0012761</cp:lastModifiedBy>
  <cp:revision>4</cp:revision>
  <dcterms:created xsi:type="dcterms:W3CDTF">2019-09-27T00:38:00Z</dcterms:created>
  <dcterms:modified xsi:type="dcterms:W3CDTF">2019-10-01T01:01:00Z</dcterms:modified>
</cp:coreProperties>
</file>