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F3" w:rsidRDefault="00C068FF" w:rsidP="005B75F3">
      <w:pPr>
        <w:rPr>
          <w:b/>
          <w:sz w:val="24"/>
        </w:rPr>
      </w:pPr>
      <w:r>
        <w:rPr>
          <w:b/>
          <w:sz w:val="24"/>
        </w:rPr>
        <w:t>Manuscript Annex Context documentation</w:t>
      </w:r>
    </w:p>
    <w:p w:rsidR="005B75F3" w:rsidRPr="00DF6EF4" w:rsidRDefault="005B75F3" w:rsidP="005B75F3">
      <w:pPr>
        <w:rPr>
          <w:b/>
          <w:sz w:val="24"/>
        </w:rPr>
      </w:pPr>
      <w:r w:rsidRPr="00DF6EF4">
        <w:rPr>
          <w:b/>
          <w:sz w:val="24"/>
        </w:rPr>
        <w:t xml:space="preserve">Expanded Quality Management Using Information Power (EQUIP): protocol for a quasi-experimental study to improve maternal and newborn health in Tanzania and Uganda </w:t>
      </w:r>
    </w:p>
    <w:p w:rsidR="00927F54" w:rsidRPr="00556D5E" w:rsidRDefault="005B75F3" w:rsidP="00C068FF">
      <w:pPr>
        <w:tabs>
          <w:tab w:val="left" w:pos="2598"/>
        </w:tabs>
        <w:rPr>
          <w:b/>
        </w:rPr>
      </w:pPr>
      <w:r w:rsidRPr="00DF6EF4">
        <w:rPr>
          <w:color w:val="000000"/>
          <w:sz w:val="24"/>
          <w:szCs w:val="24"/>
        </w:rPr>
        <w:t>Hanson C, Waiswa P, Marchant T,  Marx M, Manzi F, Mbaruku G, Rowe AK, Tomson G, Schellenberg J, Peterson S, and the EQUIP Study Team</w:t>
      </w:r>
      <w:r>
        <w:rPr>
          <w:color w:val="000000"/>
          <w:sz w:val="24"/>
          <w:szCs w:val="24"/>
        </w:rPr>
        <w:t>.</w:t>
      </w:r>
      <w:r w:rsidR="00927F54" w:rsidRPr="001B0007">
        <w:rPr>
          <w:lang w:val="en-GB"/>
        </w:rPr>
        <w:tab/>
      </w:r>
    </w:p>
    <w:p w:rsidR="00927F54" w:rsidRPr="00556D5E" w:rsidRDefault="00927F54" w:rsidP="00927F54">
      <w:pPr>
        <w:rPr>
          <w:b/>
        </w:rPr>
      </w:pPr>
      <w:r w:rsidRPr="00556D5E">
        <w:rPr>
          <w:b/>
        </w:rPr>
        <w:t>Introduction</w:t>
      </w:r>
    </w:p>
    <w:p w:rsidR="00927F54" w:rsidRDefault="00927F54" w:rsidP="00C068FF">
      <w:pPr>
        <w:jc w:val="both"/>
      </w:pPr>
      <w:r>
        <w:t xml:space="preserve">The comprehensive analytical approach and the plausibility design, which will be used for EQUIP demands measurement of indicators along the line from input to process to outcome and finally impact measures; complemented by contextual factors. The household and health facility surveys will primarily collect data on outputs and outcomes along the continuum of care. The impact of the intervention will be </w:t>
      </w:r>
      <w:r w:rsidR="00C068FF">
        <w:t>modeled</w:t>
      </w:r>
      <w:r>
        <w:t xml:space="preserve"> using the </w:t>
      </w:r>
      <w:proofErr w:type="spellStart"/>
      <w:r>
        <w:t>LiST</w:t>
      </w:r>
      <w:proofErr w:type="spellEnd"/>
      <w:r>
        <w:t xml:space="preserve"> tool. Thus additional methods are needed to collect input indicators such as available funding for maternal and newborn health care and the information on strategies and policies. </w:t>
      </w:r>
    </w:p>
    <w:p w:rsidR="00927F54" w:rsidRDefault="00927F54" w:rsidP="00C068FF">
      <w:pPr>
        <w:jc w:val="both"/>
      </w:pPr>
      <w:r>
        <w:t xml:space="preserve">Moreover the plausibility approach comparing the differences between intervention and comparison district demands a close follow up of contextual factors. The analysis of contextual factors is essential for the final judgment whether improvements in health indicators are likely to be due to the intervention or rather other factors. </w:t>
      </w:r>
      <w:proofErr w:type="spellStart"/>
      <w:proofErr w:type="gramStart"/>
      <w:r>
        <w:t>Victora</w:t>
      </w:r>
      <w:proofErr w:type="spellEnd"/>
      <w:r>
        <w:t xml:space="preserve"> et al.</w:t>
      </w:r>
      <w:proofErr w:type="gramEnd"/>
      <w:r>
        <w:t xml:space="preserve">  </w:t>
      </w:r>
      <w:r w:rsidR="00C068FF">
        <w:fldChar w:fldCharType="begin"/>
      </w:r>
      <w:r w:rsidR="00C068FF">
        <w:instrText xml:space="preserve"> ADDIN EN.CITE &lt;EndNote&gt;&lt;Cite&gt;&lt;Author&gt;Victora&lt;/Author&gt;&lt;Year&gt;2011&lt;/Year&gt;&lt;RecNum&gt;3544&lt;/RecNum&gt;&lt;DisplayText&gt;[1]&lt;/DisplayText&gt;&lt;record&gt;&lt;rec-number&gt;3544&lt;/rec-number&gt;&lt;foreign-keys&gt;&lt;key app="EN" db-id="9swda00tptzxwjetdwpxz598ps55dwdpr2xw"&gt;3544&lt;/key&gt;&lt;/foreign-keys&gt;&lt;ref-type name="Journal Article"&gt;17&lt;/ref-type&gt;&lt;contributors&gt;&lt;authors&gt;&lt;author&gt;Victora, Cesar G.&lt;/author&gt;&lt;author&gt;Black, Robert E.&lt;/author&gt;&lt;author&gt;Boerma, J. Ties&lt;/author&gt;&lt;author&gt;Bryce, Jennifer&lt;/author&gt;&lt;/authors&gt;&lt;/contributors&gt;&lt;titles&gt;&lt;title&gt;Measuring impact in the Millennium Development Goal era and beyond: a new approach to large-scale effectiveness evaluations&lt;/title&gt;&lt;secondary-title&gt;The Lancet&lt;/secondary-title&gt;&lt;/titles&gt;&lt;periodical&gt;&lt;full-title&gt;The Lancet&lt;/full-title&gt;&lt;/periodical&gt;&lt;pages&gt;85-95&lt;/pages&gt;&lt;volume&gt;377&lt;/volume&gt;&lt;number&gt;9759&lt;/number&gt;&lt;dates&gt;&lt;year&gt;2011&lt;/year&gt;&lt;pub-dates&gt;&lt;date&gt;2011/1/7/&lt;/date&gt;&lt;/pub-dates&gt;&lt;/dates&gt;&lt;isbn&gt;0140-6736&lt;/isbn&gt;&lt;urls&gt;&lt;related-urls&gt;&lt;url&gt;http://www.sciencedirect.com/science/article/B6T1B-50GTDJH-1/2/11ec6fc154abcad31a0b06dd4a809f5d&lt;/url&gt;&lt;/related-urls&gt;&lt;/urls&gt;&lt;/record&gt;&lt;/Cite&gt;&lt;/EndNote&gt;</w:instrText>
      </w:r>
      <w:r w:rsidR="00C068FF">
        <w:fldChar w:fldCharType="separate"/>
      </w:r>
      <w:r w:rsidR="00C068FF">
        <w:rPr>
          <w:noProof/>
        </w:rPr>
        <w:t>[</w:t>
      </w:r>
      <w:hyperlink w:anchor="_ENREF_1" w:tooltip="Victora, 2011 #3544" w:history="1">
        <w:r w:rsidR="00C068FF">
          <w:rPr>
            <w:noProof/>
          </w:rPr>
          <w:t>1</w:t>
        </w:r>
      </w:hyperlink>
      <w:r w:rsidR="00C068FF">
        <w:rPr>
          <w:noProof/>
        </w:rPr>
        <w:t>]</w:t>
      </w:r>
      <w:r w:rsidR="00C068FF">
        <w:fldChar w:fldCharType="end"/>
      </w:r>
      <w:r w:rsidR="00C068FF">
        <w:t xml:space="preserve"> </w:t>
      </w:r>
      <w:r>
        <w:t>in their publication in the Lancet 2011 outlined factors affecting maternal and child health and nutrition. This publication can serve as a guide and framework for the follow up of context.</w:t>
      </w:r>
    </w:p>
    <w:p w:rsidR="00927F54" w:rsidRDefault="00927F54" w:rsidP="00927F54">
      <w:r w:rsidRPr="00162337">
        <w:rPr>
          <w:noProof/>
          <w:lang w:val="en-GB" w:eastAsia="en-GB"/>
        </w:rPr>
        <w:drawing>
          <wp:inline distT="0" distB="0" distL="0" distR="0">
            <wp:extent cx="5676900" cy="3724275"/>
            <wp:effectExtent l="19050" t="0" r="0" b="0"/>
            <wp:docPr id="6" name="Bild 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7" cstate="print"/>
                    <a:srcRect/>
                    <a:stretch>
                      <a:fillRect/>
                    </a:stretch>
                  </pic:blipFill>
                  <pic:spPr bwMode="auto">
                    <a:xfrm>
                      <a:off x="0" y="0"/>
                      <a:ext cx="5681309" cy="3727168"/>
                    </a:xfrm>
                    <a:prstGeom prst="rect">
                      <a:avLst/>
                    </a:prstGeom>
                    <a:noFill/>
                    <a:ln w="9525">
                      <a:noFill/>
                      <a:miter lim="800000"/>
                      <a:headEnd/>
                      <a:tailEnd/>
                    </a:ln>
                    <a:effectLst/>
                  </pic:spPr>
                </pic:pic>
              </a:graphicData>
            </a:graphic>
          </wp:inline>
        </w:drawing>
      </w:r>
    </w:p>
    <w:p w:rsidR="00927F54" w:rsidRPr="00AA6DF2" w:rsidRDefault="00927F54" w:rsidP="00927F54">
      <w:pPr>
        <w:rPr>
          <w:b/>
        </w:rPr>
      </w:pPr>
      <w:r w:rsidRPr="00AA6DF2">
        <w:rPr>
          <w:b/>
        </w:rPr>
        <w:t xml:space="preserve">Figure </w:t>
      </w:r>
      <w:r w:rsidR="00FB4BAB">
        <w:rPr>
          <w:b/>
        </w:rPr>
        <w:t>5</w:t>
      </w:r>
      <w:r w:rsidRPr="00AA6DF2">
        <w:rPr>
          <w:b/>
        </w:rPr>
        <w:t>: Conceptual framework for evaluation</w:t>
      </w:r>
    </w:p>
    <w:p w:rsidR="00927F54" w:rsidRDefault="00927F54" w:rsidP="00927F54">
      <w:r>
        <w:lastRenderedPageBreak/>
        <w:t xml:space="preserve">See also: </w:t>
      </w:r>
      <w:hyperlink r:id="rId8" w:history="1">
        <w:r w:rsidRPr="006723C3">
          <w:rPr>
            <w:rStyle w:val="Hyperlink"/>
          </w:rPr>
          <w:t>http://www.jhsph.edu/bin/a/d/common_evaluation_framework.pdf</w:t>
        </w:r>
      </w:hyperlink>
    </w:p>
    <w:p w:rsidR="00927F54" w:rsidRDefault="00927F54" w:rsidP="00927F54">
      <w:r>
        <w:t xml:space="preserve">Or: </w:t>
      </w:r>
      <w:hyperlink r:id="rId9" w:history="1">
        <w:r w:rsidRPr="00DB1247">
          <w:rPr>
            <w:rStyle w:val="Hyperlink"/>
          </w:rPr>
          <w:t>http://www.internationalhealthpartnership.net//CMS_files/documents/monitoring_and_evaluation_of_health_systems_strengthening_-_an_operational_framework__EN.pdf</w:t>
        </w:r>
      </w:hyperlink>
    </w:p>
    <w:p w:rsidR="00927F54" w:rsidRDefault="00927F54" w:rsidP="00927F54">
      <w:r>
        <w:rPr>
          <w:noProof/>
          <w:lang w:val="en-GB" w:eastAsia="en-GB"/>
        </w:rPr>
        <w:drawing>
          <wp:inline distT="0" distB="0" distL="0" distR="0">
            <wp:extent cx="5230564" cy="3143250"/>
            <wp:effectExtent l="19050" t="0" r="8186"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237018" cy="3147129"/>
                    </a:xfrm>
                    <a:prstGeom prst="rect">
                      <a:avLst/>
                    </a:prstGeom>
                    <a:noFill/>
                    <a:ln w="9525">
                      <a:noFill/>
                      <a:miter lim="800000"/>
                      <a:headEnd/>
                      <a:tailEnd/>
                    </a:ln>
                  </pic:spPr>
                </pic:pic>
              </a:graphicData>
            </a:graphic>
          </wp:inline>
        </w:drawing>
      </w:r>
    </w:p>
    <w:p w:rsidR="00927F54" w:rsidRPr="00A943FC" w:rsidRDefault="00927F54" w:rsidP="00927F54">
      <w:pPr>
        <w:rPr>
          <w:b/>
        </w:rPr>
      </w:pPr>
      <w:r w:rsidRPr="00A943FC">
        <w:rPr>
          <w:b/>
        </w:rPr>
        <w:t>Figure 2: Outline of factors affecting maternal and child health and nutrition</w:t>
      </w:r>
      <w:r>
        <w:rPr>
          <w:b/>
        </w:rPr>
        <w:t xml:space="preserve"> (</w:t>
      </w:r>
      <w:proofErr w:type="spellStart"/>
      <w:r>
        <w:rPr>
          <w:b/>
        </w:rPr>
        <w:t>Victora</w:t>
      </w:r>
      <w:proofErr w:type="spellEnd"/>
      <w:r>
        <w:rPr>
          <w:b/>
        </w:rPr>
        <w:t xml:space="preserve"> et al. Lancet 2011)</w:t>
      </w:r>
    </w:p>
    <w:p w:rsidR="00927F54" w:rsidRPr="001B0007" w:rsidRDefault="00927F54" w:rsidP="00927F54">
      <w:pPr>
        <w:rPr>
          <w:rFonts w:asciiTheme="minorHAnsi" w:hAnsiTheme="minorHAnsi"/>
          <w:b/>
        </w:rPr>
      </w:pPr>
      <w:r w:rsidRPr="001B0007">
        <w:rPr>
          <w:rFonts w:asciiTheme="minorHAnsi" w:hAnsiTheme="minorHAnsi"/>
        </w:rPr>
        <w:t>The two frameworks presented suggest thus the follow of the following factors for context and input:</w:t>
      </w:r>
      <w:r w:rsidRPr="001B0007">
        <w:rPr>
          <w:rFonts w:asciiTheme="minorHAnsi" w:hAnsiTheme="minorHAnsi"/>
          <w:b/>
        </w:rPr>
        <w:t xml:space="preserve"> </w:t>
      </w:r>
    </w:p>
    <w:p w:rsidR="00927F54" w:rsidRPr="001B0007" w:rsidRDefault="00927F54" w:rsidP="00927F54">
      <w:pPr>
        <w:rPr>
          <w:rFonts w:asciiTheme="minorHAnsi" w:hAnsiTheme="minorHAnsi"/>
        </w:rPr>
      </w:pPr>
      <w:r w:rsidRPr="001B0007">
        <w:rPr>
          <w:rFonts w:asciiTheme="minorHAnsi" w:hAnsiTheme="minorHAnsi"/>
          <w:b/>
        </w:rPr>
        <w:t>Indicators of context</w:t>
      </w:r>
    </w:p>
    <w:p w:rsidR="00927F54" w:rsidRPr="001B0007" w:rsidRDefault="00927F54" w:rsidP="00927F54">
      <w:pPr>
        <w:pStyle w:val="Listenabsatz"/>
        <w:numPr>
          <w:ilvl w:val="0"/>
          <w:numId w:val="3"/>
        </w:numPr>
        <w:spacing w:after="200" w:line="276" w:lineRule="auto"/>
        <w:ind w:right="0"/>
        <w:rPr>
          <w:rFonts w:asciiTheme="minorHAnsi" w:hAnsiTheme="minorHAnsi"/>
          <w:sz w:val="22"/>
          <w:szCs w:val="22"/>
        </w:rPr>
      </w:pPr>
      <w:r w:rsidRPr="001B0007">
        <w:rPr>
          <w:rFonts w:asciiTheme="minorHAnsi" w:hAnsiTheme="minorHAnsi"/>
          <w:sz w:val="22"/>
          <w:szCs w:val="22"/>
        </w:rPr>
        <w:t>General socioeconomic and other contextual factors (such as poverty, employment, food production, fertility)</w:t>
      </w:r>
    </w:p>
    <w:p w:rsidR="00927F54" w:rsidRPr="001B0007" w:rsidRDefault="00927F54" w:rsidP="00927F54">
      <w:pPr>
        <w:pStyle w:val="Listenabsatz"/>
        <w:numPr>
          <w:ilvl w:val="0"/>
          <w:numId w:val="3"/>
        </w:numPr>
        <w:spacing w:after="200" w:line="276" w:lineRule="auto"/>
        <w:ind w:right="0"/>
        <w:rPr>
          <w:rFonts w:asciiTheme="minorHAnsi" w:hAnsiTheme="minorHAnsi"/>
          <w:sz w:val="22"/>
          <w:szCs w:val="22"/>
        </w:rPr>
      </w:pPr>
      <w:r w:rsidRPr="001B0007">
        <w:rPr>
          <w:rFonts w:asciiTheme="minorHAnsi" w:hAnsiTheme="minorHAnsi"/>
          <w:sz w:val="22"/>
          <w:szCs w:val="22"/>
        </w:rPr>
        <w:t>Routine health services (such as health facilities, hospitals, human resources)</w:t>
      </w:r>
    </w:p>
    <w:p w:rsidR="00927F54" w:rsidRPr="001B0007" w:rsidRDefault="00927F54" w:rsidP="00927F54">
      <w:pPr>
        <w:pStyle w:val="Listenabsatz"/>
        <w:numPr>
          <w:ilvl w:val="0"/>
          <w:numId w:val="3"/>
        </w:numPr>
        <w:spacing w:after="200" w:line="276" w:lineRule="auto"/>
        <w:ind w:right="0"/>
        <w:rPr>
          <w:rFonts w:asciiTheme="minorHAnsi" w:hAnsiTheme="minorHAnsi"/>
          <w:sz w:val="22"/>
          <w:szCs w:val="22"/>
        </w:rPr>
      </w:pPr>
      <w:r w:rsidRPr="001B0007">
        <w:rPr>
          <w:rFonts w:asciiTheme="minorHAnsi" w:hAnsiTheme="minorHAnsi"/>
          <w:sz w:val="22"/>
          <w:szCs w:val="22"/>
        </w:rPr>
        <w:t>Interventions in other sectors (such as water, sanitation, education, transportation)</w:t>
      </w:r>
    </w:p>
    <w:p w:rsidR="00927F54" w:rsidRPr="001B0007" w:rsidRDefault="00927F54" w:rsidP="00927F54">
      <w:pPr>
        <w:pStyle w:val="Listenabsatz"/>
        <w:numPr>
          <w:ilvl w:val="0"/>
          <w:numId w:val="3"/>
        </w:numPr>
        <w:spacing w:after="200" w:line="276" w:lineRule="auto"/>
        <w:ind w:right="0"/>
        <w:rPr>
          <w:rFonts w:asciiTheme="minorHAnsi" w:hAnsiTheme="minorHAnsi"/>
          <w:sz w:val="22"/>
          <w:szCs w:val="22"/>
        </w:rPr>
      </w:pPr>
      <w:r w:rsidRPr="001B0007">
        <w:rPr>
          <w:rFonts w:asciiTheme="minorHAnsi" w:hAnsiTheme="minorHAnsi"/>
          <w:sz w:val="22"/>
          <w:szCs w:val="22"/>
        </w:rPr>
        <w:t xml:space="preserve">Other health programmes (such as family planning, food distribution, </w:t>
      </w:r>
      <w:proofErr w:type="spellStart"/>
      <w:r w:rsidRPr="001B0007">
        <w:rPr>
          <w:rFonts w:asciiTheme="minorHAnsi" w:hAnsiTheme="minorHAnsi"/>
          <w:sz w:val="22"/>
          <w:szCs w:val="22"/>
        </w:rPr>
        <w:t>bednets</w:t>
      </w:r>
      <w:proofErr w:type="spellEnd"/>
      <w:r w:rsidRPr="001B0007">
        <w:rPr>
          <w:rFonts w:asciiTheme="minorHAnsi" w:hAnsiTheme="minorHAnsi"/>
          <w:sz w:val="22"/>
          <w:szCs w:val="22"/>
        </w:rPr>
        <w:t>)</w:t>
      </w:r>
    </w:p>
    <w:p w:rsidR="00927F54" w:rsidRPr="001B0007" w:rsidRDefault="00927F54" w:rsidP="00927F54">
      <w:pPr>
        <w:pStyle w:val="Listenabsatz"/>
        <w:numPr>
          <w:ilvl w:val="0"/>
          <w:numId w:val="3"/>
        </w:numPr>
        <w:spacing w:after="200" w:line="276" w:lineRule="auto"/>
        <w:ind w:right="0"/>
        <w:rPr>
          <w:rFonts w:asciiTheme="minorHAnsi" w:hAnsiTheme="minorHAnsi"/>
          <w:sz w:val="22"/>
          <w:szCs w:val="22"/>
        </w:rPr>
      </w:pPr>
      <w:r w:rsidRPr="001B0007">
        <w:rPr>
          <w:rFonts w:asciiTheme="minorHAnsi" w:hAnsiTheme="minorHAnsi"/>
          <w:sz w:val="22"/>
          <w:szCs w:val="22"/>
        </w:rPr>
        <w:t>Coverage and impact of other health related intervention</w:t>
      </w:r>
    </w:p>
    <w:p w:rsidR="00927F54" w:rsidRPr="001B0007" w:rsidRDefault="00927F54" w:rsidP="00927F54">
      <w:pPr>
        <w:rPr>
          <w:rFonts w:asciiTheme="minorHAnsi" w:hAnsiTheme="minorHAnsi"/>
          <w:b/>
        </w:rPr>
      </w:pPr>
      <w:r w:rsidRPr="001B0007">
        <w:rPr>
          <w:rFonts w:asciiTheme="minorHAnsi" w:hAnsiTheme="minorHAnsi"/>
          <w:b/>
        </w:rPr>
        <w:t>Indicators of input</w:t>
      </w:r>
    </w:p>
    <w:p w:rsidR="00927F54" w:rsidRPr="001B0007" w:rsidRDefault="00927F54" w:rsidP="00927F54">
      <w:pPr>
        <w:pStyle w:val="Listenabsatz"/>
        <w:numPr>
          <w:ilvl w:val="0"/>
          <w:numId w:val="12"/>
        </w:numPr>
        <w:spacing w:after="200" w:line="276" w:lineRule="auto"/>
        <w:ind w:right="0"/>
        <w:rPr>
          <w:rFonts w:asciiTheme="minorHAnsi" w:hAnsiTheme="minorHAnsi"/>
          <w:sz w:val="22"/>
          <w:szCs w:val="22"/>
        </w:rPr>
      </w:pPr>
      <w:r w:rsidRPr="001B0007">
        <w:rPr>
          <w:rFonts w:asciiTheme="minorHAnsi" w:hAnsiTheme="minorHAnsi"/>
          <w:sz w:val="22"/>
          <w:szCs w:val="22"/>
        </w:rPr>
        <w:t>Available funding for health and particular maternal and newborn health</w:t>
      </w:r>
    </w:p>
    <w:p w:rsidR="00927F54" w:rsidRPr="001B0007" w:rsidRDefault="00927F54" w:rsidP="00927F54">
      <w:pPr>
        <w:pStyle w:val="Listenabsatz"/>
        <w:numPr>
          <w:ilvl w:val="0"/>
          <w:numId w:val="12"/>
        </w:numPr>
        <w:spacing w:after="200" w:line="276" w:lineRule="auto"/>
        <w:ind w:right="0"/>
        <w:rPr>
          <w:rFonts w:asciiTheme="minorHAnsi" w:hAnsiTheme="minorHAnsi"/>
          <w:sz w:val="22"/>
          <w:szCs w:val="22"/>
        </w:rPr>
      </w:pPr>
      <w:r w:rsidRPr="001B0007">
        <w:rPr>
          <w:rFonts w:asciiTheme="minorHAnsi" w:hAnsiTheme="minorHAnsi"/>
          <w:sz w:val="22"/>
          <w:szCs w:val="22"/>
        </w:rPr>
        <w:t>Policies</w:t>
      </w:r>
    </w:p>
    <w:p w:rsidR="00927F54" w:rsidRPr="001B0007" w:rsidRDefault="00927F54" w:rsidP="00927F54">
      <w:pPr>
        <w:pStyle w:val="Listenabsatz"/>
        <w:numPr>
          <w:ilvl w:val="0"/>
          <w:numId w:val="12"/>
        </w:numPr>
        <w:spacing w:after="200" w:line="276" w:lineRule="auto"/>
        <w:ind w:right="0"/>
        <w:rPr>
          <w:rFonts w:asciiTheme="minorHAnsi" w:hAnsiTheme="minorHAnsi"/>
          <w:sz w:val="22"/>
          <w:szCs w:val="22"/>
        </w:rPr>
      </w:pPr>
      <w:r w:rsidRPr="001B0007">
        <w:rPr>
          <w:rFonts w:asciiTheme="minorHAnsi" w:hAnsiTheme="minorHAnsi"/>
          <w:sz w:val="22"/>
          <w:szCs w:val="22"/>
        </w:rPr>
        <w:t xml:space="preserve">Planning and </w:t>
      </w:r>
      <w:proofErr w:type="spellStart"/>
      <w:r w:rsidRPr="001B0007">
        <w:rPr>
          <w:rFonts w:asciiTheme="minorHAnsi" w:hAnsiTheme="minorHAnsi"/>
          <w:sz w:val="22"/>
          <w:szCs w:val="22"/>
        </w:rPr>
        <w:t>strategising</w:t>
      </w:r>
      <w:proofErr w:type="spellEnd"/>
    </w:p>
    <w:p w:rsidR="00927F54" w:rsidRPr="001B0007" w:rsidRDefault="00927F54" w:rsidP="00927F54">
      <w:pPr>
        <w:pStyle w:val="Listenabsatz"/>
        <w:numPr>
          <w:ilvl w:val="0"/>
          <w:numId w:val="12"/>
        </w:numPr>
        <w:spacing w:after="200" w:line="276" w:lineRule="auto"/>
        <w:ind w:right="0"/>
        <w:rPr>
          <w:rFonts w:asciiTheme="minorHAnsi" w:hAnsiTheme="minorHAnsi"/>
          <w:sz w:val="22"/>
          <w:szCs w:val="22"/>
        </w:rPr>
      </w:pPr>
      <w:r w:rsidRPr="001B0007">
        <w:rPr>
          <w:rFonts w:asciiTheme="minorHAnsi" w:hAnsiTheme="minorHAnsi"/>
          <w:sz w:val="22"/>
          <w:szCs w:val="22"/>
        </w:rPr>
        <w:t xml:space="preserve">Human resources </w:t>
      </w:r>
    </w:p>
    <w:p w:rsidR="00927F54" w:rsidRDefault="00927F54" w:rsidP="00927F54">
      <w:pPr>
        <w:rPr>
          <w:b/>
        </w:rPr>
      </w:pPr>
      <w:r w:rsidRPr="001B0007">
        <w:rPr>
          <w:rFonts w:asciiTheme="minorHAnsi" w:hAnsiTheme="minorHAnsi"/>
        </w:rPr>
        <w:t xml:space="preserve">The information to obtain for measuring input and context indicators might slightly overlap and also the way how the information will be obtained. The following list was prepared on the basis of the publication from </w:t>
      </w:r>
      <w:proofErr w:type="spellStart"/>
      <w:r w:rsidRPr="001B0007">
        <w:rPr>
          <w:rFonts w:asciiTheme="minorHAnsi" w:hAnsiTheme="minorHAnsi"/>
        </w:rPr>
        <w:t>Victora</w:t>
      </w:r>
      <w:proofErr w:type="spellEnd"/>
      <w:r w:rsidRPr="001B0007">
        <w:rPr>
          <w:rFonts w:asciiTheme="minorHAnsi" w:hAnsiTheme="minorHAnsi"/>
        </w:rPr>
        <w:t xml:space="preserve"> et al. </w:t>
      </w:r>
      <w:r w:rsidR="00F45787" w:rsidRPr="001B0007">
        <w:rPr>
          <w:rFonts w:asciiTheme="minorHAnsi" w:hAnsiTheme="minorHAnsi"/>
        </w:rPr>
        <w:fldChar w:fldCharType="begin"/>
      </w:r>
      <w:r w:rsidR="00C068FF">
        <w:rPr>
          <w:rFonts w:asciiTheme="minorHAnsi" w:hAnsiTheme="minorHAnsi"/>
        </w:rPr>
        <w:instrText xml:space="preserve"> ADDIN EN.CITE &lt;EndNote&gt;&lt;Cite&gt;&lt;Author&gt;Victora&lt;/Author&gt;&lt;Year&gt;2011&lt;/Year&gt;&lt;RecNum&gt;3544&lt;/RecNum&gt;&lt;DisplayText&gt;[1]&lt;/DisplayText&gt;&lt;record&gt;&lt;rec-number&gt;3544&lt;/rec-number&gt;&lt;foreign-keys&gt;&lt;key app="EN" db-id="9swda00tptzxwjetdwpxz598ps55dwdpr2xw"&gt;3544&lt;/key&gt;&lt;/foreign-keys&gt;&lt;ref-type name="Journal Article"&gt;17&lt;/ref-type&gt;&lt;contributors&gt;&lt;authors&gt;&lt;author&gt;Victora, Cesar G.&lt;/author&gt;&lt;author&gt;Black, Robert E.&lt;/author&gt;&lt;author&gt;Boerma, J. Ties&lt;/author&gt;&lt;author&gt;Bryce, Jennifer&lt;/author&gt;&lt;/authors&gt;&lt;/contributors&gt;&lt;titles&gt;&lt;title&gt;Measuring impact in the Millennium Development Goal era and beyond: a new approach to large-scale effectiveness evaluations&lt;/title&gt;&lt;secondary-title&gt;The Lancet&lt;/secondary-title&gt;&lt;/titles&gt;&lt;periodical&gt;&lt;full-title&gt;The Lancet&lt;/full-title&gt;&lt;/periodical&gt;&lt;pages&gt;85-95&lt;/pages&gt;&lt;volume&gt;377&lt;/volume&gt;&lt;number&gt;9759&lt;/number&gt;&lt;dates&gt;&lt;year&gt;2011&lt;/year&gt;&lt;pub-dates&gt;&lt;date&gt;2011/1/7/&lt;/date&gt;&lt;/pub-dates&gt;&lt;/dates&gt;&lt;isbn&gt;0140-6736&lt;/isbn&gt;&lt;urls&gt;&lt;related-urls&gt;&lt;url&gt;http://www.sciencedirect.com/science/article/B6T1B-50GTDJH-1/2/11ec6fc154abcad31a0b06dd4a809f5d&lt;/url&gt;&lt;/related-urls&gt;&lt;/urls&gt;&lt;/record&gt;&lt;/Cite&gt;&lt;/EndNote&gt;</w:instrText>
      </w:r>
      <w:r w:rsidR="00F45787" w:rsidRPr="001B0007">
        <w:rPr>
          <w:rFonts w:asciiTheme="minorHAnsi" w:hAnsiTheme="minorHAnsi"/>
        </w:rPr>
        <w:fldChar w:fldCharType="separate"/>
      </w:r>
      <w:r w:rsidR="00C068FF">
        <w:rPr>
          <w:rFonts w:asciiTheme="minorHAnsi" w:hAnsiTheme="minorHAnsi"/>
          <w:noProof/>
        </w:rPr>
        <w:t>[</w:t>
      </w:r>
      <w:hyperlink w:anchor="_ENREF_1" w:tooltip="Victora, 2011 #3544" w:history="1">
        <w:r w:rsidR="00C068FF">
          <w:rPr>
            <w:rFonts w:asciiTheme="minorHAnsi" w:hAnsiTheme="minorHAnsi"/>
            <w:noProof/>
          </w:rPr>
          <w:t>1</w:t>
        </w:r>
      </w:hyperlink>
      <w:r w:rsidR="00C068FF">
        <w:rPr>
          <w:rFonts w:asciiTheme="minorHAnsi" w:hAnsiTheme="minorHAnsi"/>
          <w:noProof/>
        </w:rPr>
        <w:t>]</w:t>
      </w:r>
      <w:r w:rsidR="00F45787" w:rsidRPr="001B0007">
        <w:rPr>
          <w:rFonts w:asciiTheme="minorHAnsi" w:hAnsiTheme="minorHAnsi"/>
        </w:rPr>
        <w:fldChar w:fldCharType="end"/>
      </w:r>
      <w:r w:rsidRPr="001B0007">
        <w:rPr>
          <w:rFonts w:asciiTheme="minorHAnsi" w:hAnsiTheme="minorHAnsi"/>
        </w:rPr>
        <w:t xml:space="preserve">, the INSIST table of follow up of context, and the framework on evaluation from Bryce et al. </w:t>
      </w:r>
      <w:r w:rsidR="00F45787" w:rsidRPr="001B0007">
        <w:rPr>
          <w:rFonts w:asciiTheme="minorHAnsi" w:hAnsiTheme="minorHAnsi"/>
        </w:rPr>
        <w:fldChar w:fldCharType="begin"/>
      </w:r>
      <w:r w:rsidR="00C068FF">
        <w:rPr>
          <w:rFonts w:asciiTheme="minorHAnsi" w:hAnsiTheme="minorHAnsi"/>
        </w:rPr>
        <w:instrText xml:space="preserve"> ADDIN EN.CITE &lt;EndNote&gt;&lt;Cite&gt;&lt;Author&gt;Bryce&lt;/Author&gt;&lt;Year&gt;2010&lt;/Year&gt;&lt;RecNum&gt;1417&lt;/RecNum&gt;&lt;DisplayText&gt;[2]&lt;/DisplayText&gt;&lt;record&gt;&lt;rec-number&gt;1417&lt;/rec-number&gt;&lt;foreign-keys&gt;&lt;key app="EN" db-id="9swda00tptzxwjetdwpxz598ps55dwdpr2xw"&gt;1417&lt;/key&gt;&lt;/foreign-keys&gt;&lt;ref-type name="Web Page"&gt;12&lt;/ref-type&gt;&lt;contributors&gt;&lt;authors&gt;&lt;author&gt;Bryce, J&lt;/author&gt;&lt;author&gt;Victora, C&lt;/author&gt;&lt;author&gt;Boerma, T&lt;/author&gt;&lt;author&gt;Peters, DH&lt;/author&gt;&lt;author&gt;Black, R.&lt;/author&gt;&lt;/authors&gt;&lt;/contributors&gt;&lt;titles&gt;&lt;title&gt;Evaluating the scale-up for maternal and child survival: A common framework&lt;/title&gt;&lt;/titles&gt;&lt;volume&gt;2011&lt;/volume&gt;&lt;number&gt;June&lt;/number&gt;&lt;dates&gt;&lt;year&gt;2010&lt;/year&gt;&lt;/dates&gt;&lt;urls&gt;&lt;related-urls&gt;&lt;url&gt;http://www.jhsph.edu/bin/a/d/common_evaluation_framework.pdf&lt;/url&gt;&lt;/related-urls&gt;&lt;/urls&gt;&lt;/record&gt;&lt;/Cite&gt;&lt;/EndNote&gt;</w:instrText>
      </w:r>
      <w:r w:rsidR="00F45787" w:rsidRPr="001B0007">
        <w:rPr>
          <w:rFonts w:asciiTheme="minorHAnsi" w:hAnsiTheme="minorHAnsi"/>
        </w:rPr>
        <w:fldChar w:fldCharType="separate"/>
      </w:r>
      <w:r w:rsidR="00C068FF">
        <w:rPr>
          <w:rFonts w:asciiTheme="minorHAnsi" w:hAnsiTheme="minorHAnsi"/>
          <w:noProof/>
        </w:rPr>
        <w:t>[</w:t>
      </w:r>
      <w:hyperlink w:anchor="_ENREF_2" w:tooltip="Bryce, 2010 #1417" w:history="1">
        <w:r w:rsidR="00C068FF">
          <w:rPr>
            <w:rFonts w:asciiTheme="minorHAnsi" w:hAnsiTheme="minorHAnsi"/>
            <w:noProof/>
          </w:rPr>
          <w:t>2</w:t>
        </w:r>
      </w:hyperlink>
      <w:r w:rsidR="00C068FF">
        <w:rPr>
          <w:rFonts w:asciiTheme="minorHAnsi" w:hAnsiTheme="minorHAnsi"/>
          <w:noProof/>
        </w:rPr>
        <w:t>]</w:t>
      </w:r>
      <w:r w:rsidR="00F45787" w:rsidRPr="001B0007">
        <w:rPr>
          <w:rFonts w:asciiTheme="minorHAnsi" w:hAnsiTheme="minorHAnsi"/>
        </w:rPr>
        <w:fldChar w:fldCharType="end"/>
      </w:r>
      <w:r w:rsidRPr="001B0007">
        <w:rPr>
          <w:rFonts w:asciiTheme="minorHAnsi" w:hAnsiTheme="minorHAnsi"/>
        </w:rPr>
        <w:t xml:space="preserve">. </w:t>
      </w:r>
      <w:r>
        <w:rPr>
          <w:b/>
        </w:rPr>
        <w:br w:type="page"/>
      </w:r>
    </w:p>
    <w:p w:rsidR="00927F54" w:rsidRPr="00B264A1" w:rsidRDefault="00927F54" w:rsidP="00927F54">
      <w:pPr>
        <w:rPr>
          <w:b/>
          <w:sz w:val="24"/>
          <w:szCs w:val="24"/>
        </w:rPr>
      </w:pPr>
      <w:r>
        <w:rPr>
          <w:b/>
          <w:sz w:val="24"/>
          <w:szCs w:val="24"/>
        </w:rPr>
        <w:lastRenderedPageBreak/>
        <w:t xml:space="preserve">Table: </w:t>
      </w:r>
      <w:r w:rsidRPr="00B264A1">
        <w:rPr>
          <w:b/>
          <w:sz w:val="24"/>
          <w:szCs w:val="24"/>
        </w:rPr>
        <w:t>List of indicators / information for follow up of context and inputs</w:t>
      </w:r>
    </w:p>
    <w:tbl>
      <w:tblPr>
        <w:tblStyle w:val="Tabellengitternetz"/>
        <w:tblW w:w="0" w:type="auto"/>
        <w:tblLook w:val="04A0"/>
      </w:tblPr>
      <w:tblGrid>
        <w:gridCol w:w="2518"/>
        <w:gridCol w:w="1559"/>
        <w:gridCol w:w="5103"/>
      </w:tblGrid>
      <w:tr w:rsidR="00927F54" w:rsidTr="009C63C7">
        <w:tc>
          <w:tcPr>
            <w:tcW w:w="2518" w:type="dxa"/>
          </w:tcPr>
          <w:p w:rsidR="00927F54" w:rsidRPr="00FB7182" w:rsidRDefault="00927F54" w:rsidP="001B0007">
            <w:pPr>
              <w:spacing w:after="0"/>
              <w:rPr>
                <w:b/>
              </w:rPr>
            </w:pPr>
            <w:r w:rsidRPr="00FB7182">
              <w:rPr>
                <w:b/>
              </w:rPr>
              <w:t>Indicator /Information</w:t>
            </w:r>
          </w:p>
        </w:tc>
        <w:tc>
          <w:tcPr>
            <w:tcW w:w="1559" w:type="dxa"/>
          </w:tcPr>
          <w:p w:rsidR="00927F54" w:rsidRPr="00FB7182" w:rsidRDefault="00927F54" w:rsidP="001B0007">
            <w:pPr>
              <w:spacing w:after="0"/>
              <w:rPr>
                <w:b/>
              </w:rPr>
            </w:pPr>
            <w:r w:rsidRPr="00FB7182">
              <w:rPr>
                <w:b/>
              </w:rPr>
              <w:t>Input /</w:t>
            </w:r>
            <w:r>
              <w:rPr>
                <w:b/>
              </w:rPr>
              <w:t>c</w:t>
            </w:r>
            <w:r w:rsidRPr="00FB7182">
              <w:rPr>
                <w:b/>
              </w:rPr>
              <w:t>ontext</w:t>
            </w:r>
          </w:p>
        </w:tc>
        <w:tc>
          <w:tcPr>
            <w:tcW w:w="5103" w:type="dxa"/>
          </w:tcPr>
          <w:p w:rsidR="00927F54" w:rsidRPr="00FB7182" w:rsidRDefault="00927F54" w:rsidP="001B0007">
            <w:pPr>
              <w:spacing w:after="0"/>
              <w:rPr>
                <w:b/>
              </w:rPr>
            </w:pPr>
            <w:r>
              <w:rPr>
                <w:b/>
              </w:rPr>
              <w:t>Possible s</w:t>
            </w:r>
            <w:r w:rsidRPr="00FB7182">
              <w:rPr>
                <w:b/>
              </w:rPr>
              <w:t>ource /Method to obtain</w:t>
            </w:r>
            <w:r>
              <w:rPr>
                <w:b/>
              </w:rPr>
              <w:t xml:space="preserve"> information</w:t>
            </w:r>
          </w:p>
        </w:tc>
      </w:tr>
      <w:tr w:rsidR="00927F54" w:rsidTr="009C63C7">
        <w:tc>
          <w:tcPr>
            <w:tcW w:w="9180" w:type="dxa"/>
            <w:gridSpan w:val="3"/>
          </w:tcPr>
          <w:p w:rsidR="00927F54" w:rsidRDefault="00927F54" w:rsidP="001B0007">
            <w:pPr>
              <w:spacing w:after="0"/>
            </w:pPr>
            <w:r w:rsidRPr="00826271">
              <w:rPr>
                <w:b/>
              </w:rPr>
              <w:t>General socioeconomic &amp; other contextual factors</w:t>
            </w:r>
          </w:p>
        </w:tc>
      </w:tr>
      <w:tr w:rsidR="00927F54" w:rsidTr="009C63C7">
        <w:tc>
          <w:tcPr>
            <w:tcW w:w="2518" w:type="dxa"/>
          </w:tcPr>
          <w:p w:rsidR="00927F54" w:rsidRDefault="00927F54" w:rsidP="001B0007">
            <w:pPr>
              <w:spacing w:after="0"/>
            </w:pPr>
            <w:r>
              <w:t>Poverty / wealth index</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-Annual District reports including information on sales of cash crops</w:t>
            </w:r>
          </w:p>
          <w:p w:rsidR="00927F54" w:rsidRDefault="00927F54" w:rsidP="001B0007">
            <w:pPr>
              <w:spacing w:after="0"/>
            </w:pPr>
            <w:r>
              <w:t>-Demographic and health surveys</w:t>
            </w:r>
          </w:p>
          <w:p w:rsidR="00927F54" w:rsidRDefault="00927F54" w:rsidP="001B0007">
            <w:pPr>
              <w:spacing w:after="0"/>
            </w:pPr>
            <w:r>
              <w:t>-national reports such as UNDP development reports and others</w:t>
            </w:r>
          </w:p>
          <w:p w:rsidR="00927F54" w:rsidRDefault="001B0007" w:rsidP="001B0007">
            <w:pPr>
              <w:spacing w:after="0"/>
            </w:pPr>
            <w:r>
              <w:t>-</w:t>
            </w:r>
            <w:r w:rsidR="00927F54">
              <w:t>-Inclusion of wealth index in HH-survey</w:t>
            </w:r>
          </w:p>
          <w:p w:rsidR="00927F54" w:rsidRDefault="00927F54" w:rsidP="001B0007">
            <w:pPr>
              <w:spacing w:after="0"/>
            </w:pPr>
            <w:r>
              <w:t>-Census TZA 2012</w:t>
            </w:r>
          </w:p>
        </w:tc>
      </w:tr>
      <w:tr w:rsidR="00927F54" w:rsidTr="009C63C7">
        <w:tc>
          <w:tcPr>
            <w:tcW w:w="2518" w:type="dxa"/>
          </w:tcPr>
          <w:p w:rsidR="00927F54" w:rsidRDefault="00927F54" w:rsidP="001B0007">
            <w:pPr>
              <w:spacing w:after="0"/>
            </w:pPr>
            <w:r>
              <w:t xml:space="preserve">Education </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-Annual Report of education team</w:t>
            </w:r>
          </w:p>
          <w:p w:rsidR="00927F54" w:rsidRDefault="00927F54" w:rsidP="001B0007">
            <w:pPr>
              <w:spacing w:after="0"/>
            </w:pPr>
            <w:r>
              <w:t>-inclusion of education level in HH-survey</w:t>
            </w:r>
          </w:p>
        </w:tc>
      </w:tr>
      <w:tr w:rsidR="00927F54" w:rsidTr="009C63C7">
        <w:tc>
          <w:tcPr>
            <w:tcW w:w="2518" w:type="dxa"/>
          </w:tcPr>
          <w:p w:rsidR="00927F54" w:rsidRDefault="00927F54" w:rsidP="001B0007">
            <w:pPr>
              <w:spacing w:after="0"/>
            </w:pPr>
            <w:r>
              <w:t>Population density</w:t>
            </w:r>
          </w:p>
          <w:p w:rsidR="00927F54" w:rsidRDefault="00927F54" w:rsidP="001B0007">
            <w:pPr>
              <w:spacing w:after="0"/>
            </w:pPr>
            <w:r>
              <w:t>Fertility</w:t>
            </w:r>
          </w:p>
          <w:p w:rsidR="00927F54" w:rsidRDefault="00927F54" w:rsidP="001B0007">
            <w:pPr>
              <w:spacing w:after="0"/>
            </w:pPr>
            <w:r>
              <w:t>Family size</w:t>
            </w:r>
          </w:p>
          <w:p w:rsidR="00927F54" w:rsidRDefault="00927F54" w:rsidP="001B0007">
            <w:pPr>
              <w:spacing w:after="0"/>
            </w:pPr>
            <w:r>
              <w:t>Ethnic group</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-Census / DHS data</w:t>
            </w:r>
          </w:p>
          <w:p w:rsidR="00927F54" w:rsidRDefault="00927F54" w:rsidP="001B0007">
            <w:pPr>
              <w:spacing w:after="0"/>
            </w:pPr>
            <w:r>
              <w:t>-Inclusion of demographic data /fertility to HH- survey</w:t>
            </w:r>
          </w:p>
          <w:p w:rsidR="00927F54" w:rsidRDefault="00927F54" w:rsidP="001B0007">
            <w:pPr>
              <w:spacing w:after="0"/>
            </w:pPr>
            <w:r>
              <w:t>-Inclusion of question concerning ethnic group to HH-survey</w:t>
            </w:r>
          </w:p>
          <w:p w:rsidR="00927F54" w:rsidRDefault="00927F54" w:rsidP="001B0007">
            <w:pPr>
              <w:spacing w:after="0"/>
            </w:pPr>
            <w:r>
              <w:t xml:space="preserve">-inclusion of </w:t>
            </w:r>
            <w:r w:rsidRPr="00162337">
              <w:t>geographical positioning</w:t>
            </w:r>
            <w:r>
              <w:t xml:space="preserve"> to HH-survey</w:t>
            </w:r>
          </w:p>
        </w:tc>
      </w:tr>
      <w:tr w:rsidR="00927F54" w:rsidTr="009C63C7">
        <w:tc>
          <w:tcPr>
            <w:tcW w:w="2518" w:type="dxa"/>
          </w:tcPr>
          <w:p w:rsidR="00927F54" w:rsidRDefault="00927F54" w:rsidP="001B0007">
            <w:pPr>
              <w:spacing w:after="0"/>
            </w:pPr>
            <w:r>
              <w:t>Water supply</w:t>
            </w:r>
          </w:p>
          <w:p w:rsidR="00927F54" w:rsidRDefault="00927F54" w:rsidP="001B0007">
            <w:pPr>
              <w:spacing w:after="0"/>
            </w:pPr>
            <w:r>
              <w:t xml:space="preserve">Sanitation </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 xml:space="preserve">-annual district report from water /sanitation department </w:t>
            </w:r>
          </w:p>
        </w:tc>
      </w:tr>
      <w:tr w:rsidR="00927F54" w:rsidTr="009C63C7">
        <w:tc>
          <w:tcPr>
            <w:tcW w:w="2518" w:type="dxa"/>
          </w:tcPr>
          <w:p w:rsidR="00927F54" w:rsidRDefault="00927F54" w:rsidP="001B0007">
            <w:pPr>
              <w:spacing w:after="0"/>
            </w:pPr>
            <w:r>
              <w:t xml:space="preserve">Transport </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Reports / car and motor cycle registration</w:t>
            </w:r>
          </w:p>
          <w:p w:rsidR="00927F54" w:rsidRDefault="00927F54" w:rsidP="001B0007">
            <w:pPr>
              <w:spacing w:after="0"/>
            </w:pPr>
            <w:r>
              <w:t>HH-survey availability of bicycle in household</w:t>
            </w:r>
          </w:p>
        </w:tc>
      </w:tr>
      <w:tr w:rsidR="00927F54" w:rsidTr="009C63C7">
        <w:tc>
          <w:tcPr>
            <w:tcW w:w="2518" w:type="dxa"/>
          </w:tcPr>
          <w:p w:rsidR="00927F54" w:rsidRDefault="00927F54" w:rsidP="001B0007">
            <w:pPr>
              <w:spacing w:after="0"/>
            </w:pPr>
            <w:r>
              <w:t xml:space="preserve"> Mobile phones </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HH-survey availability of mobile phone in household</w:t>
            </w:r>
          </w:p>
        </w:tc>
      </w:tr>
      <w:tr w:rsidR="00927F54" w:rsidTr="009C63C7">
        <w:tc>
          <w:tcPr>
            <w:tcW w:w="2518" w:type="dxa"/>
          </w:tcPr>
          <w:p w:rsidR="00927F54" w:rsidRDefault="00927F54" w:rsidP="001B0007">
            <w:pPr>
              <w:spacing w:after="0"/>
            </w:pPr>
            <w:r>
              <w:t>natural and political disasters  such as droughts, floods</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Reports, newspapers</w:t>
            </w:r>
          </w:p>
        </w:tc>
      </w:tr>
      <w:tr w:rsidR="00927F54" w:rsidTr="009C63C7">
        <w:tc>
          <w:tcPr>
            <w:tcW w:w="9180" w:type="dxa"/>
            <w:gridSpan w:val="3"/>
          </w:tcPr>
          <w:p w:rsidR="00927F54" w:rsidRDefault="00927F54" w:rsidP="001B0007">
            <w:pPr>
              <w:spacing w:after="0"/>
            </w:pPr>
            <w:r w:rsidRPr="008C501D">
              <w:rPr>
                <w:b/>
              </w:rPr>
              <w:t xml:space="preserve">Baseline Health Characteristic </w:t>
            </w:r>
          </w:p>
        </w:tc>
      </w:tr>
      <w:tr w:rsidR="00927F54" w:rsidTr="009C63C7">
        <w:tc>
          <w:tcPr>
            <w:tcW w:w="2518" w:type="dxa"/>
          </w:tcPr>
          <w:p w:rsidR="00927F54" w:rsidRDefault="00927F54" w:rsidP="001B0007">
            <w:pPr>
              <w:spacing w:after="0"/>
            </w:pPr>
            <w:r>
              <w:t>Under-5-Mortality</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INSIST /UNEST DHS/Census</w:t>
            </w:r>
          </w:p>
        </w:tc>
      </w:tr>
      <w:tr w:rsidR="00927F54" w:rsidTr="009C63C7">
        <w:tc>
          <w:tcPr>
            <w:tcW w:w="2518" w:type="dxa"/>
          </w:tcPr>
          <w:p w:rsidR="00927F54" w:rsidRDefault="00927F54" w:rsidP="001B0007">
            <w:pPr>
              <w:spacing w:after="0"/>
            </w:pPr>
            <w:r>
              <w:t>Maternal  and newborn mortality</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 xml:space="preserve">INSIST/UNEST data </w:t>
            </w:r>
          </w:p>
        </w:tc>
      </w:tr>
      <w:tr w:rsidR="00927F54" w:rsidTr="009C63C7">
        <w:tc>
          <w:tcPr>
            <w:tcW w:w="2518" w:type="dxa"/>
          </w:tcPr>
          <w:p w:rsidR="00927F54" w:rsidRDefault="00927F54" w:rsidP="001B0007">
            <w:pPr>
              <w:spacing w:after="0"/>
            </w:pPr>
            <w:r>
              <w:t>Prevalence of malnutrition</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DHS</w:t>
            </w:r>
          </w:p>
        </w:tc>
      </w:tr>
      <w:tr w:rsidR="00927F54" w:rsidTr="009C63C7">
        <w:tc>
          <w:tcPr>
            <w:tcW w:w="2518" w:type="dxa"/>
          </w:tcPr>
          <w:p w:rsidR="00927F54" w:rsidRDefault="00927F54" w:rsidP="001B0007">
            <w:pPr>
              <w:spacing w:after="0"/>
            </w:pPr>
            <w:r>
              <w:t>HIV prevalence</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t>IN TZA:  AIS 2010/11 and Uganda AIS 2011 but only regional, not district data available</w:t>
            </w:r>
          </w:p>
          <w:p w:rsidR="00927F54" w:rsidRDefault="00927F54" w:rsidP="001B0007">
            <w:pPr>
              <w:spacing w:after="0"/>
            </w:pPr>
            <w:r>
              <w:t>Data from PMTCT as proxy</w:t>
            </w:r>
          </w:p>
        </w:tc>
      </w:tr>
      <w:tr w:rsidR="00927F54" w:rsidTr="009C63C7">
        <w:tc>
          <w:tcPr>
            <w:tcW w:w="2518" w:type="dxa"/>
          </w:tcPr>
          <w:p w:rsidR="00927F54" w:rsidRDefault="00927F54" w:rsidP="001B0007">
            <w:pPr>
              <w:spacing w:after="0"/>
            </w:pPr>
            <w:r>
              <w:t>Malaria transmission</w:t>
            </w:r>
          </w:p>
        </w:tc>
        <w:tc>
          <w:tcPr>
            <w:tcW w:w="1559" w:type="dxa"/>
          </w:tcPr>
          <w:p w:rsidR="00927F54" w:rsidRDefault="00927F54" w:rsidP="001B0007">
            <w:pPr>
              <w:spacing w:after="0"/>
            </w:pPr>
            <w:r>
              <w:t>context</w:t>
            </w:r>
          </w:p>
        </w:tc>
        <w:tc>
          <w:tcPr>
            <w:tcW w:w="5103" w:type="dxa"/>
          </w:tcPr>
          <w:p w:rsidR="00927F54" w:rsidRDefault="00927F54" w:rsidP="001B0007">
            <w:pPr>
              <w:spacing w:after="0"/>
            </w:pPr>
            <w:r w:rsidRPr="000445A3">
              <w:t>http://ipti.lshtm.ac.uk/questions/</w:t>
            </w:r>
            <w:r>
              <w:t xml:space="preserve"> (regional data available)</w:t>
            </w:r>
          </w:p>
        </w:tc>
      </w:tr>
      <w:tr w:rsidR="00927F54" w:rsidTr="009C63C7">
        <w:tc>
          <w:tcPr>
            <w:tcW w:w="9180" w:type="dxa"/>
            <w:gridSpan w:val="3"/>
          </w:tcPr>
          <w:p w:rsidR="00927F54" w:rsidRDefault="00927F54" w:rsidP="001B0007">
            <w:pPr>
              <w:spacing w:after="0"/>
            </w:pPr>
            <w:r w:rsidRPr="00FE7BD0">
              <w:rPr>
                <w:b/>
              </w:rPr>
              <w:t>Policy and governmental changes</w:t>
            </w:r>
          </w:p>
        </w:tc>
      </w:tr>
      <w:tr w:rsidR="00927F54" w:rsidTr="009C63C7">
        <w:tc>
          <w:tcPr>
            <w:tcW w:w="2518" w:type="dxa"/>
          </w:tcPr>
          <w:p w:rsidR="00927F54" w:rsidRDefault="00927F54" w:rsidP="001B0007">
            <w:pPr>
              <w:spacing w:after="0"/>
            </w:pPr>
            <w:r>
              <w:t>Health policy changes</w:t>
            </w:r>
          </w:p>
        </w:tc>
        <w:tc>
          <w:tcPr>
            <w:tcW w:w="1559" w:type="dxa"/>
          </w:tcPr>
          <w:p w:rsidR="00927F54" w:rsidRDefault="00927F54" w:rsidP="001B0007">
            <w:pPr>
              <w:spacing w:after="0"/>
            </w:pPr>
            <w:r>
              <w:t xml:space="preserve">Input /context </w:t>
            </w:r>
          </w:p>
        </w:tc>
        <w:tc>
          <w:tcPr>
            <w:tcW w:w="5103" w:type="dxa"/>
          </w:tcPr>
          <w:p w:rsidR="00927F54" w:rsidRDefault="00927F54" w:rsidP="001B0007">
            <w:pPr>
              <w:spacing w:after="0"/>
            </w:pPr>
            <w:r>
              <w:t>-Discussions with DHT/CHMT on major new policies, particular introduction of new intervention for maternal and newborn health</w:t>
            </w:r>
          </w:p>
        </w:tc>
      </w:tr>
      <w:tr w:rsidR="00927F54" w:rsidTr="009C63C7">
        <w:tc>
          <w:tcPr>
            <w:tcW w:w="2518" w:type="dxa"/>
          </w:tcPr>
          <w:p w:rsidR="00927F54" w:rsidRDefault="00927F54" w:rsidP="001B0007">
            <w:pPr>
              <w:spacing w:after="0"/>
            </w:pPr>
            <w:r>
              <w:t>Governmental changes</w:t>
            </w:r>
          </w:p>
        </w:tc>
        <w:tc>
          <w:tcPr>
            <w:tcW w:w="1559" w:type="dxa"/>
          </w:tcPr>
          <w:p w:rsidR="00927F54" w:rsidRDefault="00927F54" w:rsidP="001B0007">
            <w:pPr>
              <w:spacing w:after="0"/>
            </w:pPr>
            <w:r>
              <w:t>Input /context</w:t>
            </w:r>
          </w:p>
        </w:tc>
        <w:tc>
          <w:tcPr>
            <w:tcW w:w="5103" w:type="dxa"/>
          </w:tcPr>
          <w:p w:rsidR="00927F54" w:rsidRDefault="00927F54" w:rsidP="001B0007">
            <w:pPr>
              <w:spacing w:after="0"/>
            </w:pPr>
            <w:r>
              <w:t xml:space="preserve">-Interview with  DHT/CHMT </w:t>
            </w:r>
            <w:proofErr w:type="spellStart"/>
            <w:r>
              <w:t>maybe</w:t>
            </w:r>
            <w:proofErr w:type="spellEnd"/>
            <w:r>
              <w:t xml:space="preserve"> complemented by district administrative staff ( DED &amp; DC in TZA)</w:t>
            </w:r>
          </w:p>
        </w:tc>
      </w:tr>
    </w:tbl>
    <w:p w:rsidR="00927F54" w:rsidRDefault="00927F54" w:rsidP="001B0007">
      <w:pPr>
        <w:spacing w:after="0"/>
      </w:pPr>
    </w:p>
    <w:p w:rsidR="00927F54" w:rsidRDefault="00927F54" w:rsidP="00927F54">
      <w:pPr>
        <w:rPr>
          <w:b/>
          <w:sz w:val="24"/>
          <w:szCs w:val="24"/>
        </w:rPr>
      </w:pPr>
      <w:r>
        <w:rPr>
          <w:b/>
          <w:sz w:val="24"/>
          <w:szCs w:val="24"/>
        </w:rPr>
        <w:br w:type="page"/>
      </w:r>
    </w:p>
    <w:p w:rsidR="00927F54" w:rsidRDefault="00927F54" w:rsidP="00927F54">
      <w:pPr>
        <w:rPr>
          <w:b/>
          <w:sz w:val="24"/>
          <w:szCs w:val="24"/>
        </w:rPr>
      </w:pPr>
      <w:r>
        <w:rPr>
          <w:b/>
          <w:sz w:val="24"/>
          <w:szCs w:val="24"/>
        </w:rPr>
        <w:lastRenderedPageBreak/>
        <w:t xml:space="preserve">Table: </w:t>
      </w:r>
      <w:r w:rsidRPr="00B264A1">
        <w:rPr>
          <w:b/>
          <w:sz w:val="24"/>
          <w:szCs w:val="24"/>
        </w:rPr>
        <w:t>List of indicators / information for follow up of context and inputs</w:t>
      </w:r>
      <w:r>
        <w:rPr>
          <w:b/>
          <w:sz w:val="24"/>
          <w:szCs w:val="24"/>
        </w:rPr>
        <w:t xml:space="preserve">, </w:t>
      </w:r>
      <w:r w:rsidRPr="00B264A1">
        <w:rPr>
          <w:b/>
          <w:sz w:val="24"/>
          <w:szCs w:val="24"/>
        </w:rPr>
        <w:t>continued</w:t>
      </w:r>
    </w:p>
    <w:tbl>
      <w:tblPr>
        <w:tblStyle w:val="Tabellengitternetz"/>
        <w:tblW w:w="0" w:type="auto"/>
        <w:tblLook w:val="04A0"/>
      </w:tblPr>
      <w:tblGrid>
        <w:gridCol w:w="2322"/>
        <w:gridCol w:w="1755"/>
        <w:gridCol w:w="5103"/>
      </w:tblGrid>
      <w:tr w:rsidR="00927F54" w:rsidTr="009C63C7">
        <w:tc>
          <w:tcPr>
            <w:tcW w:w="9180" w:type="dxa"/>
            <w:gridSpan w:val="3"/>
          </w:tcPr>
          <w:p w:rsidR="00927F54" w:rsidRDefault="00927F54" w:rsidP="001B0007">
            <w:pPr>
              <w:spacing w:after="0"/>
            </w:pPr>
            <w:r w:rsidRPr="00304815">
              <w:rPr>
                <w:b/>
              </w:rPr>
              <w:t>Health Service Characteristics</w:t>
            </w:r>
          </w:p>
        </w:tc>
      </w:tr>
      <w:tr w:rsidR="00927F54" w:rsidTr="009C63C7">
        <w:tc>
          <w:tcPr>
            <w:tcW w:w="2322" w:type="dxa"/>
          </w:tcPr>
          <w:p w:rsidR="00927F54" w:rsidRDefault="00927F54" w:rsidP="001B0007">
            <w:pPr>
              <w:spacing w:after="0"/>
            </w:pPr>
            <w:r>
              <w:t>Number of hospitals, Health centres / dispensaries</w:t>
            </w:r>
          </w:p>
        </w:tc>
        <w:tc>
          <w:tcPr>
            <w:tcW w:w="1755" w:type="dxa"/>
          </w:tcPr>
          <w:p w:rsidR="00927F54" w:rsidRDefault="00927F54" w:rsidP="001B0007">
            <w:pPr>
              <w:spacing w:after="0"/>
            </w:pPr>
            <w:r>
              <w:t xml:space="preserve">Input/context </w:t>
            </w:r>
          </w:p>
        </w:tc>
        <w:tc>
          <w:tcPr>
            <w:tcW w:w="5103" w:type="dxa"/>
          </w:tcPr>
          <w:p w:rsidR="00927F54" w:rsidRDefault="00927F54" w:rsidP="001B0007">
            <w:pPr>
              <w:spacing w:after="0"/>
            </w:pPr>
            <w:r>
              <w:t>annual health plans and any annual health report</w:t>
            </w:r>
          </w:p>
        </w:tc>
      </w:tr>
      <w:tr w:rsidR="00927F54" w:rsidTr="009C63C7">
        <w:tc>
          <w:tcPr>
            <w:tcW w:w="2322" w:type="dxa"/>
          </w:tcPr>
          <w:p w:rsidR="00927F54" w:rsidRDefault="00927F54" w:rsidP="001B0007">
            <w:pPr>
              <w:spacing w:after="0"/>
            </w:pPr>
            <w:r>
              <w:t>Health worker staffing patters</w:t>
            </w:r>
          </w:p>
        </w:tc>
        <w:tc>
          <w:tcPr>
            <w:tcW w:w="1755" w:type="dxa"/>
          </w:tcPr>
          <w:p w:rsidR="00927F54" w:rsidRDefault="00927F54" w:rsidP="001B0007">
            <w:pPr>
              <w:spacing w:after="0"/>
            </w:pPr>
            <w:r>
              <w:t>Input/context</w:t>
            </w:r>
          </w:p>
        </w:tc>
        <w:tc>
          <w:tcPr>
            <w:tcW w:w="5103" w:type="dxa"/>
          </w:tcPr>
          <w:p w:rsidR="00927F54" w:rsidRDefault="00927F54" w:rsidP="001B0007">
            <w:pPr>
              <w:spacing w:after="0"/>
            </w:pPr>
            <w:r>
              <w:t xml:space="preserve">Staffing assessed during HF-survey </w:t>
            </w:r>
          </w:p>
          <w:p w:rsidR="00927F54" w:rsidRDefault="00927F54" w:rsidP="001B0007">
            <w:pPr>
              <w:spacing w:after="0"/>
            </w:pPr>
            <w:r>
              <w:t>(registers or pay-role registers often not reliable)</w:t>
            </w:r>
          </w:p>
        </w:tc>
      </w:tr>
      <w:tr w:rsidR="00927F54" w:rsidTr="009C63C7">
        <w:tc>
          <w:tcPr>
            <w:tcW w:w="2322" w:type="dxa"/>
          </w:tcPr>
          <w:p w:rsidR="00927F54" w:rsidRDefault="00927F54" w:rsidP="001B0007">
            <w:pPr>
              <w:spacing w:after="0"/>
            </w:pPr>
            <w:r>
              <w:t>Drug supply</w:t>
            </w:r>
          </w:p>
        </w:tc>
        <w:tc>
          <w:tcPr>
            <w:tcW w:w="1755" w:type="dxa"/>
          </w:tcPr>
          <w:p w:rsidR="00927F54" w:rsidRDefault="00927F54" w:rsidP="001B0007">
            <w:pPr>
              <w:spacing w:after="0"/>
            </w:pPr>
            <w:r>
              <w:t>Input / context</w:t>
            </w:r>
          </w:p>
        </w:tc>
        <w:tc>
          <w:tcPr>
            <w:tcW w:w="5103" w:type="dxa"/>
          </w:tcPr>
          <w:p w:rsidR="00927F54" w:rsidRDefault="00927F54" w:rsidP="001B0007">
            <w:pPr>
              <w:spacing w:after="0"/>
            </w:pPr>
            <w:r>
              <w:t>Tracer drugs available assessed during HF-survey</w:t>
            </w:r>
          </w:p>
          <w:p w:rsidR="00927F54" w:rsidRDefault="00927F54" w:rsidP="001B0007">
            <w:pPr>
              <w:spacing w:after="0"/>
            </w:pPr>
            <w:r>
              <w:t xml:space="preserve">Discussion / Interview with DHT/CHMT about availability of drugs </w:t>
            </w:r>
          </w:p>
        </w:tc>
      </w:tr>
      <w:tr w:rsidR="00927F54" w:rsidTr="009C63C7">
        <w:tc>
          <w:tcPr>
            <w:tcW w:w="2322" w:type="dxa"/>
          </w:tcPr>
          <w:p w:rsidR="00927F54" w:rsidRDefault="00927F54" w:rsidP="001B0007">
            <w:pPr>
              <w:spacing w:after="0"/>
            </w:pPr>
            <w:r>
              <w:t xml:space="preserve">Infrastructure </w:t>
            </w:r>
          </w:p>
        </w:tc>
        <w:tc>
          <w:tcPr>
            <w:tcW w:w="1755" w:type="dxa"/>
          </w:tcPr>
          <w:p w:rsidR="00927F54" w:rsidRDefault="00927F54" w:rsidP="001B0007">
            <w:pPr>
              <w:spacing w:after="0"/>
            </w:pPr>
            <w:r>
              <w:t>Input / context</w:t>
            </w:r>
          </w:p>
        </w:tc>
        <w:tc>
          <w:tcPr>
            <w:tcW w:w="5103" w:type="dxa"/>
          </w:tcPr>
          <w:p w:rsidR="00927F54" w:rsidRDefault="00927F54" w:rsidP="001B0007">
            <w:pPr>
              <w:spacing w:after="0"/>
            </w:pPr>
            <w:r>
              <w:t>-HF survey</w:t>
            </w:r>
          </w:p>
          <w:p w:rsidR="00927F54" w:rsidRDefault="00927F54" w:rsidP="001B0007">
            <w:pPr>
              <w:spacing w:after="0"/>
            </w:pPr>
            <w:r>
              <w:t xml:space="preserve">-rating from CHP in TZA </w:t>
            </w:r>
          </w:p>
        </w:tc>
      </w:tr>
      <w:tr w:rsidR="00927F54" w:rsidTr="009C63C7">
        <w:tc>
          <w:tcPr>
            <w:tcW w:w="2322" w:type="dxa"/>
          </w:tcPr>
          <w:p w:rsidR="00927F54" w:rsidRDefault="00927F54" w:rsidP="001B0007">
            <w:pPr>
              <w:spacing w:after="0"/>
            </w:pPr>
            <w:r>
              <w:t xml:space="preserve">Information generation and </w:t>
            </w:r>
            <w:proofErr w:type="spellStart"/>
            <w:r>
              <w:t>utilisation</w:t>
            </w:r>
            <w:proofErr w:type="spellEnd"/>
          </w:p>
        </w:tc>
        <w:tc>
          <w:tcPr>
            <w:tcW w:w="1755" w:type="dxa"/>
          </w:tcPr>
          <w:p w:rsidR="00927F54" w:rsidRDefault="00927F54" w:rsidP="001B0007">
            <w:pPr>
              <w:spacing w:after="0"/>
            </w:pPr>
            <w:r>
              <w:t>Input / context</w:t>
            </w:r>
          </w:p>
        </w:tc>
        <w:tc>
          <w:tcPr>
            <w:tcW w:w="5103" w:type="dxa"/>
          </w:tcPr>
          <w:p w:rsidR="00927F54" w:rsidRDefault="00927F54" w:rsidP="001B0007">
            <w:pPr>
              <w:spacing w:after="0"/>
            </w:pPr>
            <w:r>
              <w:t>-review of annual reports</w:t>
            </w:r>
          </w:p>
          <w:p w:rsidR="00927F54" w:rsidRDefault="00927F54" w:rsidP="001B0007">
            <w:pPr>
              <w:spacing w:after="0"/>
            </w:pPr>
            <w:r>
              <w:t>-interview with DHT/CHMT</w:t>
            </w:r>
          </w:p>
        </w:tc>
      </w:tr>
      <w:tr w:rsidR="00927F54" w:rsidTr="009C63C7">
        <w:tc>
          <w:tcPr>
            <w:tcW w:w="2322" w:type="dxa"/>
          </w:tcPr>
          <w:p w:rsidR="00927F54" w:rsidRDefault="00927F54" w:rsidP="001B0007">
            <w:pPr>
              <w:spacing w:after="0"/>
            </w:pPr>
            <w:r>
              <w:t xml:space="preserve">Baseline health care </w:t>
            </w:r>
            <w:proofErr w:type="spellStart"/>
            <w:r>
              <w:t>utilisation</w:t>
            </w:r>
            <w:proofErr w:type="spellEnd"/>
            <w:r>
              <w:t xml:space="preserve"> rates</w:t>
            </w:r>
          </w:p>
        </w:tc>
        <w:tc>
          <w:tcPr>
            <w:tcW w:w="1755" w:type="dxa"/>
          </w:tcPr>
          <w:p w:rsidR="00927F54" w:rsidRDefault="00927F54" w:rsidP="001B0007">
            <w:pPr>
              <w:spacing w:after="0"/>
            </w:pPr>
          </w:p>
        </w:tc>
        <w:tc>
          <w:tcPr>
            <w:tcW w:w="5103" w:type="dxa"/>
          </w:tcPr>
          <w:p w:rsidR="00927F54" w:rsidRDefault="00927F54" w:rsidP="001B0007">
            <w:pPr>
              <w:spacing w:after="0"/>
            </w:pPr>
            <w:r>
              <w:t>DHS, HMIS</w:t>
            </w:r>
          </w:p>
        </w:tc>
      </w:tr>
      <w:tr w:rsidR="00927F54" w:rsidTr="009C63C7">
        <w:tc>
          <w:tcPr>
            <w:tcW w:w="2322" w:type="dxa"/>
          </w:tcPr>
          <w:p w:rsidR="00927F54" w:rsidRDefault="00927F54" w:rsidP="001B0007">
            <w:pPr>
              <w:spacing w:after="0"/>
            </w:pPr>
            <w:r>
              <w:t>Availability of referral services</w:t>
            </w:r>
          </w:p>
        </w:tc>
        <w:tc>
          <w:tcPr>
            <w:tcW w:w="1755" w:type="dxa"/>
          </w:tcPr>
          <w:p w:rsidR="00927F54" w:rsidRDefault="00927F54" w:rsidP="001B0007">
            <w:pPr>
              <w:spacing w:after="0"/>
            </w:pPr>
            <w:r>
              <w:t>Input / context</w:t>
            </w:r>
          </w:p>
        </w:tc>
        <w:tc>
          <w:tcPr>
            <w:tcW w:w="5103" w:type="dxa"/>
          </w:tcPr>
          <w:p w:rsidR="00927F54" w:rsidRDefault="00927F54" w:rsidP="001B0007">
            <w:pPr>
              <w:spacing w:after="0"/>
            </w:pPr>
            <w:r>
              <w:t xml:space="preserve">HF-survey (ambulance, communication), </w:t>
            </w:r>
          </w:p>
          <w:p w:rsidR="00927F54" w:rsidRDefault="00927F54" w:rsidP="001B0007">
            <w:pPr>
              <w:tabs>
                <w:tab w:val="left" w:pos="1260"/>
              </w:tabs>
              <w:spacing w:after="0"/>
            </w:pPr>
            <w:r>
              <w:t>Discussion / Interview with DHT/CHMT about availability of ambulance and usage</w:t>
            </w:r>
          </w:p>
        </w:tc>
      </w:tr>
      <w:tr w:rsidR="00927F54" w:rsidTr="009C63C7">
        <w:tc>
          <w:tcPr>
            <w:tcW w:w="9180" w:type="dxa"/>
            <w:gridSpan w:val="3"/>
          </w:tcPr>
          <w:p w:rsidR="00927F54" w:rsidRDefault="00927F54" w:rsidP="001B0007">
            <w:pPr>
              <w:spacing w:after="0"/>
            </w:pPr>
            <w:r w:rsidRPr="00B264A1">
              <w:rPr>
                <w:b/>
              </w:rPr>
              <w:t>Presence of other projects and programmes that could affect health</w:t>
            </w:r>
          </w:p>
        </w:tc>
      </w:tr>
      <w:tr w:rsidR="00927F54" w:rsidTr="009C63C7">
        <w:tc>
          <w:tcPr>
            <w:tcW w:w="2322" w:type="dxa"/>
          </w:tcPr>
          <w:p w:rsidR="00927F54" w:rsidRDefault="00927F54" w:rsidP="001B0007">
            <w:pPr>
              <w:spacing w:after="0"/>
            </w:pPr>
            <w:r>
              <w:t>Malaria  and HIV Programmes</w:t>
            </w:r>
          </w:p>
        </w:tc>
        <w:tc>
          <w:tcPr>
            <w:tcW w:w="1755" w:type="dxa"/>
          </w:tcPr>
          <w:p w:rsidR="00927F54" w:rsidRDefault="00927F54" w:rsidP="001B0007">
            <w:pPr>
              <w:spacing w:after="0"/>
            </w:pPr>
            <w:r>
              <w:t>Input / context</w:t>
            </w:r>
          </w:p>
        </w:tc>
        <w:tc>
          <w:tcPr>
            <w:tcW w:w="5103" w:type="dxa"/>
          </w:tcPr>
          <w:p w:rsidR="00927F54" w:rsidRDefault="00927F54" w:rsidP="001B0007">
            <w:pPr>
              <w:spacing w:after="0"/>
            </w:pPr>
            <w:r>
              <w:t>-Project reports</w:t>
            </w:r>
          </w:p>
          <w:p w:rsidR="00927F54" w:rsidRDefault="00927F54" w:rsidP="001B0007">
            <w:pPr>
              <w:spacing w:after="0"/>
            </w:pPr>
            <w:r>
              <w:t>-Interviews with programme managers</w:t>
            </w:r>
          </w:p>
          <w:p w:rsidR="00927F54" w:rsidRDefault="00927F54" w:rsidP="001B0007">
            <w:pPr>
              <w:spacing w:after="0"/>
            </w:pPr>
            <w:r>
              <w:t>-Training /support assessed during HF-survey</w:t>
            </w:r>
          </w:p>
        </w:tc>
      </w:tr>
      <w:tr w:rsidR="00927F54" w:rsidTr="009C63C7">
        <w:tc>
          <w:tcPr>
            <w:tcW w:w="2322" w:type="dxa"/>
          </w:tcPr>
          <w:p w:rsidR="00927F54" w:rsidRDefault="00927F54" w:rsidP="001B0007">
            <w:pPr>
              <w:spacing w:after="0"/>
            </w:pPr>
            <w:r>
              <w:t>Micronutrients</w:t>
            </w:r>
          </w:p>
        </w:tc>
        <w:tc>
          <w:tcPr>
            <w:tcW w:w="1755" w:type="dxa"/>
          </w:tcPr>
          <w:p w:rsidR="00927F54" w:rsidRDefault="00927F54" w:rsidP="001B0007">
            <w:pPr>
              <w:spacing w:after="0"/>
            </w:pPr>
            <w:r>
              <w:t>Context</w:t>
            </w:r>
          </w:p>
        </w:tc>
        <w:tc>
          <w:tcPr>
            <w:tcW w:w="5103" w:type="dxa"/>
          </w:tcPr>
          <w:p w:rsidR="00927F54" w:rsidRDefault="00927F54" w:rsidP="001B0007">
            <w:pPr>
              <w:spacing w:after="0"/>
            </w:pPr>
            <w:r>
              <w:t>-Project reports</w:t>
            </w:r>
          </w:p>
          <w:p w:rsidR="00927F54" w:rsidRDefault="00927F54" w:rsidP="001B0007">
            <w:pPr>
              <w:spacing w:after="0"/>
            </w:pPr>
            <w:r>
              <w:t>-Interviews with programme managers</w:t>
            </w:r>
          </w:p>
        </w:tc>
      </w:tr>
      <w:tr w:rsidR="00927F54" w:rsidTr="009C63C7">
        <w:tc>
          <w:tcPr>
            <w:tcW w:w="2322" w:type="dxa"/>
          </w:tcPr>
          <w:p w:rsidR="00927F54" w:rsidRDefault="00927F54" w:rsidP="001B0007">
            <w:pPr>
              <w:spacing w:after="0"/>
            </w:pPr>
            <w:r>
              <w:t>Immunization</w:t>
            </w:r>
          </w:p>
        </w:tc>
        <w:tc>
          <w:tcPr>
            <w:tcW w:w="1755" w:type="dxa"/>
          </w:tcPr>
          <w:p w:rsidR="00927F54" w:rsidRDefault="00927F54" w:rsidP="001B0007">
            <w:pPr>
              <w:spacing w:after="0"/>
            </w:pPr>
            <w:r>
              <w:t>Context</w:t>
            </w:r>
          </w:p>
        </w:tc>
        <w:tc>
          <w:tcPr>
            <w:tcW w:w="5103" w:type="dxa"/>
          </w:tcPr>
          <w:p w:rsidR="00927F54" w:rsidRDefault="00927F54" w:rsidP="001B0007">
            <w:pPr>
              <w:spacing w:after="0"/>
            </w:pPr>
            <w:r>
              <w:t>EPI-documentation</w:t>
            </w:r>
          </w:p>
        </w:tc>
      </w:tr>
      <w:tr w:rsidR="00927F54" w:rsidTr="009C63C7">
        <w:tc>
          <w:tcPr>
            <w:tcW w:w="2322" w:type="dxa"/>
          </w:tcPr>
          <w:p w:rsidR="00927F54" w:rsidRDefault="00927F54" w:rsidP="001B0007">
            <w:pPr>
              <w:spacing w:after="0"/>
            </w:pPr>
            <w:r>
              <w:t>Other maternal, newborn and child health programmes</w:t>
            </w:r>
          </w:p>
        </w:tc>
        <w:tc>
          <w:tcPr>
            <w:tcW w:w="1755" w:type="dxa"/>
          </w:tcPr>
          <w:p w:rsidR="00927F54" w:rsidRDefault="00927F54" w:rsidP="001B0007">
            <w:pPr>
              <w:spacing w:after="0"/>
            </w:pPr>
            <w:r>
              <w:t>Input / context</w:t>
            </w:r>
          </w:p>
        </w:tc>
        <w:tc>
          <w:tcPr>
            <w:tcW w:w="5103" w:type="dxa"/>
          </w:tcPr>
          <w:p w:rsidR="00927F54" w:rsidRDefault="00927F54" w:rsidP="001B0007">
            <w:pPr>
              <w:spacing w:after="0"/>
            </w:pPr>
            <w:r>
              <w:t>-Project reports</w:t>
            </w:r>
          </w:p>
          <w:p w:rsidR="00927F54" w:rsidRDefault="00927F54" w:rsidP="001B0007">
            <w:pPr>
              <w:spacing w:after="0"/>
            </w:pPr>
            <w:r>
              <w:t>-Interviews with programme managers</w:t>
            </w:r>
          </w:p>
          <w:p w:rsidR="00927F54" w:rsidRDefault="00927F54" w:rsidP="001B0007">
            <w:pPr>
              <w:tabs>
                <w:tab w:val="left" w:pos="1260"/>
              </w:tabs>
              <w:spacing w:after="0"/>
            </w:pPr>
            <w:r>
              <w:t>-Training /support assessed during HF-survey</w:t>
            </w:r>
          </w:p>
        </w:tc>
      </w:tr>
      <w:tr w:rsidR="00927F54" w:rsidTr="009C63C7">
        <w:tc>
          <w:tcPr>
            <w:tcW w:w="2322" w:type="dxa"/>
          </w:tcPr>
          <w:p w:rsidR="00927F54" w:rsidRDefault="00927F54" w:rsidP="001B0007">
            <w:pPr>
              <w:spacing w:after="0"/>
            </w:pPr>
            <w:r>
              <w:t>Community programmes (FP, malaria, maternal gender</w:t>
            </w:r>
            <w:proofErr w:type="gramStart"/>
            <w:r>
              <w:t>, ..</w:t>
            </w:r>
            <w:proofErr w:type="gramEnd"/>
            <w:r>
              <w:t>)</w:t>
            </w:r>
          </w:p>
        </w:tc>
        <w:tc>
          <w:tcPr>
            <w:tcW w:w="1755" w:type="dxa"/>
          </w:tcPr>
          <w:p w:rsidR="00927F54" w:rsidRDefault="00927F54" w:rsidP="001B0007">
            <w:pPr>
              <w:spacing w:after="0"/>
            </w:pPr>
            <w:r>
              <w:t>Input / context</w:t>
            </w:r>
          </w:p>
        </w:tc>
        <w:tc>
          <w:tcPr>
            <w:tcW w:w="5103" w:type="dxa"/>
          </w:tcPr>
          <w:p w:rsidR="00927F54" w:rsidRDefault="00927F54" w:rsidP="001B0007">
            <w:pPr>
              <w:spacing w:after="0"/>
            </w:pPr>
            <w:r>
              <w:t>-Project reports</w:t>
            </w:r>
          </w:p>
          <w:p w:rsidR="00927F54" w:rsidRDefault="00927F54" w:rsidP="001B0007">
            <w:pPr>
              <w:spacing w:after="0"/>
            </w:pPr>
            <w:r>
              <w:t>-Interviews with programme managers</w:t>
            </w:r>
          </w:p>
          <w:p w:rsidR="00927F54" w:rsidRDefault="00927F54" w:rsidP="001B0007">
            <w:pPr>
              <w:tabs>
                <w:tab w:val="left" w:pos="1260"/>
              </w:tabs>
              <w:spacing w:after="0"/>
            </w:pPr>
            <w:r>
              <w:t>-Training /support assessed during HF-survey</w:t>
            </w:r>
          </w:p>
        </w:tc>
      </w:tr>
      <w:tr w:rsidR="00927F54" w:rsidTr="009C63C7">
        <w:tc>
          <w:tcPr>
            <w:tcW w:w="2322" w:type="dxa"/>
          </w:tcPr>
          <w:p w:rsidR="00927F54" w:rsidRPr="0063679F" w:rsidRDefault="00927F54" w:rsidP="001B0007">
            <w:pPr>
              <w:spacing w:after="0"/>
              <w:rPr>
                <w:b/>
              </w:rPr>
            </w:pPr>
            <w:r w:rsidRPr="0063679F">
              <w:rPr>
                <w:b/>
              </w:rPr>
              <w:t xml:space="preserve">Financing </w:t>
            </w:r>
          </w:p>
        </w:tc>
        <w:tc>
          <w:tcPr>
            <w:tcW w:w="1755" w:type="dxa"/>
          </w:tcPr>
          <w:p w:rsidR="00927F54" w:rsidRDefault="00927F54" w:rsidP="001B0007">
            <w:pPr>
              <w:spacing w:after="0"/>
            </w:pPr>
          </w:p>
        </w:tc>
        <w:tc>
          <w:tcPr>
            <w:tcW w:w="5103" w:type="dxa"/>
          </w:tcPr>
          <w:p w:rsidR="00927F54" w:rsidRDefault="00927F54" w:rsidP="001B0007">
            <w:pPr>
              <w:spacing w:after="0"/>
            </w:pPr>
          </w:p>
        </w:tc>
      </w:tr>
      <w:tr w:rsidR="00927F54" w:rsidTr="009C63C7">
        <w:tc>
          <w:tcPr>
            <w:tcW w:w="2322" w:type="dxa"/>
          </w:tcPr>
          <w:p w:rsidR="00927F54" w:rsidRPr="001F1E40" w:rsidRDefault="00927F54" w:rsidP="001B0007">
            <w:pPr>
              <w:spacing w:after="0"/>
            </w:pPr>
            <w:r>
              <w:t>-</w:t>
            </w:r>
            <w:r w:rsidRPr="001F1E40">
              <w:t xml:space="preserve">Overall </w:t>
            </w:r>
            <w:r>
              <w:t xml:space="preserve">health </w:t>
            </w:r>
            <w:r w:rsidRPr="001F1E40">
              <w:t>budget</w:t>
            </w:r>
          </w:p>
          <w:p w:rsidR="00927F54" w:rsidRPr="0063679F" w:rsidRDefault="00927F54" w:rsidP="001B0007">
            <w:pPr>
              <w:spacing w:after="0"/>
              <w:rPr>
                <w:b/>
              </w:rPr>
            </w:pPr>
            <w:r>
              <w:t>-specific b</w:t>
            </w:r>
            <w:r w:rsidRPr="001F1E40">
              <w:t>udget for reproductive</w:t>
            </w:r>
            <w:r>
              <w:t>, maternal, newborn and child</w:t>
            </w:r>
            <w:r w:rsidRPr="001F1E40">
              <w:t xml:space="preserve"> health</w:t>
            </w:r>
          </w:p>
        </w:tc>
        <w:tc>
          <w:tcPr>
            <w:tcW w:w="1755" w:type="dxa"/>
          </w:tcPr>
          <w:p w:rsidR="00927F54" w:rsidRDefault="00927F54" w:rsidP="001B0007">
            <w:pPr>
              <w:spacing w:after="0"/>
            </w:pPr>
            <w:r>
              <w:t xml:space="preserve">Input </w:t>
            </w:r>
          </w:p>
        </w:tc>
        <w:tc>
          <w:tcPr>
            <w:tcW w:w="5103" w:type="dxa"/>
          </w:tcPr>
          <w:p w:rsidR="00927F54" w:rsidRDefault="00927F54" w:rsidP="001B0007">
            <w:pPr>
              <w:spacing w:after="0"/>
            </w:pPr>
            <w:r>
              <w:t>-Health plans</w:t>
            </w:r>
          </w:p>
          <w:p w:rsidR="00927F54" w:rsidRDefault="00927F54" w:rsidP="001B0007">
            <w:pPr>
              <w:spacing w:after="0"/>
            </w:pPr>
            <w:r>
              <w:t>-Interview with DHT/CHMT</w:t>
            </w:r>
          </w:p>
          <w:p w:rsidR="00927F54" w:rsidRDefault="00927F54" w:rsidP="001B0007">
            <w:pPr>
              <w:spacing w:after="0"/>
            </w:pPr>
            <w:r>
              <w:t>-Interviews with project managers</w:t>
            </w:r>
          </w:p>
        </w:tc>
      </w:tr>
      <w:tr w:rsidR="00927F54" w:rsidTr="009C63C7">
        <w:tc>
          <w:tcPr>
            <w:tcW w:w="9180" w:type="dxa"/>
            <w:gridSpan w:val="3"/>
          </w:tcPr>
          <w:p w:rsidR="00927F54" w:rsidRDefault="00927F54" w:rsidP="001B0007">
            <w:pPr>
              <w:spacing w:after="0"/>
            </w:pPr>
            <w:r w:rsidRPr="001F1E40">
              <w:rPr>
                <w:b/>
              </w:rPr>
              <w:t>Governance and leadership</w:t>
            </w:r>
          </w:p>
        </w:tc>
      </w:tr>
      <w:tr w:rsidR="00927F54" w:rsidTr="009C63C7">
        <w:tc>
          <w:tcPr>
            <w:tcW w:w="2322" w:type="dxa"/>
          </w:tcPr>
          <w:p w:rsidR="00927F54" w:rsidRPr="00B921A6" w:rsidRDefault="00927F54" w:rsidP="001B0007">
            <w:pPr>
              <w:spacing w:after="0"/>
            </w:pPr>
            <w:r w:rsidRPr="00B921A6">
              <w:t>Comprehensiveness of district planning</w:t>
            </w:r>
          </w:p>
        </w:tc>
        <w:tc>
          <w:tcPr>
            <w:tcW w:w="1755" w:type="dxa"/>
          </w:tcPr>
          <w:p w:rsidR="00927F54" w:rsidRDefault="00927F54" w:rsidP="001B0007">
            <w:pPr>
              <w:spacing w:after="0"/>
            </w:pPr>
            <w:r>
              <w:t>Input</w:t>
            </w:r>
          </w:p>
        </w:tc>
        <w:tc>
          <w:tcPr>
            <w:tcW w:w="5103" w:type="dxa"/>
          </w:tcPr>
          <w:p w:rsidR="00927F54" w:rsidRDefault="00927F54" w:rsidP="001B0007">
            <w:pPr>
              <w:spacing w:after="0"/>
            </w:pPr>
            <w:r>
              <w:t>Interview with DHT/CHMT on inclusive planning process involving key reproductive and child health specialists (such as RCH-CO, maternity staff)</w:t>
            </w:r>
          </w:p>
          <w:p w:rsidR="00927F54" w:rsidRDefault="00927F54" w:rsidP="001B0007">
            <w:pPr>
              <w:spacing w:after="0"/>
            </w:pPr>
            <w:r>
              <w:lastRenderedPageBreak/>
              <w:t xml:space="preserve"> &amp; community groups / district health boards</w:t>
            </w:r>
          </w:p>
          <w:p w:rsidR="00927F54" w:rsidRDefault="00927F54" w:rsidP="001B0007">
            <w:pPr>
              <w:spacing w:after="0"/>
            </w:pPr>
            <w:r>
              <w:t>&amp; other specialists in district</w:t>
            </w:r>
          </w:p>
        </w:tc>
      </w:tr>
      <w:tr w:rsidR="00927F54" w:rsidTr="009C63C7">
        <w:tc>
          <w:tcPr>
            <w:tcW w:w="2322" w:type="dxa"/>
          </w:tcPr>
          <w:p w:rsidR="00927F54" w:rsidRPr="00B921A6" w:rsidRDefault="00927F54" w:rsidP="001B0007">
            <w:pPr>
              <w:spacing w:after="0"/>
            </w:pPr>
            <w:r>
              <w:lastRenderedPageBreak/>
              <w:t>Use of health data for planning</w:t>
            </w:r>
          </w:p>
        </w:tc>
        <w:tc>
          <w:tcPr>
            <w:tcW w:w="1755" w:type="dxa"/>
          </w:tcPr>
          <w:p w:rsidR="00927F54" w:rsidRDefault="00927F54" w:rsidP="001B0007">
            <w:pPr>
              <w:spacing w:after="0"/>
            </w:pPr>
            <w:r>
              <w:t>Input</w:t>
            </w:r>
          </w:p>
        </w:tc>
        <w:tc>
          <w:tcPr>
            <w:tcW w:w="5103" w:type="dxa"/>
          </w:tcPr>
          <w:p w:rsidR="00927F54" w:rsidRDefault="00927F54" w:rsidP="001B0007">
            <w:pPr>
              <w:spacing w:after="0"/>
            </w:pPr>
            <w:r>
              <w:t>Interview with DHT/CHMT on preparatory work for health planning</w:t>
            </w:r>
          </w:p>
        </w:tc>
      </w:tr>
    </w:tbl>
    <w:p w:rsidR="00927F54" w:rsidRDefault="00927F54" w:rsidP="001B0007">
      <w:pPr>
        <w:spacing w:after="0"/>
      </w:pPr>
    </w:p>
    <w:p w:rsidR="00927F54" w:rsidRPr="001B0007" w:rsidRDefault="00927F54" w:rsidP="00927F54">
      <w:pPr>
        <w:rPr>
          <w:rFonts w:asciiTheme="minorHAnsi" w:hAnsiTheme="minorHAnsi"/>
        </w:rPr>
      </w:pPr>
      <w:r w:rsidRPr="001B0007">
        <w:rPr>
          <w:rFonts w:asciiTheme="minorHAnsi" w:hAnsiTheme="minorHAnsi"/>
        </w:rPr>
        <w:t xml:space="preserve">Main methods to be used might be thus: </w:t>
      </w:r>
    </w:p>
    <w:p w:rsidR="00927F54" w:rsidRPr="001B0007" w:rsidRDefault="00927F54" w:rsidP="00927F54">
      <w:pPr>
        <w:pStyle w:val="Listenabsatz"/>
        <w:numPr>
          <w:ilvl w:val="0"/>
          <w:numId w:val="4"/>
        </w:numPr>
        <w:spacing w:after="200" w:line="276" w:lineRule="auto"/>
        <w:ind w:right="0"/>
        <w:rPr>
          <w:rFonts w:asciiTheme="minorHAnsi" w:hAnsiTheme="minorHAnsi"/>
          <w:sz w:val="22"/>
          <w:szCs w:val="22"/>
        </w:rPr>
      </w:pPr>
      <w:r w:rsidRPr="001B0007">
        <w:rPr>
          <w:rFonts w:asciiTheme="minorHAnsi" w:hAnsiTheme="minorHAnsi"/>
          <w:sz w:val="22"/>
          <w:szCs w:val="22"/>
        </w:rPr>
        <w:t>Household survey (e.g. data on wealth quintiles, education)</w:t>
      </w:r>
    </w:p>
    <w:p w:rsidR="00927F54" w:rsidRPr="001B0007" w:rsidRDefault="00927F54" w:rsidP="00927F54">
      <w:pPr>
        <w:pStyle w:val="Listenabsatz"/>
        <w:numPr>
          <w:ilvl w:val="0"/>
          <w:numId w:val="4"/>
        </w:numPr>
        <w:spacing w:after="200" w:line="276" w:lineRule="auto"/>
        <w:ind w:right="0"/>
        <w:rPr>
          <w:rFonts w:asciiTheme="minorHAnsi" w:hAnsiTheme="minorHAnsi"/>
          <w:sz w:val="22"/>
          <w:szCs w:val="22"/>
        </w:rPr>
      </w:pPr>
      <w:r w:rsidRPr="001B0007">
        <w:rPr>
          <w:rFonts w:asciiTheme="minorHAnsi" w:hAnsiTheme="minorHAnsi"/>
          <w:sz w:val="22"/>
          <w:szCs w:val="22"/>
        </w:rPr>
        <w:t>Health facility survey (e.g. data on staffing, drug availability, training received)</w:t>
      </w:r>
    </w:p>
    <w:p w:rsidR="00927F54" w:rsidRPr="001B0007" w:rsidRDefault="00927F54" w:rsidP="00927F54">
      <w:pPr>
        <w:pStyle w:val="Listenabsatz"/>
        <w:numPr>
          <w:ilvl w:val="0"/>
          <w:numId w:val="4"/>
        </w:numPr>
        <w:spacing w:after="200" w:line="276" w:lineRule="auto"/>
        <w:ind w:right="0"/>
        <w:rPr>
          <w:rFonts w:asciiTheme="minorHAnsi" w:hAnsiTheme="minorHAnsi"/>
          <w:sz w:val="22"/>
          <w:szCs w:val="22"/>
        </w:rPr>
      </w:pPr>
      <w:r w:rsidRPr="001B0007">
        <w:rPr>
          <w:rFonts w:asciiTheme="minorHAnsi" w:hAnsiTheme="minorHAnsi"/>
          <w:sz w:val="22"/>
          <w:szCs w:val="22"/>
        </w:rPr>
        <w:t>Consultation of registers (such as pay role registers, car/motorcycle registration)</w:t>
      </w:r>
    </w:p>
    <w:p w:rsidR="00927F54" w:rsidRPr="001B0007" w:rsidRDefault="00927F54" w:rsidP="00927F54">
      <w:pPr>
        <w:pStyle w:val="Listenabsatz"/>
        <w:numPr>
          <w:ilvl w:val="0"/>
          <w:numId w:val="4"/>
        </w:numPr>
        <w:spacing w:after="200" w:line="276" w:lineRule="auto"/>
        <w:ind w:right="0"/>
        <w:rPr>
          <w:rFonts w:asciiTheme="minorHAnsi" w:hAnsiTheme="minorHAnsi"/>
          <w:sz w:val="22"/>
          <w:szCs w:val="22"/>
        </w:rPr>
      </w:pPr>
      <w:r w:rsidRPr="001B0007">
        <w:rPr>
          <w:rFonts w:asciiTheme="minorHAnsi" w:hAnsiTheme="minorHAnsi"/>
          <w:sz w:val="22"/>
          <w:szCs w:val="22"/>
        </w:rPr>
        <w:t>Review of annual district reports (such as annual reports from department of education, water and sanitation, district health plans)</w:t>
      </w:r>
    </w:p>
    <w:p w:rsidR="00927F54" w:rsidRPr="001B0007" w:rsidRDefault="00927F54" w:rsidP="00927F54">
      <w:pPr>
        <w:pStyle w:val="Listenabsatz"/>
        <w:numPr>
          <w:ilvl w:val="0"/>
          <w:numId w:val="4"/>
        </w:numPr>
        <w:spacing w:after="200" w:line="276" w:lineRule="auto"/>
        <w:ind w:right="0"/>
        <w:rPr>
          <w:rFonts w:asciiTheme="minorHAnsi" w:hAnsiTheme="minorHAnsi"/>
          <w:sz w:val="22"/>
          <w:szCs w:val="22"/>
        </w:rPr>
      </w:pPr>
      <w:r w:rsidRPr="001B0007">
        <w:rPr>
          <w:rFonts w:asciiTheme="minorHAnsi" w:hAnsiTheme="minorHAnsi"/>
          <w:sz w:val="22"/>
          <w:szCs w:val="22"/>
        </w:rPr>
        <w:t>Interview with DHT/CHMT (such as to investigate into drug availability/management, finances for health)</w:t>
      </w:r>
    </w:p>
    <w:p w:rsidR="00927F54" w:rsidRPr="001B0007" w:rsidRDefault="00927F54" w:rsidP="00927F54">
      <w:pPr>
        <w:pStyle w:val="Listenabsatz"/>
        <w:numPr>
          <w:ilvl w:val="0"/>
          <w:numId w:val="4"/>
        </w:numPr>
        <w:spacing w:after="200" w:line="276" w:lineRule="auto"/>
        <w:ind w:right="0"/>
        <w:rPr>
          <w:rFonts w:asciiTheme="minorHAnsi" w:hAnsiTheme="minorHAnsi"/>
          <w:sz w:val="22"/>
          <w:szCs w:val="22"/>
        </w:rPr>
      </w:pPr>
      <w:r w:rsidRPr="001B0007">
        <w:rPr>
          <w:rFonts w:asciiTheme="minorHAnsi" w:hAnsiTheme="minorHAnsi"/>
          <w:sz w:val="22"/>
          <w:szCs w:val="22"/>
        </w:rPr>
        <w:t>Interviews with programme managers of other programmes (such as to know about their inputs in terms of funds, training, drugs</w:t>
      </w:r>
      <w:proofErr w:type="gramStart"/>
      <w:r w:rsidRPr="001B0007">
        <w:rPr>
          <w:rFonts w:asciiTheme="minorHAnsi" w:hAnsiTheme="minorHAnsi"/>
          <w:sz w:val="22"/>
          <w:szCs w:val="22"/>
        </w:rPr>
        <w:t>,..</w:t>
      </w:r>
      <w:proofErr w:type="gramEnd"/>
      <w:r w:rsidRPr="001B0007">
        <w:rPr>
          <w:rFonts w:asciiTheme="minorHAnsi" w:hAnsiTheme="minorHAnsi"/>
          <w:sz w:val="22"/>
          <w:szCs w:val="22"/>
        </w:rPr>
        <w:t xml:space="preserve">) </w:t>
      </w:r>
    </w:p>
    <w:p w:rsidR="00927F54" w:rsidRPr="001B0007" w:rsidRDefault="00927F54" w:rsidP="00927F54">
      <w:pPr>
        <w:pStyle w:val="Listenabsatz"/>
        <w:numPr>
          <w:ilvl w:val="0"/>
          <w:numId w:val="4"/>
        </w:numPr>
        <w:spacing w:after="200" w:line="276" w:lineRule="auto"/>
        <w:ind w:right="0"/>
        <w:rPr>
          <w:rFonts w:asciiTheme="minorHAnsi" w:hAnsiTheme="minorHAnsi"/>
          <w:sz w:val="22"/>
          <w:szCs w:val="22"/>
        </w:rPr>
      </w:pPr>
      <w:r w:rsidRPr="001B0007">
        <w:rPr>
          <w:rFonts w:asciiTheme="minorHAnsi" w:hAnsiTheme="minorHAnsi"/>
          <w:sz w:val="22"/>
          <w:szCs w:val="22"/>
        </w:rPr>
        <w:t>Previous research results (UNEST/INSIST)</w:t>
      </w:r>
    </w:p>
    <w:p w:rsidR="00927F54" w:rsidRDefault="00927F54" w:rsidP="00927F54">
      <w:pPr>
        <w:pStyle w:val="Listenabsatz"/>
      </w:pPr>
    </w:p>
    <w:p w:rsidR="00927F54" w:rsidRDefault="00927F54" w:rsidP="00927F54">
      <w:r>
        <w:t>The methodology includes qualitative and qualitative methods including survey results, exploitation of registers combined with interviews of key stakeholders and decision makers, programme manageress and others. The different sources and methods used will allow contrasting and validating qualitative and qualitative data and triangulation.</w:t>
      </w:r>
    </w:p>
    <w:p w:rsidR="00927F54" w:rsidRPr="00E171FC" w:rsidRDefault="00927F54" w:rsidP="00927F54">
      <w:pPr>
        <w:rPr>
          <w:b/>
          <w:sz w:val="24"/>
          <w:szCs w:val="24"/>
        </w:rPr>
      </w:pPr>
      <w:r w:rsidRPr="00E171FC">
        <w:rPr>
          <w:b/>
          <w:sz w:val="24"/>
          <w:szCs w:val="24"/>
        </w:rPr>
        <w:t>Summary of methods and indicators</w:t>
      </w:r>
    </w:p>
    <w:p w:rsidR="00927F54" w:rsidRPr="001B0007" w:rsidRDefault="00927F54" w:rsidP="001B0007">
      <w:pPr>
        <w:spacing w:after="0"/>
        <w:rPr>
          <w:rFonts w:asciiTheme="minorHAnsi" w:hAnsiTheme="minorHAnsi"/>
          <w:b/>
        </w:rPr>
      </w:pPr>
      <w:r w:rsidRPr="001B0007">
        <w:rPr>
          <w:rFonts w:asciiTheme="minorHAnsi" w:hAnsiTheme="minorHAnsi"/>
          <w:b/>
        </w:rPr>
        <w:t xml:space="preserve">Inclusion of indicators in household survey </w:t>
      </w:r>
    </w:p>
    <w:p w:rsidR="00927F54" w:rsidRPr="001B0007" w:rsidRDefault="00927F54" w:rsidP="00927F54">
      <w:pPr>
        <w:pStyle w:val="Listenabsatz"/>
        <w:numPr>
          <w:ilvl w:val="0"/>
          <w:numId w:val="5"/>
        </w:numPr>
        <w:spacing w:line="276" w:lineRule="auto"/>
        <w:ind w:right="0"/>
        <w:rPr>
          <w:rFonts w:asciiTheme="minorHAnsi" w:hAnsiTheme="minorHAnsi"/>
          <w:sz w:val="22"/>
          <w:szCs w:val="22"/>
        </w:rPr>
      </w:pPr>
      <w:r w:rsidRPr="001B0007">
        <w:rPr>
          <w:rFonts w:asciiTheme="minorHAnsi" w:hAnsiTheme="minorHAnsi"/>
          <w:sz w:val="22"/>
          <w:szCs w:val="22"/>
        </w:rPr>
        <w:t>Wealth index (including possession of mobile phones and transport options)</w:t>
      </w:r>
    </w:p>
    <w:p w:rsidR="00927F54" w:rsidRPr="001B0007" w:rsidRDefault="00927F54" w:rsidP="00927F54">
      <w:pPr>
        <w:pStyle w:val="Listenabsatz"/>
        <w:numPr>
          <w:ilvl w:val="0"/>
          <w:numId w:val="5"/>
        </w:numPr>
        <w:spacing w:line="276" w:lineRule="auto"/>
        <w:ind w:right="0"/>
        <w:rPr>
          <w:rFonts w:asciiTheme="minorHAnsi" w:hAnsiTheme="minorHAnsi"/>
          <w:sz w:val="22"/>
          <w:szCs w:val="22"/>
        </w:rPr>
      </w:pPr>
      <w:r w:rsidRPr="001B0007">
        <w:rPr>
          <w:rFonts w:asciiTheme="minorHAnsi" w:hAnsiTheme="minorHAnsi"/>
          <w:sz w:val="22"/>
          <w:szCs w:val="22"/>
        </w:rPr>
        <w:t>Education status</w:t>
      </w:r>
    </w:p>
    <w:p w:rsidR="00927F54" w:rsidRPr="001B0007" w:rsidRDefault="00927F54" w:rsidP="00927F54">
      <w:pPr>
        <w:pStyle w:val="Listenabsatz"/>
        <w:numPr>
          <w:ilvl w:val="0"/>
          <w:numId w:val="5"/>
        </w:numPr>
        <w:spacing w:line="276" w:lineRule="auto"/>
        <w:ind w:right="0"/>
        <w:rPr>
          <w:rFonts w:asciiTheme="minorHAnsi" w:hAnsiTheme="minorHAnsi"/>
          <w:sz w:val="22"/>
          <w:szCs w:val="22"/>
        </w:rPr>
      </w:pPr>
      <w:r w:rsidRPr="001B0007">
        <w:rPr>
          <w:rFonts w:asciiTheme="minorHAnsi" w:hAnsiTheme="minorHAnsi"/>
          <w:sz w:val="22"/>
          <w:szCs w:val="22"/>
        </w:rPr>
        <w:t>GPS-data</w:t>
      </w:r>
    </w:p>
    <w:p w:rsidR="00927F54" w:rsidRPr="001B0007" w:rsidRDefault="00927F54" w:rsidP="00927F54">
      <w:pPr>
        <w:pStyle w:val="Listenabsatz"/>
        <w:numPr>
          <w:ilvl w:val="0"/>
          <w:numId w:val="5"/>
        </w:numPr>
        <w:spacing w:line="276" w:lineRule="auto"/>
        <w:ind w:right="0"/>
        <w:rPr>
          <w:rFonts w:asciiTheme="minorHAnsi" w:hAnsiTheme="minorHAnsi"/>
          <w:sz w:val="22"/>
          <w:szCs w:val="22"/>
        </w:rPr>
      </w:pPr>
      <w:r w:rsidRPr="001B0007">
        <w:rPr>
          <w:rFonts w:asciiTheme="minorHAnsi" w:hAnsiTheme="minorHAnsi"/>
          <w:sz w:val="22"/>
          <w:szCs w:val="22"/>
        </w:rPr>
        <w:t xml:space="preserve">Number of children / fertility </w:t>
      </w:r>
    </w:p>
    <w:p w:rsidR="00927F54" w:rsidRPr="001B0007" w:rsidRDefault="00927F54" w:rsidP="00927F54">
      <w:pPr>
        <w:pStyle w:val="Listenabsatz"/>
        <w:numPr>
          <w:ilvl w:val="0"/>
          <w:numId w:val="5"/>
        </w:numPr>
        <w:spacing w:line="276" w:lineRule="auto"/>
        <w:ind w:right="0"/>
        <w:rPr>
          <w:rFonts w:asciiTheme="minorHAnsi" w:hAnsiTheme="minorHAnsi"/>
          <w:sz w:val="22"/>
          <w:szCs w:val="22"/>
        </w:rPr>
      </w:pPr>
      <w:r w:rsidRPr="001B0007">
        <w:rPr>
          <w:rFonts w:asciiTheme="minorHAnsi" w:hAnsiTheme="minorHAnsi"/>
          <w:sz w:val="22"/>
          <w:szCs w:val="22"/>
        </w:rPr>
        <w:t>Ethnic group</w:t>
      </w:r>
    </w:p>
    <w:p w:rsidR="00927F54" w:rsidRPr="001B0007" w:rsidRDefault="00927F54" w:rsidP="001B0007">
      <w:pPr>
        <w:spacing w:after="0"/>
        <w:rPr>
          <w:rFonts w:asciiTheme="minorHAnsi" w:hAnsiTheme="minorHAnsi"/>
          <w:b/>
        </w:rPr>
      </w:pPr>
      <w:r w:rsidRPr="001B0007">
        <w:rPr>
          <w:rFonts w:asciiTheme="minorHAnsi" w:hAnsiTheme="minorHAnsi"/>
          <w:b/>
        </w:rPr>
        <w:t>Inclusion of indicators in health facility survey</w:t>
      </w:r>
    </w:p>
    <w:p w:rsidR="00927F54" w:rsidRPr="001B0007" w:rsidRDefault="00927F54" w:rsidP="00927F54">
      <w:pPr>
        <w:pStyle w:val="Listenabsatz"/>
        <w:numPr>
          <w:ilvl w:val="0"/>
          <w:numId w:val="6"/>
        </w:numPr>
        <w:spacing w:line="276" w:lineRule="auto"/>
        <w:ind w:right="0"/>
        <w:rPr>
          <w:rFonts w:asciiTheme="minorHAnsi" w:hAnsiTheme="minorHAnsi"/>
          <w:sz w:val="22"/>
          <w:szCs w:val="22"/>
        </w:rPr>
      </w:pPr>
      <w:r w:rsidRPr="001B0007">
        <w:rPr>
          <w:rFonts w:asciiTheme="minorHAnsi" w:hAnsiTheme="minorHAnsi"/>
          <w:sz w:val="22"/>
          <w:szCs w:val="22"/>
        </w:rPr>
        <w:t xml:space="preserve">Staffing </w:t>
      </w:r>
    </w:p>
    <w:p w:rsidR="00927F54" w:rsidRPr="001B0007" w:rsidRDefault="00927F54" w:rsidP="00927F54">
      <w:pPr>
        <w:pStyle w:val="Listenabsatz"/>
        <w:numPr>
          <w:ilvl w:val="0"/>
          <w:numId w:val="6"/>
        </w:numPr>
        <w:spacing w:line="276" w:lineRule="auto"/>
        <w:ind w:right="0"/>
        <w:rPr>
          <w:rFonts w:asciiTheme="minorHAnsi" w:hAnsiTheme="minorHAnsi"/>
          <w:sz w:val="22"/>
          <w:szCs w:val="22"/>
        </w:rPr>
      </w:pPr>
      <w:r w:rsidRPr="001B0007">
        <w:rPr>
          <w:rFonts w:asciiTheme="minorHAnsi" w:hAnsiTheme="minorHAnsi"/>
          <w:sz w:val="22"/>
          <w:szCs w:val="22"/>
        </w:rPr>
        <w:t>Training received by health facility staff</w:t>
      </w:r>
    </w:p>
    <w:p w:rsidR="00927F54" w:rsidRPr="001B0007" w:rsidRDefault="00927F54" w:rsidP="00927F54">
      <w:pPr>
        <w:pStyle w:val="Listenabsatz"/>
        <w:numPr>
          <w:ilvl w:val="0"/>
          <w:numId w:val="6"/>
        </w:numPr>
        <w:spacing w:line="276" w:lineRule="auto"/>
        <w:ind w:right="0"/>
        <w:rPr>
          <w:rFonts w:asciiTheme="minorHAnsi" w:hAnsiTheme="minorHAnsi"/>
          <w:sz w:val="22"/>
          <w:szCs w:val="22"/>
        </w:rPr>
      </w:pPr>
      <w:r w:rsidRPr="001B0007">
        <w:rPr>
          <w:rFonts w:asciiTheme="minorHAnsi" w:hAnsiTheme="minorHAnsi"/>
          <w:sz w:val="22"/>
          <w:szCs w:val="22"/>
        </w:rPr>
        <w:t>Availability of key drugs</w:t>
      </w:r>
    </w:p>
    <w:p w:rsidR="00927F54" w:rsidRPr="001B0007" w:rsidRDefault="00927F54" w:rsidP="00927F54">
      <w:pPr>
        <w:pStyle w:val="Listenabsatz"/>
        <w:numPr>
          <w:ilvl w:val="0"/>
          <w:numId w:val="6"/>
        </w:numPr>
        <w:spacing w:line="276" w:lineRule="auto"/>
        <w:ind w:right="0"/>
        <w:rPr>
          <w:rFonts w:asciiTheme="minorHAnsi" w:hAnsiTheme="minorHAnsi"/>
          <w:sz w:val="22"/>
          <w:szCs w:val="22"/>
        </w:rPr>
      </w:pPr>
      <w:r w:rsidRPr="001B0007">
        <w:rPr>
          <w:rFonts w:asciiTheme="minorHAnsi" w:hAnsiTheme="minorHAnsi"/>
          <w:sz w:val="22"/>
          <w:szCs w:val="22"/>
        </w:rPr>
        <w:t>Functioning fridge /other key equipment</w:t>
      </w:r>
    </w:p>
    <w:p w:rsidR="00927F54" w:rsidRPr="001B0007" w:rsidRDefault="00927F54" w:rsidP="00927F54">
      <w:pPr>
        <w:pStyle w:val="Listenabsatz"/>
        <w:numPr>
          <w:ilvl w:val="0"/>
          <w:numId w:val="6"/>
        </w:numPr>
        <w:spacing w:line="276" w:lineRule="auto"/>
        <w:ind w:right="0"/>
        <w:rPr>
          <w:rFonts w:asciiTheme="minorHAnsi" w:hAnsiTheme="minorHAnsi"/>
          <w:sz w:val="22"/>
          <w:szCs w:val="22"/>
        </w:rPr>
      </w:pPr>
      <w:r w:rsidRPr="001B0007">
        <w:rPr>
          <w:rFonts w:asciiTheme="minorHAnsi" w:hAnsiTheme="minorHAnsi"/>
          <w:sz w:val="22"/>
          <w:szCs w:val="22"/>
        </w:rPr>
        <w:t>Community intervention in target area</w:t>
      </w:r>
    </w:p>
    <w:p w:rsidR="00927F54" w:rsidRPr="001B0007" w:rsidRDefault="00927F54" w:rsidP="00927F54">
      <w:pPr>
        <w:pStyle w:val="Listenabsatz"/>
        <w:numPr>
          <w:ilvl w:val="0"/>
          <w:numId w:val="6"/>
        </w:numPr>
        <w:spacing w:line="276" w:lineRule="auto"/>
        <w:ind w:right="0"/>
        <w:rPr>
          <w:rFonts w:asciiTheme="minorHAnsi" w:hAnsiTheme="minorHAnsi"/>
          <w:sz w:val="22"/>
          <w:szCs w:val="22"/>
        </w:rPr>
      </w:pPr>
      <w:r w:rsidRPr="001B0007">
        <w:rPr>
          <w:rFonts w:asciiTheme="minorHAnsi" w:hAnsiTheme="minorHAnsi"/>
          <w:sz w:val="22"/>
          <w:szCs w:val="22"/>
        </w:rPr>
        <w:t>Training or other support for malaria, HIV, reproductive health, maternal and child health or other projects</w:t>
      </w:r>
    </w:p>
    <w:p w:rsidR="00927F54" w:rsidRPr="001B0007" w:rsidRDefault="00927F54" w:rsidP="001B0007">
      <w:pPr>
        <w:spacing w:after="0"/>
        <w:rPr>
          <w:rFonts w:asciiTheme="minorHAnsi" w:hAnsiTheme="minorHAnsi"/>
          <w:b/>
        </w:rPr>
      </w:pPr>
      <w:r w:rsidRPr="001B0007">
        <w:rPr>
          <w:rFonts w:asciiTheme="minorHAnsi" w:hAnsiTheme="minorHAnsi"/>
          <w:b/>
        </w:rPr>
        <w:t>Annual district reports</w:t>
      </w:r>
    </w:p>
    <w:p w:rsidR="00927F54" w:rsidRPr="001B0007" w:rsidRDefault="00927F54" w:rsidP="00927F54">
      <w:pPr>
        <w:pStyle w:val="Listenabsatz"/>
        <w:numPr>
          <w:ilvl w:val="0"/>
          <w:numId w:val="7"/>
        </w:numPr>
        <w:spacing w:line="276" w:lineRule="auto"/>
        <w:ind w:right="0"/>
        <w:rPr>
          <w:rFonts w:asciiTheme="minorHAnsi" w:hAnsiTheme="minorHAnsi"/>
          <w:sz w:val="22"/>
          <w:szCs w:val="22"/>
        </w:rPr>
      </w:pPr>
      <w:r w:rsidRPr="001B0007">
        <w:rPr>
          <w:rFonts w:asciiTheme="minorHAnsi" w:hAnsiTheme="minorHAnsi"/>
          <w:sz w:val="22"/>
          <w:szCs w:val="22"/>
        </w:rPr>
        <w:t>General district reports</w:t>
      </w:r>
    </w:p>
    <w:p w:rsidR="00927F54" w:rsidRPr="001B0007" w:rsidRDefault="00927F54" w:rsidP="00927F54">
      <w:pPr>
        <w:pStyle w:val="Listenabsatz"/>
        <w:numPr>
          <w:ilvl w:val="1"/>
          <w:numId w:val="7"/>
        </w:numPr>
        <w:spacing w:line="276" w:lineRule="auto"/>
        <w:ind w:right="0"/>
        <w:rPr>
          <w:rFonts w:asciiTheme="minorHAnsi" w:hAnsiTheme="minorHAnsi"/>
          <w:sz w:val="22"/>
          <w:szCs w:val="22"/>
        </w:rPr>
      </w:pPr>
      <w:r w:rsidRPr="001B0007">
        <w:rPr>
          <w:rFonts w:asciiTheme="minorHAnsi" w:hAnsiTheme="minorHAnsi"/>
          <w:sz w:val="22"/>
          <w:szCs w:val="22"/>
        </w:rPr>
        <w:t>Economic report on cash crops sales, revenues</w:t>
      </w:r>
      <w:proofErr w:type="gramStart"/>
      <w:r w:rsidRPr="001B0007">
        <w:rPr>
          <w:rFonts w:asciiTheme="minorHAnsi" w:hAnsiTheme="minorHAnsi"/>
          <w:sz w:val="22"/>
          <w:szCs w:val="22"/>
        </w:rPr>
        <w:t>,  ..</w:t>
      </w:r>
      <w:proofErr w:type="gramEnd"/>
    </w:p>
    <w:p w:rsidR="00927F54" w:rsidRPr="001B0007" w:rsidRDefault="00927F54" w:rsidP="00927F54">
      <w:pPr>
        <w:pStyle w:val="Listenabsatz"/>
        <w:numPr>
          <w:ilvl w:val="0"/>
          <w:numId w:val="7"/>
        </w:numPr>
        <w:spacing w:after="200" w:line="276" w:lineRule="auto"/>
        <w:ind w:right="0"/>
        <w:rPr>
          <w:rFonts w:asciiTheme="minorHAnsi" w:hAnsiTheme="minorHAnsi"/>
          <w:sz w:val="22"/>
          <w:szCs w:val="22"/>
        </w:rPr>
      </w:pPr>
      <w:r w:rsidRPr="001B0007">
        <w:rPr>
          <w:rFonts w:asciiTheme="minorHAnsi" w:hAnsiTheme="minorHAnsi"/>
          <w:sz w:val="22"/>
          <w:szCs w:val="22"/>
        </w:rPr>
        <w:t>Report from education department</w:t>
      </w:r>
    </w:p>
    <w:p w:rsidR="00927F54" w:rsidRPr="001B0007" w:rsidRDefault="00927F54" w:rsidP="00927F54">
      <w:pPr>
        <w:pStyle w:val="Listenabsatz"/>
        <w:numPr>
          <w:ilvl w:val="1"/>
          <w:numId w:val="7"/>
        </w:numPr>
        <w:spacing w:after="200" w:line="276" w:lineRule="auto"/>
        <w:ind w:right="0"/>
        <w:rPr>
          <w:rFonts w:asciiTheme="minorHAnsi" w:hAnsiTheme="minorHAnsi"/>
          <w:sz w:val="22"/>
          <w:szCs w:val="22"/>
        </w:rPr>
      </w:pPr>
      <w:r w:rsidRPr="001B0007">
        <w:rPr>
          <w:rFonts w:asciiTheme="minorHAnsi" w:hAnsiTheme="minorHAnsi"/>
          <w:sz w:val="22"/>
          <w:szCs w:val="22"/>
        </w:rPr>
        <w:t>Number of primary and secondary schools, number of teachers</w:t>
      </w:r>
    </w:p>
    <w:p w:rsidR="00927F54" w:rsidRPr="001B0007" w:rsidRDefault="00927F54" w:rsidP="00927F54">
      <w:pPr>
        <w:pStyle w:val="Listenabsatz"/>
        <w:numPr>
          <w:ilvl w:val="1"/>
          <w:numId w:val="7"/>
        </w:numPr>
        <w:spacing w:after="200" w:line="276" w:lineRule="auto"/>
        <w:ind w:right="0"/>
        <w:rPr>
          <w:rFonts w:asciiTheme="minorHAnsi" w:hAnsiTheme="minorHAnsi"/>
          <w:sz w:val="22"/>
          <w:szCs w:val="22"/>
        </w:rPr>
      </w:pPr>
      <w:r w:rsidRPr="001B0007">
        <w:rPr>
          <w:rFonts w:asciiTheme="minorHAnsi" w:hAnsiTheme="minorHAnsi"/>
          <w:sz w:val="22"/>
          <w:szCs w:val="22"/>
        </w:rPr>
        <w:t>Ratio number of schools and teachers per population</w:t>
      </w:r>
    </w:p>
    <w:p w:rsidR="00927F54" w:rsidRPr="001B0007" w:rsidRDefault="00927F54" w:rsidP="00927F54">
      <w:pPr>
        <w:pStyle w:val="Listenabsatz"/>
        <w:numPr>
          <w:ilvl w:val="0"/>
          <w:numId w:val="7"/>
        </w:numPr>
        <w:spacing w:after="200" w:line="276" w:lineRule="auto"/>
        <w:ind w:right="0"/>
        <w:rPr>
          <w:rFonts w:asciiTheme="minorHAnsi" w:hAnsiTheme="minorHAnsi"/>
          <w:sz w:val="22"/>
          <w:szCs w:val="22"/>
        </w:rPr>
      </w:pPr>
      <w:r w:rsidRPr="001B0007">
        <w:rPr>
          <w:rFonts w:asciiTheme="minorHAnsi" w:hAnsiTheme="minorHAnsi"/>
          <w:sz w:val="22"/>
          <w:szCs w:val="22"/>
        </w:rPr>
        <w:lastRenderedPageBreak/>
        <w:t>Report from department of water and sanitation</w:t>
      </w:r>
    </w:p>
    <w:p w:rsidR="00927F54" w:rsidRPr="001B0007" w:rsidRDefault="00927F54" w:rsidP="00927F54">
      <w:pPr>
        <w:pStyle w:val="Listenabsatz"/>
        <w:numPr>
          <w:ilvl w:val="1"/>
          <w:numId w:val="7"/>
        </w:numPr>
        <w:spacing w:after="200" w:line="276" w:lineRule="auto"/>
        <w:ind w:right="0"/>
        <w:rPr>
          <w:rFonts w:asciiTheme="minorHAnsi" w:hAnsiTheme="minorHAnsi"/>
          <w:sz w:val="22"/>
          <w:szCs w:val="22"/>
        </w:rPr>
      </w:pPr>
      <w:r w:rsidRPr="001B0007">
        <w:rPr>
          <w:rFonts w:asciiTheme="minorHAnsi" w:hAnsiTheme="minorHAnsi"/>
          <w:sz w:val="22"/>
          <w:szCs w:val="22"/>
        </w:rPr>
        <w:t>Have to look which indicators are available and useful</w:t>
      </w:r>
    </w:p>
    <w:p w:rsidR="00927F54" w:rsidRPr="001B0007" w:rsidRDefault="00927F54" w:rsidP="00927F54">
      <w:pPr>
        <w:pStyle w:val="Listenabsatz"/>
        <w:numPr>
          <w:ilvl w:val="0"/>
          <w:numId w:val="7"/>
        </w:numPr>
        <w:spacing w:after="200" w:line="276" w:lineRule="auto"/>
        <w:ind w:right="0"/>
        <w:rPr>
          <w:rFonts w:asciiTheme="minorHAnsi" w:hAnsiTheme="minorHAnsi"/>
          <w:sz w:val="22"/>
          <w:szCs w:val="22"/>
        </w:rPr>
      </w:pPr>
      <w:r w:rsidRPr="001B0007">
        <w:rPr>
          <w:rFonts w:asciiTheme="minorHAnsi" w:hAnsiTheme="minorHAnsi"/>
          <w:sz w:val="22"/>
          <w:szCs w:val="22"/>
        </w:rPr>
        <w:t>Report from transport / roads department</w:t>
      </w:r>
    </w:p>
    <w:p w:rsidR="00927F54" w:rsidRPr="001B0007" w:rsidRDefault="00927F54" w:rsidP="00927F54">
      <w:pPr>
        <w:pStyle w:val="Listenabsatz"/>
        <w:numPr>
          <w:ilvl w:val="1"/>
          <w:numId w:val="7"/>
        </w:numPr>
        <w:spacing w:after="200" w:line="276" w:lineRule="auto"/>
        <w:ind w:right="0"/>
        <w:rPr>
          <w:rFonts w:asciiTheme="minorHAnsi" w:hAnsiTheme="minorHAnsi"/>
          <w:sz w:val="22"/>
          <w:szCs w:val="22"/>
        </w:rPr>
      </w:pPr>
      <w:r w:rsidRPr="001B0007">
        <w:rPr>
          <w:rFonts w:asciiTheme="minorHAnsi" w:hAnsiTheme="minorHAnsi"/>
          <w:sz w:val="22"/>
          <w:szCs w:val="22"/>
        </w:rPr>
        <w:t>Have to look which indicators are available and useful</w:t>
      </w:r>
    </w:p>
    <w:p w:rsidR="00927F54" w:rsidRPr="001B0007" w:rsidRDefault="00927F54" w:rsidP="00927F54">
      <w:pPr>
        <w:pStyle w:val="Listenabsatz"/>
        <w:numPr>
          <w:ilvl w:val="0"/>
          <w:numId w:val="7"/>
        </w:numPr>
        <w:spacing w:after="200" w:line="276" w:lineRule="auto"/>
        <w:ind w:right="0"/>
        <w:rPr>
          <w:rFonts w:asciiTheme="minorHAnsi" w:hAnsiTheme="minorHAnsi"/>
          <w:sz w:val="22"/>
          <w:szCs w:val="22"/>
        </w:rPr>
      </w:pPr>
      <w:r w:rsidRPr="001B0007">
        <w:rPr>
          <w:rFonts w:asciiTheme="minorHAnsi" w:hAnsiTheme="minorHAnsi"/>
          <w:sz w:val="22"/>
          <w:szCs w:val="22"/>
        </w:rPr>
        <w:t>Annual health report</w:t>
      </w:r>
    </w:p>
    <w:p w:rsidR="00927F54" w:rsidRPr="001B0007" w:rsidRDefault="00927F54" w:rsidP="00927F54">
      <w:pPr>
        <w:pStyle w:val="Listenabsatz"/>
        <w:numPr>
          <w:ilvl w:val="1"/>
          <w:numId w:val="7"/>
        </w:numPr>
        <w:spacing w:after="200" w:line="276" w:lineRule="auto"/>
        <w:ind w:right="0"/>
        <w:rPr>
          <w:rFonts w:asciiTheme="minorHAnsi" w:hAnsiTheme="minorHAnsi"/>
          <w:sz w:val="22"/>
          <w:szCs w:val="22"/>
        </w:rPr>
      </w:pPr>
      <w:r w:rsidRPr="001B0007">
        <w:rPr>
          <w:rFonts w:asciiTheme="minorHAnsi" w:hAnsiTheme="minorHAnsi"/>
          <w:sz w:val="22"/>
          <w:szCs w:val="22"/>
        </w:rPr>
        <w:t>Crude immunization rates , utilization rates</w:t>
      </w:r>
    </w:p>
    <w:p w:rsidR="00927F54" w:rsidRPr="001B0007" w:rsidRDefault="00927F54" w:rsidP="00927F54">
      <w:pPr>
        <w:pStyle w:val="Listenabsatz"/>
        <w:numPr>
          <w:ilvl w:val="1"/>
          <w:numId w:val="7"/>
        </w:numPr>
        <w:spacing w:after="200" w:line="276" w:lineRule="auto"/>
        <w:ind w:right="0"/>
        <w:rPr>
          <w:rFonts w:asciiTheme="minorHAnsi" w:hAnsiTheme="minorHAnsi"/>
          <w:sz w:val="22"/>
          <w:szCs w:val="22"/>
        </w:rPr>
      </w:pPr>
      <w:r w:rsidRPr="001B0007">
        <w:rPr>
          <w:rFonts w:asciiTheme="minorHAnsi" w:hAnsiTheme="minorHAnsi"/>
          <w:sz w:val="22"/>
          <w:szCs w:val="22"/>
        </w:rPr>
        <w:t>Partner support (List of initiatives/NGOs/donors)</w:t>
      </w:r>
    </w:p>
    <w:p w:rsidR="00927F54" w:rsidRDefault="00927F54" w:rsidP="00927F54">
      <w:pPr>
        <w:pStyle w:val="Listenabsatz"/>
        <w:numPr>
          <w:ilvl w:val="1"/>
          <w:numId w:val="7"/>
        </w:numPr>
        <w:spacing w:after="200" w:line="276" w:lineRule="auto"/>
        <w:ind w:right="0"/>
      </w:pPr>
      <w:r w:rsidRPr="001B0007">
        <w:rPr>
          <w:rFonts w:asciiTheme="minorHAnsi" w:hAnsiTheme="minorHAnsi"/>
          <w:sz w:val="22"/>
          <w:szCs w:val="22"/>
        </w:rPr>
        <w:t>Financial information</w:t>
      </w:r>
    </w:p>
    <w:p w:rsidR="00927F54" w:rsidRPr="001B0007" w:rsidRDefault="00927F54" w:rsidP="00927F54">
      <w:pPr>
        <w:rPr>
          <w:rFonts w:asciiTheme="minorHAnsi" w:hAnsiTheme="minorHAnsi"/>
        </w:rPr>
      </w:pPr>
      <w:r w:rsidRPr="00C6756F">
        <w:rPr>
          <w:b/>
        </w:rPr>
        <w:t>Interviews with DHT/CHMT</w:t>
      </w:r>
      <w:r>
        <w:rPr>
          <w:b/>
        </w:rPr>
        <w:br/>
      </w:r>
      <w:r w:rsidRPr="001B0007">
        <w:rPr>
          <w:rFonts w:asciiTheme="minorHAnsi" w:hAnsiTheme="minorHAnsi"/>
        </w:rPr>
        <w:t>Main information to include in the questionnaire might be:</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Any important changes in the overall governance</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New policies, introduction of new interventions</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New donors/NGOs/partners and investment in health and particularly maternal and child health</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Changes in drug distribution system</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Any major initiatives in health facility infrastructure (new buildings, rehabilitation)</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Availability of transport / ambulances / functioning of referral system</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Training / capacity building in the field of reproductive health by health facility</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Training / capacity building in the field of quality management / quality improvement by facility</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Training / capacity building in the field community mobilization by facility</w:t>
      </w:r>
    </w:p>
    <w:p w:rsidR="00927F54" w:rsidRPr="001B0007" w:rsidRDefault="00927F54" w:rsidP="00927F54">
      <w:pPr>
        <w:pStyle w:val="Listenabsatz"/>
        <w:numPr>
          <w:ilvl w:val="0"/>
          <w:numId w:val="10"/>
        </w:numPr>
        <w:spacing w:after="200" w:line="276" w:lineRule="auto"/>
        <w:ind w:right="0"/>
        <w:rPr>
          <w:rFonts w:asciiTheme="minorHAnsi" w:hAnsiTheme="minorHAnsi"/>
          <w:sz w:val="22"/>
          <w:szCs w:val="22"/>
        </w:rPr>
      </w:pPr>
      <w:r w:rsidRPr="001B0007">
        <w:rPr>
          <w:rFonts w:asciiTheme="minorHAnsi" w:hAnsiTheme="minorHAnsi"/>
          <w:sz w:val="22"/>
          <w:szCs w:val="22"/>
        </w:rPr>
        <w:t xml:space="preserve">Guided interview with open question in regard to planning process  for the council/district plan, </w:t>
      </w:r>
    </w:p>
    <w:p w:rsidR="00927F54" w:rsidRPr="001B0007" w:rsidRDefault="00927F54" w:rsidP="00927F54">
      <w:pPr>
        <w:pStyle w:val="Listenabsatz"/>
        <w:numPr>
          <w:ilvl w:val="1"/>
          <w:numId w:val="10"/>
        </w:numPr>
        <w:spacing w:after="200" w:line="276" w:lineRule="auto"/>
        <w:ind w:right="0"/>
        <w:rPr>
          <w:rFonts w:asciiTheme="minorHAnsi" w:hAnsiTheme="minorHAnsi"/>
          <w:sz w:val="22"/>
          <w:szCs w:val="22"/>
        </w:rPr>
      </w:pPr>
      <w:r w:rsidRPr="001B0007">
        <w:rPr>
          <w:rFonts w:asciiTheme="minorHAnsi" w:hAnsiTheme="minorHAnsi"/>
          <w:sz w:val="22"/>
          <w:szCs w:val="22"/>
        </w:rPr>
        <w:t>who was involved (NGOs, community representatives, community boards/committees), district specialists in reproductive health, ...</w:t>
      </w:r>
    </w:p>
    <w:p w:rsidR="00927F54" w:rsidRPr="001B0007" w:rsidRDefault="00927F54" w:rsidP="00927F54">
      <w:pPr>
        <w:pStyle w:val="Listenabsatz"/>
        <w:numPr>
          <w:ilvl w:val="1"/>
          <w:numId w:val="10"/>
        </w:numPr>
        <w:spacing w:after="200" w:line="276" w:lineRule="auto"/>
        <w:ind w:right="0"/>
        <w:rPr>
          <w:rFonts w:asciiTheme="minorHAnsi" w:hAnsiTheme="minorHAnsi"/>
          <w:sz w:val="22"/>
          <w:szCs w:val="22"/>
        </w:rPr>
      </w:pPr>
      <w:r w:rsidRPr="001B0007">
        <w:rPr>
          <w:rFonts w:asciiTheme="minorHAnsi" w:hAnsiTheme="minorHAnsi"/>
          <w:sz w:val="22"/>
          <w:szCs w:val="22"/>
        </w:rPr>
        <w:t>which kind of data where used for guidance of priority setting and strategic decisions</w:t>
      </w:r>
    </w:p>
    <w:p w:rsidR="00927F54" w:rsidRPr="001B0007" w:rsidRDefault="00927F54" w:rsidP="00927F54">
      <w:pPr>
        <w:pStyle w:val="Listenabsatz"/>
        <w:numPr>
          <w:ilvl w:val="1"/>
          <w:numId w:val="10"/>
        </w:numPr>
        <w:spacing w:after="200" w:line="276" w:lineRule="auto"/>
        <w:ind w:right="0"/>
        <w:rPr>
          <w:rFonts w:asciiTheme="minorHAnsi" w:hAnsiTheme="minorHAnsi"/>
          <w:sz w:val="22"/>
          <w:szCs w:val="22"/>
        </w:rPr>
      </w:pPr>
      <w:r w:rsidRPr="001B0007">
        <w:rPr>
          <w:rFonts w:asciiTheme="minorHAnsi" w:hAnsiTheme="minorHAnsi"/>
          <w:sz w:val="22"/>
          <w:szCs w:val="22"/>
        </w:rPr>
        <w:t>how were conflicts between priorities resolved</w:t>
      </w:r>
    </w:p>
    <w:p w:rsidR="00927F54" w:rsidRPr="00E92C8F" w:rsidRDefault="00927F54" w:rsidP="00927F54">
      <w:pPr>
        <w:rPr>
          <w:b/>
        </w:rPr>
      </w:pPr>
      <w:r w:rsidRPr="00E92C8F">
        <w:rPr>
          <w:b/>
        </w:rPr>
        <w:t>Interview with project staff from all projects/programmes/initiatives going on in the district</w:t>
      </w:r>
    </w:p>
    <w:p w:rsidR="00927F54" w:rsidRPr="001B0007" w:rsidRDefault="00927F54" w:rsidP="00927F54">
      <w:pPr>
        <w:rPr>
          <w:rFonts w:asciiTheme="minorHAnsi" w:hAnsiTheme="minorHAnsi"/>
        </w:rPr>
      </w:pPr>
      <w:r w:rsidRPr="001B0007">
        <w:rPr>
          <w:rFonts w:asciiTheme="minorHAnsi" w:hAnsiTheme="minorHAnsi"/>
        </w:rPr>
        <w:t>Main information to be included in the questionnaire:</w:t>
      </w:r>
    </w:p>
    <w:p w:rsidR="00927F54" w:rsidRPr="001B0007" w:rsidRDefault="00927F54" w:rsidP="00927F54">
      <w:pPr>
        <w:pStyle w:val="Listenabsatz"/>
        <w:numPr>
          <w:ilvl w:val="0"/>
          <w:numId w:val="11"/>
        </w:numPr>
        <w:spacing w:after="200" w:line="276" w:lineRule="auto"/>
        <w:ind w:right="0"/>
        <w:rPr>
          <w:rFonts w:asciiTheme="minorHAnsi" w:hAnsiTheme="minorHAnsi"/>
          <w:sz w:val="22"/>
          <w:szCs w:val="22"/>
        </w:rPr>
      </w:pPr>
      <w:r w:rsidRPr="001B0007">
        <w:rPr>
          <w:rFonts w:asciiTheme="minorHAnsi" w:hAnsiTheme="minorHAnsi"/>
          <w:sz w:val="22"/>
          <w:szCs w:val="22"/>
        </w:rPr>
        <w:t>What is the main focus and target group</w:t>
      </w:r>
    </w:p>
    <w:p w:rsidR="00927F54" w:rsidRPr="001B0007" w:rsidRDefault="00927F54" w:rsidP="00927F54">
      <w:pPr>
        <w:pStyle w:val="Listenabsatz"/>
        <w:numPr>
          <w:ilvl w:val="0"/>
          <w:numId w:val="11"/>
        </w:numPr>
        <w:spacing w:after="200" w:line="276" w:lineRule="auto"/>
        <w:ind w:right="0"/>
        <w:rPr>
          <w:rFonts w:asciiTheme="minorHAnsi" w:hAnsiTheme="minorHAnsi"/>
          <w:sz w:val="22"/>
          <w:szCs w:val="22"/>
        </w:rPr>
      </w:pPr>
      <w:r w:rsidRPr="001B0007">
        <w:rPr>
          <w:rFonts w:asciiTheme="minorHAnsi" w:hAnsiTheme="minorHAnsi"/>
          <w:sz w:val="22"/>
          <w:szCs w:val="22"/>
        </w:rPr>
        <w:t>Where (geographically) is the project/programme/initiative implemented (by health facility)</w:t>
      </w:r>
    </w:p>
    <w:p w:rsidR="00927F54" w:rsidRPr="001B0007" w:rsidRDefault="00927F54" w:rsidP="00927F54">
      <w:pPr>
        <w:pStyle w:val="Listenabsatz"/>
        <w:numPr>
          <w:ilvl w:val="0"/>
          <w:numId w:val="11"/>
        </w:numPr>
        <w:spacing w:after="200" w:line="276" w:lineRule="auto"/>
        <w:ind w:right="0"/>
        <w:rPr>
          <w:rFonts w:asciiTheme="minorHAnsi" w:hAnsiTheme="minorHAnsi"/>
          <w:sz w:val="22"/>
          <w:szCs w:val="22"/>
        </w:rPr>
      </w:pPr>
      <w:r w:rsidRPr="001B0007">
        <w:rPr>
          <w:rFonts w:asciiTheme="minorHAnsi" w:hAnsiTheme="minorHAnsi"/>
          <w:sz w:val="22"/>
          <w:szCs w:val="22"/>
        </w:rPr>
        <w:t xml:space="preserve">What are the main investments such as number of training, capacity building, infrastructure, drugs, </w:t>
      </w:r>
      <w:proofErr w:type="gramStart"/>
      <w:r w:rsidRPr="001B0007">
        <w:rPr>
          <w:rFonts w:asciiTheme="minorHAnsi" w:hAnsiTheme="minorHAnsi"/>
          <w:sz w:val="22"/>
          <w:szCs w:val="22"/>
        </w:rPr>
        <w:t>human</w:t>
      </w:r>
      <w:proofErr w:type="gramEnd"/>
      <w:r w:rsidRPr="001B0007">
        <w:rPr>
          <w:rFonts w:asciiTheme="minorHAnsi" w:hAnsiTheme="minorHAnsi"/>
          <w:sz w:val="22"/>
          <w:szCs w:val="22"/>
        </w:rPr>
        <w:t xml:space="preserve"> resources?</w:t>
      </w:r>
    </w:p>
    <w:p w:rsidR="00927F54" w:rsidRPr="001B0007" w:rsidRDefault="00927F54" w:rsidP="00927F54">
      <w:pPr>
        <w:rPr>
          <w:rFonts w:asciiTheme="minorHAnsi" w:hAnsiTheme="minorHAnsi"/>
          <w:b/>
        </w:rPr>
      </w:pPr>
      <w:r w:rsidRPr="001B0007">
        <w:rPr>
          <w:rFonts w:asciiTheme="minorHAnsi" w:hAnsiTheme="minorHAnsi"/>
          <w:b/>
        </w:rPr>
        <w:t>Informal meetings with DHT/CHMT District coordination meetings</w:t>
      </w:r>
    </w:p>
    <w:p w:rsidR="00927F54" w:rsidRPr="001B0007" w:rsidRDefault="00927F54" w:rsidP="00927F54">
      <w:pPr>
        <w:rPr>
          <w:rFonts w:asciiTheme="minorHAnsi" w:hAnsiTheme="minorHAnsi"/>
        </w:rPr>
      </w:pPr>
      <w:r w:rsidRPr="001B0007">
        <w:rPr>
          <w:rFonts w:asciiTheme="minorHAnsi" w:hAnsiTheme="minorHAnsi"/>
        </w:rPr>
        <w:t xml:space="preserve">Regular participation in district coordination meetings and frequent informal meetings with DHT/CHMT should complement the structured interviews. Documentation of any important new training, support, or any event in the field of reproductive health should complement the structured interviews which will be done once per quarter. </w:t>
      </w:r>
    </w:p>
    <w:p w:rsidR="001B0007" w:rsidRDefault="001B0007" w:rsidP="00927F54">
      <w:pPr>
        <w:rPr>
          <w:b/>
        </w:rPr>
      </w:pPr>
    </w:p>
    <w:p w:rsidR="00927F54" w:rsidRPr="0066237D" w:rsidRDefault="005A1F39" w:rsidP="00927F54">
      <w:pPr>
        <w:rPr>
          <w:b/>
        </w:rPr>
      </w:pPr>
      <w:r>
        <w:rPr>
          <w:b/>
        </w:rPr>
        <w:lastRenderedPageBreak/>
        <w:t>Referen</w:t>
      </w:r>
      <w:bookmarkStart w:id="0" w:name="_GoBack"/>
      <w:bookmarkEnd w:id="0"/>
      <w:r>
        <w:rPr>
          <w:b/>
        </w:rPr>
        <w:t>ces</w:t>
      </w:r>
    </w:p>
    <w:p w:rsidR="00C068FF" w:rsidRDefault="00F45787" w:rsidP="00C068FF">
      <w:pPr>
        <w:spacing w:after="0" w:line="240" w:lineRule="auto"/>
        <w:ind w:left="720" w:hanging="720"/>
        <w:rPr>
          <w:noProof/>
        </w:rPr>
      </w:pPr>
      <w:r>
        <w:fldChar w:fldCharType="begin"/>
      </w:r>
      <w:r w:rsidR="00927F54">
        <w:instrText xml:space="preserve"> ADDIN EN.REFLIST </w:instrText>
      </w:r>
      <w:r>
        <w:fldChar w:fldCharType="separate"/>
      </w:r>
      <w:bookmarkStart w:id="1" w:name="_ENREF_1"/>
      <w:r w:rsidR="00C068FF">
        <w:rPr>
          <w:noProof/>
        </w:rPr>
        <w:t>1.</w:t>
      </w:r>
      <w:r w:rsidR="00C068FF">
        <w:rPr>
          <w:noProof/>
        </w:rPr>
        <w:tab/>
        <w:t xml:space="preserve">Victora, C.G., et al., </w:t>
      </w:r>
      <w:r w:rsidR="00C068FF" w:rsidRPr="00C068FF">
        <w:rPr>
          <w:i/>
          <w:noProof/>
        </w:rPr>
        <w:t>Measuring impact in the Millennium Development Goal era and beyond: a new approach to large-scale effectiveness evaluations.</w:t>
      </w:r>
      <w:r w:rsidR="00C068FF">
        <w:rPr>
          <w:noProof/>
        </w:rPr>
        <w:t xml:space="preserve"> The Lancet, 2011. </w:t>
      </w:r>
      <w:r w:rsidR="00C068FF" w:rsidRPr="00C068FF">
        <w:rPr>
          <w:b/>
          <w:noProof/>
        </w:rPr>
        <w:t>377</w:t>
      </w:r>
      <w:r w:rsidR="00C068FF">
        <w:rPr>
          <w:noProof/>
        </w:rPr>
        <w:t>(9759): p. 85-95.</w:t>
      </w:r>
      <w:bookmarkEnd w:id="1"/>
    </w:p>
    <w:p w:rsidR="00C068FF" w:rsidRDefault="00C068FF" w:rsidP="00C068FF">
      <w:pPr>
        <w:spacing w:line="240" w:lineRule="auto"/>
        <w:ind w:left="720" w:hanging="720"/>
        <w:rPr>
          <w:noProof/>
        </w:rPr>
      </w:pPr>
      <w:bookmarkStart w:id="2" w:name="_ENREF_2"/>
      <w:r>
        <w:rPr>
          <w:noProof/>
        </w:rPr>
        <w:t>2.</w:t>
      </w:r>
      <w:r>
        <w:rPr>
          <w:noProof/>
        </w:rPr>
        <w:tab/>
        <w:t xml:space="preserve">Bryce, J., et al. </w:t>
      </w:r>
      <w:r w:rsidRPr="00C068FF">
        <w:rPr>
          <w:i/>
          <w:noProof/>
        </w:rPr>
        <w:t>Evaluating the scale-up for maternal and child survival: A common framework</w:t>
      </w:r>
      <w:r>
        <w:rPr>
          <w:noProof/>
        </w:rPr>
        <w:t xml:space="preserve">.  2010  [cited 2011 June]; Available from: </w:t>
      </w:r>
      <w:hyperlink r:id="rId11" w:history="1">
        <w:r w:rsidRPr="00C068FF">
          <w:rPr>
            <w:rStyle w:val="Hyperlink"/>
            <w:noProof/>
          </w:rPr>
          <w:t>http://www.jhsph.edu/bin/a/d/common_evaluation_framework.pdf</w:t>
        </w:r>
      </w:hyperlink>
      <w:r>
        <w:rPr>
          <w:noProof/>
        </w:rPr>
        <w:t>.</w:t>
      </w:r>
      <w:bookmarkEnd w:id="2"/>
    </w:p>
    <w:p w:rsidR="00C068FF" w:rsidRDefault="00C068FF" w:rsidP="00C068FF">
      <w:pPr>
        <w:spacing w:line="240" w:lineRule="auto"/>
        <w:rPr>
          <w:noProof/>
        </w:rPr>
      </w:pPr>
    </w:p>
    <w:p w:rsidR="00927F54" w:rsidRDefault="00F45787" w:rsidP="00927F54">
      <w:pPr>
        <w:tabs>
          <w:tab w:val="left" w:pos="2598"/>
        </w:tabs>
        <w:rPr>
          <w:lang w:val="sv-SE"/>
        </w:rPr>
      </w:pPr>
      <w:r>
        <w:fldChar w:fldCharType="end"/>
      </w:r>
    </w:p>
    <w:p w:rsidR="00927F54" w:rsidRDefault="00927F54">
      <w:pPr>
        <w:rPr>
          <w:lang w:val="sv-SE"/>
        </w:rPr>
      </w:pPr>
    </w:p>
    <w:p w:rsidR="00927F54" w:rsidRPr="00927F54" w:rsidRDefault="00927F54">
      <w:pPr>
        <w:rPr>
          <w:lang w:val="sv-SE"/>
        </w:rPr>
      </w:pPr>
    </w:p>
    <w:sectPr w:rsidR="00927F54" w:rsidRPr="00927F54" w:rsidSect="00AF4B6D">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40D" w:rsidRDefault="0033640D" w:rsidP="00927F54">
      <w:pPr>
        <w:spacing w:after="0" w:line="240" w:lineRule="auto"/>
      </w:pPr>
      <w:r>
        <w:separator/>
      </w:r>
    </w:p>
  </w:endnote>
  <w:endnote w:type="continuationSeparator" w:id="0">
    <w:p w:rsidR="0033640D" w:rsidRDefault="0033640D" w:rsidP="00927F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40D" w:rsidRDefault="0033640D" w:rsidP="00927F54">
      <w:pPr>
        <w:spacing w:after="0" w:line="240" w:lineRule="auto"/>
      </w:pPr>
      <w:r>
        <w:separator/>
      </w:r>
    </w:p>
  </w:footnote>
  <w:footnote w:type="continuationSeparator" w:id="0">
    <w:p w:rsidR="0033640D" w:rsidRDefault="0033640D" w:rsidP="00927F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958C8"/>
    <w:multiLevelType w:val="hybridMultilevel"/>
    <w:tmpl w:val="70DA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866BA4"/>
    <w:multiLevelType w:val="hybridMultilevel"/>
    <w:tmpl w:val="9B4AF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0C524E"/>
    <w:multiLevelType w:val="hybridMultilevel"/>
    <w:tmpl w:val="6E48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1D0791"/>
    <w:multiLevelType w:val="multilevel"/>
    <w:tmpl w:val="7AC41994"/>
    <w:lvl w:ilvl="0">
      <w:start w:val="1"/>
      <w:numFmt w:val="decimal"/>
      <w:lvlText w:val="%1."/>
      <w:lvlJc w:val="left"/>
      <w:pPr>
        <w:ind w:left="360" w:hanging="360"/>
      </w:pPr>
      <w:rPr>
        <w:rFonts w:hint="default"/>
      </w:rPr>
    </w:lvl>
    <w:lvl w:ilvl="1">
      <w:start w:val="3"/>
      <w:numFmt w:val="decimal"/>
      <w:pStyle w:val="berschrift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A956241"/>
    <w:multiLevelType w:val="hybridMultilevel"/>
    <w:tmpl w:val="2B5A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E26232"/>
    <w:multiLevelType w:val="hybridMultilevel"/>
    <w:tmpl w:val="B65EC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B01DFB"/>
    <w:multiLevelType w:val="hybridMultilevel"/>
    <w:tmpl w:val="A3E4FE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D254F0"/>
    <w:multiLevelType w:val="multilevel"/>
    <w:tmpl w:val="EC84445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D462D4D"/>
    <w:multiLevelType w:val="hybridMultilevel"/>
    <w:tmpl w:val="4118B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B116CA"/>
    <w:multiLevelType w:val="hybridMultilevel"/>
    <w:tmpl w:val="EDDE0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1166F9"/>
    <w:multiLevelType w:val="hybridMultilevel"/>
    <w:tmpl w:val="418C0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D6A7C"/>
    <w:multiLevelType w:val="hybridMultilevel"/>
    <w:tmpl w:val="DB025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5"/>
  </w:num>
  <w:num w:numId="5">
    <w:abstractNumId w:val="1"/>
  </w:num>
  <w:num w:numId="6">
    <w:abstractNumId w:val="0"/>
  </w:num>
  <w:num w:numId="7">
    <w:abstractNumId w:val="9"/>
  </w:num>
  <w:num w:numId="8">
    <w:abstractNumId w:val="11"/>
  </w:num>
  <w:num w:numId="9">
    <w:abstractNumId w:val="4"/>
  </w:num>
  <w:num w:numId="10">
    <w:abstractNumId w:val="6"/>
  </w:num>
  <w:num w:numId="11">
    <w:abstractNumId w:val="8"/>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0&lt;/ScanUnformatted&gt;&lt;ScanChanges&gt;0&lt;/ScanChanges&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swda00tptzxwjetdwpxz598ps55dwdpr2xw&quot;&gt;Lit-safe-Motherhood&lt;record-ids&gt;&lt;item&gt;3544&lt;/item&gt;&lt;/record-ids&gt;&lt;/item&gt;&lt;/Libraries&gt;"/>
  </w:docVars>
  <w:rsids>
    <w:rsidRoot w:val="00927F54"/>
    <w:rsid w:val="00014476"/>
    <w:rsid w:val="00066C65"/>
    <w:rsid w:val="000947CB"/>
    <w:rsid w:val="000F207C"/>
    <w:rsid w:val="00124F77"/>
    <w:rsid w:val="00144B35"/>
    <w:rsid w:val="00161E5B"/>
    <w:rsid w:val="00186E80"/>
    <w:rsid w:val="001900A2"/>
    <w:rsid w:val="001911F1"/>
    <w:rsid w:val="001B0007"/>
    <w:rsid w:val="001C5027"/>
    <w:rsid w:val="00294A17"/>
    <w:rsid w:val="002A58B9"/>
    <w:rsid w:val="002C67DD"/>
    <w:rsid w:val="00320739"/>
    <w:rsid w:val="0033640D"/>
    <w:rsid w:val="003472FF"/>
    <w:rsid w:val="00390006"/>
    <w:rsid w:val="003D6094"/>
    <w:rsid w:val="003D6DE4"/>
    <w:rsid w:val="004633CF"/>
    <w:rsid w:val="004F1F89"/>
    <w:rsid w:val="00513F71"/>
    <w:rsid w:val="00525C68"/>
    <w:rsid w:val="005A11AC"/>
    <w:rsid w:val="005A1F39"/>
    <w:rsid w:val="005B75F3"/>
    <w:rsid w:val="005C68A3"/>
    <w:rsid w:val="00625F9A"/>
    <w:rsid w:val="006347AC"/>
    <w:rsid w:val="00641DA9"/>
    <w:rsid w:val="00667EFA"/>
    <w:rsid w:val="00671C62"/>
    <w:rsid w:val="00681A99"/>
    <w:rsid w:val="00767808"/>
    <w:rsid w:val="00783AED"/>
    <w:rsid w:val="007A4FEB"/>
    <w:rsid w:val="00821E43"/>
    <w:rsid w:val="008361FF"/>
    <w:rsid w:val="00856E8E"/>
    <w:rsid w:val="00862DC7"/>
    <w:rsid w:val="008830AE"/>
    <w:rsid w:val="008A2859"/>
    <w:rsid w:val="008D2BF9"/>
    <w:rsid w:val="00925CE3"/>
    <w:rsid w:val="00927F54"/>
    <w:rsid w:val="00943723"/>
    <w:rsid w:val="009C63C7"/>
    <w:rsid w:val="00A40FD7"/>
    <w:rsid w:val="00A43C9F"/>
    <w:rsid w:val="00A553D4"/>
    <w:rsid w:val="00A570C3"/>
    <w:rsid w:val="00AC1F6E"/>
    <w:rsid w:val="00AF4221"/>
    <w:rsid w:val="00AF4B6D"/>
    <w:rsid w:val="00B123F3"/>
    <w:rsid w:val="00B42EC0"/>
    <w:rsid w:val="00B62995"/>
    <w:rsid w:val="00B92F0F"/>
    <w:rsid w:val="00BC529A"/>
    <w:rsid w:val="00BD38A2"/>
    <w:rsid w:val="00C068FF"/>
    <w:rsid w:val="00C20D4F"/>
    <w:rsid w:val="00C62AF6"/>
    <w:rsid w:val="00C662E2"/>
    <w:rsid w:val="00C87FA5"/>
    <w:rsid w:val="00C91F75"/>
    <w:rsid w:val="00CD1E98"/>
    <w:rsid w:val="00D36ECB"/>
    <w:rsid w:val="00D3729B"/>
    <w:rsid w:val="00D72F3C"/>
    <w:rsid w:val="00D744EF"/>
    <w:rsid w:val="00D96621"/>
    <w:rsid w:val="00DD54A4"/>
    <w:rsid w:val="00DE3361"/>
    <w:rsid w:val="00DF2EC0"/>
    <w:rsid w:val="00E600E5"/>
    <w:rsid w:val="00E62505"/>
    <w:rsid w:val="00E70188"/>
    <w:rsid w:val="00E746E1"/>
    <w:rsid w:val="00ED015A"/>
    <w:rsid w:val="00EE74B6"/>
    <w:rsid w:val="00F06DA0"/>
    <w:rsid w:val="00F130F0"/>
    <w:rsid w:val="00F202CC"/>
    <w:rsid w:val="00F45787"/>
    <w:rsid w:val="00F47CC4"/>
    <w:rsid w:val="00F63B7D"/>
    <w:rsid w:val="00F83DB1"/>
    <w:rsid w:val="00FB3C8B"/>
    <w:rsid w:val="00FB4BAB"/>
    <w:rsid w:val="00FE2F92"/>
    <w:rsid w:val="00FE4305"/>
    <w:rsid w:val="00FF5D1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E43"/>
    <w:pPr>
      <w:spacing w:after="200" w:line="276" w:lineRule="auto"/>
    </w:pPr>
    <w:rPr>
      <w:sz w:val="22"/>
      <w:szCs w:val="22"/>
      <w:lang w:val="en-US" w:eastAsia="en-US"/>
    </w:rPr>
  </w:style>
  <w:style w:type="paragraph" w:styleId="berschrift1">
    <w:name w:val="heading 1"/>
    <w:basedOn w:val="Standard"/>
    <w:next w:val="Standard"/>
    <w:link w:val="berschrift1Zchn"/>
    <w:uiPriority w:val="9"/>
    <w:qFormat/>
    <w:rsid w:val="00821E43"/>
    <w:pPr>
      <w:keepNext/>
      <w:spacing w:before="240" w:after="60"/>
      <w:outlineLvl w:val="0"/>
    </w:pPr>
    <w:rPr>
      <w:rFonts w:ascii="Cambria" w:eastAsia="Times New Roman" w:hAnsi="Cambria"/>
      <w:b/>
      <w:bCs/>
      <w:kern w:val="32"/>
      <w:sz w:val="32"/>
      <w:szCs w:val="32"/>
      <w:lang w:val="en-GB" w:eastAsia="en-GB"/>
    </w:rPr>
  </w:style>
  <w:style w:type="paragraph" w:styleId="berschrift2">
    <w:name w:val="heading 2"/>
    <w:basedOn w:val="Standard"/>
    <w:next w:val="Standard"/>
    <w:link w:val="berschrift2Zchn"/>
    <w:uiPriority w:val="9"/>
    <w:unhideWhenUsed/>
    <w:qFormat/>
    <w:rsid w:val="00821E43"/>
    <w:pPr>
      <w:keepNext/>
      <w:numPr>
        <w:ilvl w:val="1"/>
        <w:numId w:val="1"/>
      </w:numPr>
      <w:spacing w:before="240" w:after="60"/>
      <w:outlineLvl w:val="1"/>
    </w:pPr>
    <w:rPr>
      <w:rFonts w:ascii="Cambria" w:eastAsia="Times New Roman" w:hAnsi="Cambria"/>
      <w:b/>
      <w:bCs/>
      <w:i/>
      <w:iCs/>
      <w:sz w:val="28"/>
      <w:szCs w:val="28"/>
    </w:rPr>
  </w:style>
  <w:style w:type="paragraph" w:styleId="berschrift3">
    <w:name w:val="heading 3"/>
    <w:basedOn w:val="Standard"/>
    <w:next w:val="Standard"/>
    <w:link w:val="berschrift3Zchn"/>
    <w:uiPriority w:val="9"/>
    <w:unhideWhenUsed/>
    <w:qFormat/>
    <w:rsid w:val="00821E43"/>
    <w:pPr>
      <w:keepNext/>
      <w:spacing w:before="240" w:after="60"/>
      <w:outlineLvl w:val="2"/>
    </w:pPr>
    <w:rPr>
      <w:rFonts w:ascii="Cambria" w:eastAsia="Times New Roman" w:hAnsi="Cambria"/>
      <w:b/>
      <w:bCs/>
      <w:sz w:val="26"/>
      <w:szCs w:val="26"/>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HelleSchattierung-Akzent1">
    <w:name w:val="Light Shading Accent 1"/>
    <w:basedOn w:val="NormaleTabelle"/>
    <w:uiPriority w:val="60"/>
    <w:rsid w:val="00783AED"/>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berschrift1Zchn">
    <w:name w:val="Überschrift 1 Zchn"/>
    <w:basedOn w:val="Absatz-Standardschriftart"/>
    <w:link w:val="berschrift1"/>
    <w:uiPriority w:val="9"/>
    <w:rsid w:val="00821E43"/>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rsid w:val="00821E43"/>
    <w:rPr>
      <w:rFonts w:ascii="Cambria" w:eastAsia="Times New Roman" w:hAnsi="Cambria"/>
      <w:b/>
      <w:bCs/>
      <w:i/>
      <w:iCs/>
      <w:sz w:val="28"/>
      <w:szCs w:val="28"/>
      <w:lang w:val="en-US" w:eastAsia="en-US"/>
    </w:rPr>
  </w:style>
  <w:style w:type="character" w:customStyle="1" w:styleId="berschrift3Zchn">
    <w:name w:val="Überschrift 3 Zchn"/>
    <w:basedOn w:val="Absatz-Standardschriftart"/>
    <w:link w:val="berschrift3"/>
    <w:uiPriority w:val="9"/>
    <w:rsid w:val="00821E43"/>
    <w:rPr>
      <w:rFonts w:ascii="Cambria" w:eastAsia="Times New Roman" w:hAnsi="Cambria" w:cs="Times New Roman"/>
      <w:b/>
      <w:bCs/>
      <w:sz w:val="26"/>
      <w:szCs w:val="26"/>
    </w:rPr>
  </w:style>
  <w:style w:type="paragraph" w:styleId="Beschriftung">
    <w:name w:val="caption"/>
    <w:basedOn w:val="Standard"/>
    <w:next w:val="Standard"/>
    <w:uiPriority w:val="35"/>
    <w:unhideWhenUsed/>
    <w:qFormat/>
    <w:rsid w:val="00821E43"/>
    <w:rPr>
      <w:b/>
      <w:bCs/>
      <w:sz w:val="20"/>
      <w:szCs w:val="20"/>
    </w:rPr>
  </w:style>
  <w:style w:type="paragraph" w:styleId="Titel">
    <w:name w:val="Title"/>
    <w:basedOn w:val="Standard"/>
    <w:link w:val="TitelZchn"/>
    <w:qFormat/>
    <w:rsid w:val="00821E43"/>
    <w:pPr>
      <w:shd w:val="pct5" w:color="000000" w:fill="FFFFFF"/>
      <w:spacing w:after="0" w:line="240" w:lineRule="auto"/>
      <w:jc w:val="right"/>
    </w:pPr>
    <w:rPr>
      <w:rFonts w:ascii="Arial" w:eastAsia="Times New Roman" w:hAnsi="Arial"/>
      <w:b/>
      <w:noProof/>
      <w:sz w:val="56"/>
      <w:szCs w:val="20"/>
      <w:lang w:val="en-GB" w:eastAsia="en-GB"/>
    </w:rPr>
  </w:style>
  <w:style w:type="character" w:customStyle="1" w:styleId="TitelZchn">
    <w:name w:val="Titel Zchn"/>
    <w:basedOn w:val="Absatz-Standardschriftart"/>
    <w:link w:val="Titel"/>
    <w:rsid w:val="00821E43"/>
    <w:rPr>
      <w:rFonts w:ascii="Arial" w:eastAsia="Times New Roman" w:hAnsi="Arial" w:cs="Times New Roman"/>
      <w:b/>
      <w:noProof/>
      <w:sz w:val="56"/>
      <w:szCs w:val="20"/>
      <w:shd w:val="pct5" w:color="000000" w:fill="FFFFFF"/>
    </w:rPr>
  </w:style>
  <w:style w:type="paragraph" w:styleId="Listenabsatz">
    <w:name w:val="List Paragraph"/>
    <w:basedOn w:val="Standard"/>
    <w:uiPriority w:val="34"/>
    <w:qFormat/>
    <w:rsid w:val="00821E43"/>
    <w:pPr>
      <w:spacing w:after="0" w:line="240" w:lineRule="auto"/>
      <w:ind w:left="720" w:right="-646" w:hanging="855"/>
      <w:contextualSpacing/>
    </w:pPr>
    <w:rPr>
      <w:rFonts w:ascii="Times New Roman" w:eastAsia="Times New Roman" w:hAnsi="Times New Roman"/>
      <w:sz w:val="24"/>
      <w:szCs w:val="24"/>
    </w:rPr>
  </w:style>
  <w:style w:type="paragraph" w:styleId="Inhaltsverzeichnisberschrift">
    <w:name w:val="TOC Heading"/>
    <w:basedOn w:val="berschrift1"/>
    <w:next w:val="Standard"/>
    <w:uiPriority w:val="39"/>
    <w:semiHidden/>
    <w:unhideWhenUsed/>
    <w:qFormat/>
    <w:rsid w:val="00821E43"/>
    <w:pPr>
      <w:keepLines/>
      <w:spacing w:before="480" w:after="0"/>
      <w:outlineLvl w:val="9"/>
    </w:pPr>
    <w:rPr>
      <w:color w:val="365F91"/>
      <w:kern w:val="0"/>
      <w:sz w:val="28"/>
      <w:szCs w:val="28"/>
      <w:lang w:val="en-US" w:eastAsia="en-US"/>
    </w:rPr>
  </w:style>
  <w:style w:type="character" w:styleId="Hyperlink">
    <w:name w:val="Hyperlink"/>
    <w:basedOn w:val="Absatz-Standardschriftart"/>
    <w:uiPriority w:val="99"/>
    <w:unhideWhenUsed/>
    <w:rsid w:val="00927F54"/>
    <w:rPr>
      <w:color w:val="0000FF"/>
      <w:u w:val="single"/>
    </w:rPr>
  </w:style>
  <w:style w:type="character" w:styleId="Kommentarzeichen">
    <w:name w:val="annotation reference"/>
    <w:basedOn w:val="Absatz-Standardschriftart"/>
    <w:uiPriority w:val="99"/>
    <w:semiHidden/>
    <w:unhideWhenUsed/>
    <w:rsid w:val="00927F54"/>
    <w:rPr>
      <w:sz w:val="16"/>
      <w:szCs w:val="16"/>
    </w:rPr>
  </w:style>
  <w:style w:type="paragraph" w:styleId="Kommentartext">
    <w:name w:val="annotation text"/>
    <w:basedOn w:val="Standard"/>
    <w:link w:val="KommentartextZchn"/>
    <w:unhideWhenUsed/>
    <w:rsid w:val="00927F54"/>
    <w:pPr>
      <w:spacing w:line="240" w:lineRule="auto"/>
    </w:pPr>
    <w:rPr>
      <w:rFonts w:eastAsia="Times New Roman"/>
      <w:sz w:val="20"/>
      <w:szCs w:val="20"/>
      <w:lang w:val="sv-SE" w:eastAsia="sv-SE"/>
    </w:rPr>
  </w:style>
  <w:style w:type="character" w:customStyle="1" w:styleId="KommentartextZchn">
    <w:name w:val="Kommentartext Zchn"/>
    <w:basedOn w:val="Absatz-Standardschriftart"/>
    <w:link w:val="Kommentartext"/>
    <w:rsid w:val="00927F54"/>
    <w:rPr>
      <w:rFonts w:eastAsia="Times New Roman"/>
      <w:lang w:val="sv-SE" w:eastAsia="sv-SE"/>
    </w:rPr>
  </w:style>
  <w:style w:type="paragraph" w:styleId="Funotentext">
    <w:name w:val="footnote text"/>
    <w:basedOn w:val="Standard"/>
    <w:link w:val="FunotentextZchn"/>
    <w:uiPriority w:val="99"/>
    <w:semiHidden/>
    <w:unhideWhenUsed/>
    <w:rsid w:val="00927F54"/>
    <w:pPr>
      <w:spacing w:after="0" w:line="240" w:lineRule="auto"/>
    </w:pPr>
    <w:rPr>
      <w:sz w:val="20"/>
      <w:szCs w:val="20"/>
      <w:lang w:val="en-GB"/>
    </w:rPr>
  </w:style>
  <w:style w:type="character" w:customStyle="1" w:styleId="FunotentextZchn">
    <w:name w:val="Fußnotentext Zchn"/>
    <w:basedOn w:val="Absatz-Standardschriftart"/>
    <w:link w:val="Funotentext"/>
    <w:uiPriority w:val="99"/>
    <w:semiHidden/>
    <w:rsid w:val="00927F54"/>
    <w:rPr>
      <w:lang w:eastAsia="en-US"/>
    </w:rPr>
  </w:style>
  <w:style w:type="character" w:styleId="Funotenzeichen">
    <w:name w:val="footnote reference"/>
    <w:basedOn w:val="Absatz-Standardschriftart"/>
    <w:uiPriority w:val="99"/>
    <w:semiHidden/>
    <w:unhideWhenUsed/>
    <w:rsid w:val="00927F54"/>
    <w:rPr>
      <w:vertAlign w:val="superscript"/>
    </w:rPr>
  </w:style>
  <w:style w:type="table" w:styleId="Tabellengitternetz">
    <w:name w:val="Table Grid"/>
    <w:basedOn w:val="NormaleTabelle"/>
    <w:uiPriority w:val="59"/>
    <w:rsid w:val="00927F5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27F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7F54"/>
    <w:rPr>
      <w:rFonts w:ascii="Tahoma" w:hAnsi="Tahoma" w:cs="Tahoma"/>
      <w:sz w:val="16"/>
      <w:szCs w:val="16"/>
      <w:lang w:val="en-US" w:eastAsia="en-US"/>
    </w:rPr>
  </w:style>
  <w:style w:type="paragraph" w:styleId="Kommentarthema">
    <w:name w:val="annotation subject"/>
    <w:basedOn w:val="Kommentartext"/>
    <w:next w:val="Kommentartext"/>
    <w:link w:val="KommentarthemaZchn"/>
    <w:uiPriority w:val="99"/>
    <w:semiHidden/>
    <w:unhideWhenUsed/>
    <w:rsid w:val="00124F77"/>
    <w:rPr>
      <w:rFonts w:eastAsia="Calibri"/>
      <w:b/>
      <w:bCs/>
      <w:lang w:val="en-US" w:eastAsia="en-US"/>
    </w:rPr>
  </w:style>
  <w:style w:type="character" w:customStyle="1" w:styleId="KommentarthemaZchn">
    <w:name w:val="Kommentarthema Zchn"/>
    <w:basedOn w:val="KommentartextZchn"/>
    <w:link w:val="Kommentarthema"/>
    <w:uiPriority w:val="99"/>
    <w:semiHidden/>
    <w:rsid w:val="00124F77"/>
    <w:rPr>
      <w:rFonts w:eastAsia="Times New Roman"/>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454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hsph.edu/bin/a/d/common_evaluation_framewor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hsph.edu/bin/a/d/common_evaluation_framework.pdf" TargetMode="External"/><Relationship Id="rId5" Type="http://schemas.openxmlformats.org/officeDocument/2006/relationships/footnotes" Target="footnotes.xml"/><Relationship Id="rId23" Type="http://schemas.microsoft.com/office/2007/relationships/stylesWithEffects" Target="stylesWithEffect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http://www.internationalhealthpartnership.net//CMS_files/documents/monitoring_and_evaluation_of_health_systems_strengthening_-_an_operational_framework_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2223</Words>
  <Characters>12673</Characters>
  <Application>Microsoft Office Word</Application>
  <DocSecurity>0</DocSecurity>
  <Lines>105</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4</cp:revision>
  <cp:lastPrinted>2013-11-04T13:34:00Z</cp:lastPrinted>
  <dcterms:created xsi:type="dcterms:W3CDTF">2014-01-27T07:22:00Z</dcterms:created>
  <dcterms:modified xsi:type="dcterms:W3CDTF">2014-02-19T08:54:00Z</dcterms:modified>
</cp:coreProperties>
</file>