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17" w:rsidRPr="00F613D7" w:rsidRDefault="00284BCD" w:rsidP="00F613D7">
      <w:pPr>
        <w:widowControl/>
        <w:jc w:val="left"/>
        <w:rPr>
          <w:rFonts w:asciiTheme="majorHAnsi" w:hAnsiTheme="majorHAnsi" w:cstheme="majorHAnsi"/>
          <w:szCs w:val="21"/>
        </w:rPr>
      </w:pPr>
      <w:r w:rsidRPr="00F613D7">
        <w:rPr>
          <w:rFonts w:asciiTheme="majorHAnsi" w:hAnsiTheme="majorHAnsi" w:cstheme="majorHAnsi"/>
          <w:szCs w:val="21"/>
        </w:rPr>
        <w:t>Additional Figures for</w:t>
      </w:r>
      <w:r w:rsidR="008A1B17" w:rsidRPr="00F613D7">
        <w:rPr>
          <w:rFonts w:asciiTheme="majorHAnsi" w:hAnsiTheme="majorHAnsi" w:cstheme="majorHAnsi"/>
          <w:szCs w:val="21"/>
        </w:rPr>
        <w:t>:</w:t>
      </w:r>
    </w:p>
    <w:p w:rsidR="00094110" w:rsidRPr="00F613D7" w:rsidRDefault="00094110" w:rsidP="00F613D7">
      <w:pPr>
        <w:widowControl/>
        <w:jc w:val="left"/>
        <w:rPr>
          <w:rFonts w:asciiTheme="majorHAnsi" w:hAnsiTheme="majorHAnsi" w:cstheme="majorHAnsi"/>
          <w:szCs w:val="21"/>
        </w:rPr>
      </w:pPr>
    </w:p>
    <w:p w:rsidR="008A1B17" w:rsidRPr="00F613D7" w:rsidRDefault="008A1B17" w:rsidP="00F613D7">
      <w:pPr>
        <w:jc w:val="left"/>
        <w:rPr>
          <w:rFonts w:asciiTheme="majorHAnsi" w:hAnsiTheme="majorHAnsi" w:cstheme="majorHAnsi"/>
          <w:b/>
          <w:sz w:val="24"/>
          <w:szCs w:val="24"/>
        </w:rPr>
      </w:pPr>
      <w:proofErr w:type="gramStart"/>
      <w:r w:rsidRPr="00F613D7">
        <w:rPr>
          <w:rFonts w:asciiTheme="majorHAnsi" w:hAnsiTheme="majorHAnsi" w:cstheme="majorHAnsi"/>
          <w:b/>
          <w:sz w:val="24"/>
          <w:szCs w:val="24"/>
        </w:rPr>
        <w:t xml:space="preserve">Navigational choice between reversal and curve during acidic pH avoidance behavior in </w:t>
      </w:r>
      <w:r w:rsidRPr="00F613D7">
        <w:rPr>
          <w:rFonts w:asciiTheme="majorHAnsi" w:hAnsiTheme="majorHAnsi" w:cstheme="majorHAnsi"/>
          <w:b/>
          <w:i/>
          <w:sz w:val="24"/>
          <w:szCs w:val="24"/>
        </w:rPr>
        <w:t xml:space="preserve">Caenorhabditis </w:t>
      </w:r>
      <w:proofErr w:type="spellStart"/>
      <w:r w:rsidRPr="00F613D7">
        <w:rPr>
          <w:rFonts w:asciiTheme="majorHAnsi" w:hAnsiTheme="majorHAnsi" w:cstheme="majorHAnsi"/>
          <w:b/>
          <w:i/>
          <w:sz w:val="24"/>
          <w:szCs w:val="24"/>
        </w:rPr>
        <w:t>elegans</w:t>
      </w:r>
      <w:proofErr w:type="spellEnd"/>
      <w:r w:rsidRPr="00F613D7">
        <w:rPr>
          <w:rFonts w:asciiTheme="majorHAnsi" w:hAnsiTheme="majorHAnsi" w:cstheme="majorHAnsi"/>
          <w:b/>
          <w:sz w:val="24"/>
          <w:szCs w:val="24"/>
        </w:rPr>
        <w:t>.</w:t>
      </w:r>
      <w:proofErr w:type="gramEnd"/>
    </w:p>
    <w:p w:rsidR="00F613D7" w:rsidRDefault="00F613D7" w:rsidP="00F613D7">
      <w:pPr>
        <w:jc w:val="left"/>
        <w:rPr>
          <w:rFonts w:asciiTheme="majorHAnsi" w:hAnsiTheme="majorHAnsi" w:cstheme="majorHAnsi" w:hint="eastAsia"/>
          <w:szCs w:val="21"/>
        </w:rPr>
      </w:pPr>
    </w:p>
    <w:p w:rsidR="00284BCD" w:rsidRDefault="008A1B17" w:rsidP="00F613D7">
      <w:pPr>
        <w:jc w:val="left"/>
        <w:rPr>
          <w:rFonts w:asciiTheme="majorHAnsi" w:hAnsiTheme="majorHAnsi" w:cstheme="majorHAnsi" w:hint="eastAsia"/>
          <w:i/>
          <w:szCs w:val="21"/>
        </w:rPr>
      </w:pPr>
      <w:proofErr w:type="gramStart"/>
      <w:r w:rsidRPr="00F613D7">
        <w:rPr>
          <w:rFonts w:asciiTheme="majorHAnsi" w:hAnsiTheme="majorHAnsi" w:cstheme="majorHAnsi"/>
          <w:szCs w:val="21"/>
        </w:rPr>
        <w:t>Wakabayashi</w:t>
      </w:r>
      <w:r w:rsidR="00F613D7">
        <w:rPr>
          <w:rFonts w:asciiTheme="majorHAnsi" w:hAnsiTheme="majorHAnsi" w:cstheme="majorHAnsi" w:hint="eastAsia"/>
          <w:szCs w:val="21"/>
        </w:rPr>
        <w:t>, T</w:t>
      </w:r>
      <w:r w:rsidRPr="00F613D7">
        <w:rPr>
          <w:rFonts w:asciiTheme="majorHAnsi" w:hAnsiTheme="majorHAnsi" w:cstheme="majorHAnsi"/>
          <w:szCs w:val="21"/>
        </w:rPr>
        <w:t xml:space="preserve"> </w:t>
      </w:r>
      <w:r w:rsidR="00094110" w:rsidRPr="00F613D7">
        <w:rPr>
          <w:rFonts w:asciiTheme="majorHAnsi" w:hAnsiTheme="majorHAnsi" w:cstheme="majorHAnsi"/>
          <w:szCs w:val="21"/>
        </w:rPr>
        <w:t>and Sakata</w:t>
      </w:r>
      <w:r w:rsidR="00F613D7">
        <w:rPr>
          <w:rFonts w:asciiTheme="majorHAnsi" w:hAnsiTheme="majorHAnsi" w:cstheme="majorHAnsi" w:hint="eastAsia"/>
          <w:szCs w:val="21"/>
        </w:rPr>
        <w:t>, K</w:t>
      </w:r>
      <w:r w:rsidR="00094110" w:rsidRPr="00F613D7">
        <w:rPr>
          <w:rFonts w:asciiTheme="majorHAnsi" w:hAnsiTheme="majorHAnsi" w:cstheme="majorHAnsi"/>
          <w:szCs w:val="21"/>
        </w:rPr>
        <w:t xml:space="preserve"> </w:t>
      </w:r>
      <w:r w:rsidRPr="00F613D7">
        <w:rPr>
          <w:rFonts w:asciiTheme="majorHAnsi" w:hAnsiTheme="majorHAnsi" w:cstheme="majorHAnsi"/>
          <w:i/>
          <w:szCs w:val="21"/>
        </w:rPr>
        <w:t>et al.</w:t>
      </w:r>
      <w:proofErr w:type="gramEnd"/>
    </w:p>
    <w:p w:rsidR="008A1B17" w:rsidRPr="00284BCD" w:rsidRDefault="008A1B17" w:rsidP="00F613D7">
      <w:pPr>
        <w:jc w:val="left"/>
        <w:rPr>
          <w:rFonts w:ascii="Times New Roman" w:hAnsi="Times New Roman" w:cs="Times New Roman"/>
          <w:b/>
          <w:szCs w:val="21"/>
        </w:rPr>
      </w:pPr>
    </w:p>
    <w:p w:rsidR="008A1B17" w:rsidRDefault="00094110" w:rsidP="00F613D7">
      <w:pPr>
        <w:jc w:val="left"/>
        <w:rPr>
          <w:rFonts w:ascii="Arial" w:hAnsi="Arial" w:cs="Arial" w:hint="eastAsia"/>
          <w:szCs w:val="21"/>
        </w:rPr>
      </w:pPr>
      <w:r w:rsidRPr="00F613D7">
        <w:rPr>
          <w:rFonts w:asciiTheme="majorHAnsi" w:hAnsiTheme="majorHAnsi" w:cstheme="majorHAnsi"/>
          <w:b/>
          <w:noProof/>
          <w:szCs w:val="21"/>
        </w:rPr>
        <w:drawing>
          <wp:anchor distT="0" distB="0" distL="114300" distR="114300" simplePos="0" relativeHeight="251659264" behindDoc="0" locked="0" layoutInCell="1" allowOverlap="1" wp14:anchorId="7645931C" wp14:editId="66297DA6">
            <wp:simplePos x="0" y="0"/>
            <wp:positionH relativeFrom="margin">
              <wp:posOffset>28575</wp:posOffset>
            </wp:positionH>
            <wp:positionV relativeFrom="margin">
              <wp:posOffset>1658620</wp:posOffset>
            </wp:positionV>
            <wp:extent cx="2136140" cy="202057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6140" cy="2020570"/>
                    </a:xfrm>
                    <a:prstGeom prst="rect">
                      <a:avLst/>
                    </a:prstGeom>
                  </pic:spPr>
                </pic:pic>
              </a:graphicData>
            </a:graphic>
          </wp:anchor>
        </w:drawing>
      </w:r>
      <w:proofErr w:type="gramStart"/>
      <w:r w:rsidR="008A1B17" w:rsidRPr="00F613D7">
        <w:rPr>
          <w:rFonts w:asciiTheme="majorHAnsi" w:hAnsiTheme="majorHAnsi" w:cstheme="majorHAnsi"/>
          <w:b/>
          <w:szCs w:val="21"/>
        </w:rPr>
        <w:t>Fig.</w:t>
      </w:r>
      <w:proofErr w:type="gramEnd"/>
      <w:r w:rsidR="008A1B17" w:rsidRPr="00F613D7">
        <w:rPr>
          <w:rFonts w:asciiTheme="majorHAnsi" w:hAnsiTheme="majorHAnsi" w:cstheme="majorHAnsi"/>
          <w:b/>
          <w:szCs w:val="21"/>
        </w:rPr>
        <w:t xml:space="preserve"> S3</w:t>
      </w:r>
      <w:r w:rsidR="008A1B17">
        <w:rPr>
          <w:rFonts w:ascii="Times New Roman" w:hAnsi="Times New Roman" w:cs="Times New Roman"/>
          <w:szCs w:val="21"/>
        </w:rPr>
        <w:t xml:space="preserve"> </w:t>
      </w:r>
      <w:r w:rsidR="008A1B17" w:rsidRPr="00F613D7">
        <w:rPr>
          <w:rFonts w:ascii="Arial" w:hAnsi="Arial" w:cs="Arial"/>
          <w:szCs w:val="21"/>
        </w:rPr>
        <w:t xml:space="preserve">Overlaid images of long reversal avoidance </w:t>
      </w:r>
      <w:r w:rsidR="008A1B17" w:rsidRPr="00F613D7">
        <w:rPr>
          <w:rFonts w:ascii="Arial" w:hAnsi="Arial" w:cs="Arial"/>
          <w:b/>
          <w:szCs w:val="21"/>
        </w:rPr>
        <w:t>(A)</w:t>
      </w:r>
      <w:r w:rsidR="008A1B17" w:rsidRPr="00F613D7">
        <w:rPr>
          <w:rFonts w:ascii="Arial" w:hAnsi="Arial" w:cs="Arial"/>
          <w:szCs w:val="21"/>
        </w:rPr>
        <w:t xml:space="preserve"> and gradual curve avoidance</w:t>
      </w:r>
      <w:r w:rsidR="008A1B17" w:rsidRPr="00F613D7">
        <w:rPr>
          <w:rFonts w:ascii="Arial" w:hAnsi="Arial" w:cs="Arial"/>
          <w:b/>
          <w:szCs w:val="21"/>
        </w:rPr>
        <w:t xml:space="preserve"> (B) </w:t>
      </w:r>
      <w:r w:rsidR="008A1B17" w:rsidRPr="00F613D7">
        <w:rPr>
          <w:rFonts w:ascii="Arial" w:hAnsi="Arial" w:cs="Arial"/>
          <w:szCs w:val="21"/>
        </w:rPr>
        <w:t xml:space="preserve">from Supplemental Movies S1 and S2. In </w:t>
      </w:r>
      <w:r w:rsidR="008A1B17" w:rsidRPr="00F613D7">
        <w:rPr>
          <w:rFonts w:ascii="Arial" w:hAnsi="Arial" w:cs="Arial"/>
          <w:b/>
          <w:szCs w:val="21"/>
        </w:rPr>
        <w:t>(A)</w:t>
      </w:r>
      <w:r w:rsidR="008A1B17" w:rsidRPr="00F613D7">
        <w:rPr>
          <w:rFonts w:ascii="Arial" w:hAnsi="Arial" w:cs="Arial"/>
          <w:szCs w:val="21"/>
        </w:rPr>
        <w:t xml:space="preserve">, (1) forward locomotion toward the acidic region, (2) stop, (3) backward, (4) turn by deep body bending, and (5) forward locomotion in the less acidic direction are indicated. In </w:t>
      </w:r>
      <w:r w:rsidR="008A1B17" w:rsidRPr="00F613D7">
        <w:rPr>
          <w:rFonts w:ascii="Arial" w:hAnsi="Arial" w:cs="Arial"/>
          <w:b/>
          <w:szCs w:val="21"/>
        </w:rPr>
        <w:t>(B)</w:t>
      </w:r>
      <w:r w:rsidR="008A1B17" w:rsidRPr="00F613D7">
        <w:rPr>
          <w:rFonts w:ascii="Arial" w:hAnsi="Arial" w:cs="Arial"/>
          <w:szCs w:val="21"/>
        </w:rPr>
        <w:t>, (1) forward locomotion toward the acidic region, (2) (3) gradual turns by asymmetric body bending, and (4) forward locomotion in the less acidic direction are indicated. Small head swings similar to the stomatal oscillations described by</w:t>
      </w:r>
      <w:r w:rsidR="00537CA2" w:rsidRPr="00F613D7">
        <w:rPr>
          <w:rFonts w:ascii="Arial" w:hAnsi="Arial" w:cs="Arial"/>
          <w:szCs w:val="21"/>
        </w:rPr>
        <w:t xml:space="preserve"> </w:t>
      </w:r>
      <w:proofErr w:type="spellStart"/>
      <w:r w:rsidR="00537CA2" w:rsidRPr="00F613D7">
        <w:rPr>
          <w:rFonts w:ascii="Arial" w:hAnsi="Arial" w:cs="Arial"/>
          <w:szCs w:val="21"/>
        </w:rPr>
        <w:t>Croll</w:t>
      </w:r>
      <w:proofErr w:type="spellEnd"/>
      <w:r w:rsidR="00537CA2" w:rsidRPr="00F613D7">
        <w:rPr>
          <w:rFonts w:ascii="Arial" w:hAnsi="Arial" w:cs="Arial"/>
          <w:szCs w:val="21"/>
        </w:rPr>
        <w:t xml:space="preserve"> [1]</w:t>
      </w:r>
      <w:r w:rsidR="008A1B17" w:rsidRPr="00F613D7">
        <w:rPr>
          <w:rFonts w:ascii="Arial" w:hAnsi="Arial" w:cs="Arial"/>
          <w:szCs w:val="21"/>
        </w:rPr>
        <w:t xml:space="preserve"> were indicated by asterisks. The bright region represents the acidic yellow region.</w:t>
      </w:r>
    </w:p>
    <w:p w:rsidR="00F613D7" w:rsidRPr="00F613D7" w:rsidRDefault="00F613D7" w:rsidP="00F613D7">
      <w:pPr>
        <w:jc w:val="left"/>
        <w:rPr>
          <w:rFonts w:ascii="Arial" w:hAnsi="Arial" w:cs="Arial"/>
          <w:szCs w:val="21"/>
        </w:rPr>
      </w:pPr>
    </w:p>
    <w:p w:rsidR="0072703A" w:rsidRPr="00F613D7" w:rsidRDefault="00F613D7" w:rsidP="00F613D7">
      <w:pPr>
        <w:jc w:val="left"/>
        <w:rPr>
          <w:rFonts w:ascii="Times New Roman" w:hAnsi="Times New Roman" w:cs="Times New Roman"/>
          <w:szCs w:val="21"/>
        </w:rPr>
      </w:pPr>
      <w:r w:rsidRPr="00F613D7">
        <w:rPr>
          <w:rFonts w:asciiTheme="majorHAnsi" w:hAnsiTheme="majorHAnsi" w:cstheme="majorHAnsi"/>
          <w:b/>
          <w:noProof/>
          <w:szCs w:val="21"/>
        </w:rPr>
        <w:drawing>
          <wp:anchor distT="0" distB="0" distL="114300" distR="114300" simplePos="0" relativeHeight="251660288" behindDoc="0" locked="0" layoutInCell="1" allowOverlap="1" wp14:anchorId="161D086F" wp14:editId="72D94374">
            <wp:simplePos x="0" y="0"/>
            <wp:positionH relativeFrom="margin">
              <wp:posOffset>-8255</wp:posOffset>
            </wp:positionH>
            <wp:positionV relativeFrom="margin">
              <wp:posOffset>4636770</wp:posOffset>
            </wp:positionV>
            <wp:extent cx="2226945" cy="1867535"/>
            <wp:effectExtent l="0" t="0" r="190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 gradi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945" cy="1867535"/>
                    </a:xfrm>
                    <a:prstGeom prst="rect">
                      <a:avLst/>
                    </a:prstGeom>
                  </pic:spPr>
                </pic:pic>
              </a:graphicData>
            </a:graphic>
          </wp:anchor>
        </w:drawing>
      </w:r>
      <w:proofErr w:type="gramStart"/>
      <w:r w:rsidR="008A1B17" w:rsidRPr="00F613D7">
        <w:rPr>
          <w:rFonts w:asciiTheme="majorHAnsi" w:hAnsiTheme="majorHAnsi" w:cstheme="majorHAnsi"/>
          <w:b/>
          <w:szCs w:val="21"/>
        </w:rPr>
        <w:t>Fig.</w:t>
      </w:r>
      <w:proofErr w:type="gramEnd"/>
      <w:r w:rsidR="008A1B17" w:rsidRPr="00F613D7">
        <w:rPr>
          <w:rFonts w:asciiTheme="majorHAnsi" w:hAnsiTheme="majorHAnsi" w:cstheme="majorHAnsi"/>
          <w:b/>
          <w:szCs w:val="21"/>
        </w:rPr>
        <w:t xml:space="preserve"> S4</w:t>
      </w:r>
      <w:r>
        <w:rPr>
          <w:rFonts w:asciiTheme="majorHAnsi" w:hAnsiTheme="majorHAnsi" w:cstheme="majorHAnsi"/>
          <w:szCs w:val="21"/>
        </w:rPr>
        <w:t xml:space="preserve"> </w:t>
      </w:r>
      <w:r w:rsidR="008A1B17" w:rsidRPr="00F613D7">
        <w:rPr>
          <w:rFonts w:asciiTheme="majorHAnsi" w:hAnsiTheme="majorHAnsi" w:cstheme="majorHAnsi"/>
          <w:szCs w:val="21"/>
        </w:rPr>
        <w:t xml:space="preserve">Steepness of the acidic pH gradient used for the experiments in Fig.2, 6, and 7, formed using acidic agar strips containing 100 </w:t>
      </w:r>
      <w:proofErr w:type="spellStart"/>
      <w:r w:rsidR="008A1B17" w:rsidRPr="00F613D7">
        <w:rPr>
          <w:rFonts w:asciiTheme="majorHAnsi" w:hAnsiTheme="majorHAnsi" w:cstheme="majorHAnsi"/>
          <w:szCs w:val="21"/>
        </w:rPr>
        <w:t>mM</w:t>
      </w:r>
      <w:proofErr w:type="spellEnd"/>
      <w:r w:rsidR="008A1B17" w:rsidRPr="00F613D7">
        <w:rPr>
          <w:rFonts w:asciiTheme="majorHAnsi" w:hAnsiTheme="majorHAnsi" w:cstheme="majorHAnsi"/>
          <w:szCs w:val="21"/>
        </w:rPr>
        <w:t xml:space="preserve"> (</w:t>
      </w:r>
      <w:r w:rsidR="008A1B17" w:rsidRPr="00F613D7">
        <w:rPr>
          <w:rFonts w:asciiTheme="majorHAnsi" w:hAnsiTheme="majorHAnsi" w:cstheme="majorHAnsi"/>
          <w:i/>
          <w:szCs w:val="21"/>
        </w:rPr>
        <w:t>red</w:t>
      </w:r>
      <w:r w:rsidR="008A1B17" w:rsidRPr="00F613D7">
        <w:rPr>
          <w:rFonts w:asciiTheme="majorHAnsi" w:hAnsiTheme="majorHAnsi" w:cstheme="majorHAnsi"/>
          <w:szCs w:val="21"/>
        </w:rPr>
        <w:t>)</w:t>
      </w:r>
      <w:proofErr w:type="gramStart"/>
      <w:r w:rsidR="008A1B17" w:rsidRPr="00F613D7">
        <w:rPr>
          <w:rFonts w:asciiTheme="majorHAnsi" w:hAnsiTheme="majorHAnsi" w:cstheme="majorHAnsi"/>
          <w:szCs w:val="21"/>
        </w:rPr>
        <w:t>,  30</w:t>
      </w:r>
      <w:proofErr w:type="gramEnd"/>
      <w:r w:rsidR="008A1B17" w:rsidRPr="00F613D7">
        <w:rPr>
          <w:rFonts w:asciiTheme="majorHAnsi" w:hAnsiTheme="majorHAnsi" w:cstheme="majorHAnsi"/>
          <w:szCs w:val="21"/>
        </w:rPr>
        <w:t xml:space="preserve"> </w:t>
      </w:r>
      <w:proofErr w:type="spellStart"/>
      <w:r w:rsidR="008A1B17" w:rsidRPr="00F613D7">
        <w:rPr>
          <w:rFonts w:asciiTheme="majorHAnsi" w:hAnsiTheme="majorHAnsi" w:cstheme="majorHAnsi"/>
          <w:szCs w:val="21"/>
        </w:rPr>
        <w:t>mM</w:t>
      </w:r>
      <w:proofErr w:type="spellEnd"/>
      <w:r w:rsidR="008A1B17" w:rsidRPr="00F613D7">
        <w:rPr>
          <w:rFonts w:asciiTheme="majorHAnsi" w:hAnsiTheme="majorHAnsi" w:cstheme="majorHAnsi"/>
          <w:szCs w:val="21"/>
        </w:rPr>
        <w:t xml:space="preserve"> (</w:t>
      </w:r>
      <w:r w:rsidR="008A1B17" w:rsidRPr="00F613D7">
        <w:rPr>
          <w:rFonts w:asciiTheme="majorHAnsi" w:hAnsiTheme="majorHAnsi" w:cstheme="majorHAnsi"/>
          <w:i/>
          <w:szCs w:val="21"/>
        </w:rPr>
        <w:t>blue</w:t>
      </w:r>
      <w:r w:rsidR="008A1B17" w:rsidRPr="00F613D7">
        <w:rPr>
          <w:rFonts w:asciiTheme="majorHAnsi" w:hAnsiTheme="majorHAnsi" w:cstheme="majorHAnsi"/>
          <w:szCs w:val="21"/>
        </w:rPr>
        <w:t xml:space="preserve">) of </w:t>
      </w:r>
      <w:proofErr w:type="spellStart"/>
      <w:r w:rsidR="008A1B17" w:rsidRPr="00F613D7">
        <w:rPr>
          <w:rFonts w:asciiTheme="majorHAnsi" w:hAnsiTheme="majorHAnsi" w:cstheme="majorHAnsi"/>
          <w:szCs w:val="21"/>
        </w:rPr>
        <w:t>HCl</w:t>
      </w:r>
      <w:proofErr w:type="spellEnd"/>
      <w:r w:rsidR="008A1B17" w:rsidRPr="00F613D7">
        <w:rPr>
          <w:rFonts w:asciiTheme="majorHAnsi" w:hAnsiTheme="majorHAnsi" w:cstheme="majorHAnsi"/>
          <w:szCs w:val="21"/>
        </w:rPr>
        <w:t xml:space="preserve"> on an assay plate containing 5 </w:t>
      </w:r>
      <w:proofErr w:type="spellStart"/>
      <w:r w:rsidR="008A1B17" w:rsidRPr="00F613D7">
        <w:rPr>
          <w:rFonts w:asciiTheme="majorHAnsi" w:hAnsiTheme="majorHAnsi" w:cstheme="majorHAnsi"/>
          <w:szCs w:val="21"/>
        </w:rPr>
        <w:t>mM</w:t>
      </w:r>
      <w:proofErr w:type="spellEnd"/>
      <w:r w:rsidR="008A1B17" w:rsidRPr="00F613D7">
        <w:rPr>
          <w:rFonts w:asciiTheme="majorHAnsi" w:hAnsiTheme="majorHAnsi" w:cstheme="majorHAnsi"/>
          <w:szCs w:val="21"/>
        </w:rPr>
        <w:t xml:space="preserve"> potassium phosphate buffer. For comparison, a shallow gradient using 30 </w:t>
      </w:r>
      <w:proofErr w:type="spellStart"/>
      <w:r w:rsidR="008A1B17" w:rsidRPr="00F613D7">
        <w:rPr>
          <w:rFonts w:asciiTheme="majorHAnsi" w:hAnsiTheme="majorHAnsi" w:cstheme="majorHAnsi"/>
          <w:szCs w:val="21"/>
        </w:rPr>
        <w:t>mM</w:t>
      </w:r>
      <w:proofErr w:type="spellEnd"/>
      <w:r w:rsidR="008A1B17" w:rsidRPr="00F613D7">
        <w:rPr>
          <w:rFonts w:asciiTheme="majorHAnsi" w:hAnsiTheme="majorHAnsi" w:cstheme="majorHAnsi"/>
          <w:szCs w:val="21"/>
        </w:rPr>
        <w:t xml:space="preserve"> </w:t>
      </w:r>
      <w:proofErr w:type="spellStart"/>
      <w:r w:rsidR="008A1B17" w:rsidRPr="00F613D7">
        <w:rPr>
          <w:rFonts w:asciiTheme="majorHAnsi" w:hAnsiTheme="majorHAnsi" w:cstheme="majorHAnsi"/>
          <w:szCs w:val="21"/>
        </w:rPr>
        <w:t>HCl</w:t>
      </w:r>
      <w:proofErr w:type="spellEnd"/>
      <w:r w:rsidR="008A1B17" w:rsidRPr="00F613D7">
        <w:rPr>
          <w:rFonts w:asciiTheme="majorHAnsi" w:hAnsiTheme="majorHAnsi" w:cstheme="majorHAnsi"/>
          <w:szCs w:val="21"/>
        </w:rPr>
        <w:t xml:space="preserve"> for gradient on 0.2 </w:t>
      </w:r>
      <w:proofErr w:type="spellStart"/>
      <w:r w:rsidR="008A1B17" w:rsidRPr="00F613D7">
        <w:rPr>
          <w:rFonts w:asciiTheme="majorHAnsi" w:hAnsiTheme="majorHAnsi" w:cstheme="majorHAnsi"/>
          <w:szCs w:val="21"/>
        </w:rPr>
        <w:t>mM</w:t>
      </w:r>
      <w:proofErr w:type="spellEnd"/>
      <w:r w:rsidR="008A1B17" w:rsidRPr="00F613D7">
        <w:rPr>
          <w:rFonts w:asciiTheme="majorHAnsi" w:hAnsiTheme="majorHAnsi" w:cstheme="majorHAnsi"/>
          <w:szCs w:val="21"/>
        </w:rPr>
        <w:t xml:space="preserve"> sodium acetate buffer is also shown (</w:t>
      </w:r>
      <w:r w:rsidR="008A1B17" w:rsidRPr="00F613D7">
        <w:rPr>
          <w:rFonts w:asciiTheme="majorHAnsi" w:hAnsiTheme="majorHAnsi" w:cstheme="majorHAnsi"/>
          <w:i/>
          <w:szCs w:val="21"/>
        </w:rPr>
        <w:t>Gray</w:t>
      </w:r>
      <w:r w:rsidR="008A1B17" w:rsidRPr="00F613D7">
        <w:rPr>
          <w:rFonts w:asciiTheme="majorHAnsi" w:hAnsiTheme="majorHAnsi" w:cstheme="majorHAnsi"/>
          <w:szCs w:val="21"/>
        </w:rPr>
        <w:t>).</w:t>
      </w:r>
      <w:r w:rsidR="008A1B17" w:rsidRPr="00982902">
        <w:rPr>
          <w:rFonts w:ascii="Times New Roman" w:hAnsi="Times New Roman" w:cs="Times New Roman"/>
          <w:szCs w:val="21"/>
        </w:rPr>
        <w:t xml:space="preserve"> </w:t>
      </w:r>
    </w:p>
    <w:p w:rsidR="0072703A" w:rsidRDefault="0072703A" w:rsidP="00F613D7">
      <w:pPr>
        <w:jc w:val="left"/>
        <w:rPr>
          <w:rFonts w:ascii="Times New Roman" w:hAnsi="Times New Roman" w:cs="Times New Roman"/>
          <w:szCs w:val="21"/>
        </w:rPr>
      </w:pPr>
    </w:p>
    <w:p w:rsidR="008A1B17" w:rsidRDefault="008A1B17" w:rsidP="00F613D7">
      <w:pPr>
        <w:jc w:val="left"/>
        <w:rPr>
          <w:rFonts w:ascii="Times New Roman" w:hAnsi="Times New Roman" w:cs="Times New Roman" w:hint="eastAsia"/>
          <w:szCs w:val="21"/>
        </w:rPr>
      </w:pPr>
    </w:p>
    <w:p w:rsidR="00F613D7" w:rsidRDefault="00F613D7" w:rsidP="00F613D7">
      <w:pPr>
        <w:jc w:val="left"/>
        <w:rPr>
          <w:rFonts w:ascii="Times New Roman" w:hAnsi="Times New Roman" w:cs="Times New Roman" w:hint="eastAsia"/>
          <w:szCs w:val="21"/>
        </w:rPr>
      </w:pPr>
    </w:p>
    <w:p w:rsidR="00F613D7" w:rsidRDefault="00F613D7" w:rsidP="00F613D7">
      <w:pPr>
        <w:jc w:val="left"/>
        <w:rPr>
          <w:rFonts w:ascii="Times New Roman" w:hAnsi="Times New Roman" w:cs="Times New Roman" w:hint="eastAsia"/>
          <w:szCs w:val="21"/>
        </w:rPr>
      </w:pPr>
    </w:p>
    <w:p w:rsidR="00F613D7" w:rsidRDefault="00F613D7" w:rsidP="00F613D7">
      <w:pPr>
        <w:jc w:val="left"/>
        <w:rPr>
          <w:rFonts w:ascii="Times New Roman" w:hAnsi="Times New Roman" w:cs="Times New Roman" w:hint="eastAsia"/>
          <w:szCs w:val="21"/>
        </w:rPr>
      </w:pPr>
    </w:p>
    <w:p w:rsidR="00F613D7" w:rsidRDefault="00F613D7" w:rsidP="00F613D7">
      <w:pPr>
        <w:jc w:val="left"/>
        <w:rPr>
          <w:rFonts w:ascii="Times New Roman" w:hAnsi="Times New Roman" w:cs="Times New Roman" w:hint="eastAsia"/>
          <w:szCs w:val="21"/>
        </w:rPr>
      </w:pPr>
    </w:p>
    <w:p w:rsidR="00F613D7" w:rsidRDefault="00F613D7" w:rsidP="00F613D7">
      <w:pPr>
        <w:jc w:val="left"/>
        <w:rPr>
          <w:rFonts w:ascii="Times New Roman" w:hAnsi="Times New Roman" w:cs="Times New Roman" w:hint="eastAsia"/>
          <w:szCs w:val="21"/>
        </w:rPr>
      </w:pPr>
    </w:p>
    <w:p w:rsidR="00F613D7" w:rsidRDefault="00F613D7" w:rsidP="00F613D7">
      <w:pPr>
        <w:jc w:val="left"/>
        <w:rPr>
          <w:rFonts w:ascii="Times New Roman" w:hAnsi="Times New Roman" w:cs="Times New Roman" w:hint="eastAsia"/>
          <w:szCs w:val="21"/>
        </w:rPr>
      </w:pPr>
    </w:p>
    <w:p w:rsidR="00F613D7" w:rsidRPr="00982902" w:rsidRDefault="00F613D7" w:rsidP="00F613D7">
      <w:pPr>
        <w:jc w:val="left"/>
        <w:rPr>
          <w:rFonts w:ascii="Times New Roman" w:hAnsi="Times New Roman" w:cs="Times New Roman"/>
          <w:szCs w:val="21"/>
        </w:rPr>
      </w:pPr>
    </w:p>
    <w:p w:rsidR="008A1B17" w:rsidRPr="00F613D7" w:rsidRDefault="008A1B17" w:rsidP="00F613D7">
      <w:pPr>
        <w:rPr>
          <w:rFonts w:asciiTheme="majorHAnsi" w:hAnsiTheme="majorHAnsi" w:cstheme="majorHAnsi"/>
          <w:szCs w:val="21"/>
        </w:rPr>
      </w:pPr>
      <w:proofErr w:type="gramStart"/>
      <w:r w:rsidRPr="00F613D7">
        <w:rPr>
          <w:rFonts w:asciiTheme="majorHAnsi" w:hAnsiTheme="majorHAnsi" w:cstheme="majorHAnsi"/>
          <w:b/>
          <w:szCs w:val="21"/>
        </w:rPr>
        <w:lastRenderedPageBreak/>
        <w:t>Fig.</w:t>
      </w:r>
      <w:proofErr w:type="gramEnd"/>
      <w:r w:rsidRPr="00F613D7">
        <w:rPr>
          <w:rFonts w:asciiTheme="majorHAnsi" w:hAnsiTheme="majorHAnsi" w:cstheme="majorHAnsi"/>
          <w:b/>
          <w:szCs w:val="21"/>
        </w:rPr>
        <w:t xml:space="preserve"> </w:t>
      </w:r>
      <w:proofErr w:type="gramStart"/>
      <w:r w:rsidRPr="00F613D7">
        <w:rPr>
          <w:rFonts w:asciiTheme="majorHAnsi" w:hAnsiTheme="majorHAnsi" w:cstheme="majorHAnsi"/>
          <w:b/>
        </w:rPr>
        <w:t>S5</w:t>
      </w:r>
      <w:r w:rsidRPr="00F613D7">
        <w:rPr>
          <w:rFonts w:asciiTheme="majorHAnsi" w:hAnsiTheme="majorHAnsi" w:cstheme="majorHAnsi"/>
        </w:rPr>
        <w:t xml:space="preserve"> </w:t>
      </w:r>
      <w:r w:rsidRPr="00F613D7">
        <w:rPr>
          <w:rFonts w:asciiTheme="majorHAnsi" w:hAnsiTheme="majorHAnsi" w:cstheme="majorHAnsi"/>
          <w:b/>
        </w:rPr>
        <w:t>(A)</w:t>
      </w:r>
      <w:r w:rsidRPr="00F613D7">
        <w:rPr>
          <w:rFonts w:asciiTheme="majorHAnsi" w:hAnsiTheme="majorHAnsi" w:cstheme="majorHAnsi"/>
        </w:rPr>
        <w:t xml:space="preserve"> </w:t>
      </w:r>
      <w:r w:rsidRPr="00F613D7">
        <w:rPr>
          <w:rFonts w:asciiTheme="majorHAnsi" w:hAnsiTheme="majorHAnsi" w:cstheme="majorHAnsi"/>
          <w:szCs w:val="21"/>
        </w:rPr>
        <w:t>Initial position of the model worms.</w:t>
      </w:r>
      <w:proofErr w:type="gramEnd"/>
      <w:r w:rsidRPr="00F613D7">
        <w:rPr>
          <w:rFonts w:asciiTheme="majorHAnsi" w:hAnsiTheme="majorHAnsi" w:cstheme="majorHAnsi"/>
          <w:szCs w:val="21"/>
        </w:rPr>
        <w:t xml:space="preserve"> The white arrow indicates the initial position and direction of the model worm on the virtual field having an acidic pH gradient. </w:t>
      </w:r>
      <w:r w:rsidRPr="00F613D7">
        <w:rPr>
          <w:rFonts w:asciiTheme="majorHAnsi" w:hAnsiTheme="majorHAnsi" w:cstheme="majorHAnsi"/>
          <w:b/>
          <w:szCs w:val="21"/>
        </w:rPr>
        <w:t>(B)</w:t>
      </w:r>
      <w:r w:rsidRPr="00F613D7">
        <w:rPr>
          <w:rFonts w:asciiTheme="majorHAnsi" w:hAnsiTheme="majorHAnsi" w:cstheme="majorHAnsi"/>
          <w:szCs w:val="21"/>
        </w:rPr>
        <w:t xml:space="preserve"> Traces of model worms avoided the acidic pH by reversal. Twenty randomly selected traces before (20 steps) and after (two steps) reversal are shown. Traces immediately before reversal avoidance (five steps) aligned at the position of reorientation are shown in an inset (scale bar 0.2 mm). </w:t>
      </w:r>
      <w:r w:rsidRPr="00F613D7">
        <w:rPr>
          <w:rFonts w:asciiTheme="majorHAnsi" w:hAnsiTheme="majorHAnsi" w:cstheme="majorHAnsi"/>
          <w:b/>
          <w:szCs w:val="21"/>
        </w:rPr>
        <w:t>(C)</w:t>
      </w:r>
      <w:r w:rsidRPr="00F613D7">
        <w:rPr>
          <w:rFonts w:asciiTheme="majorHAnsi" w:hAnsiTheme="majorHAnsi" w:cstheme="majorHAnsi"/>
          <w:szCs w:val="21"/>
        </w:rPr>
        <w:t xml:space="preserve"> Traces of model worms avoided the acidic pH by curve. Twenty randomly selected traces before (20 steps) and after (two steps) curve were shown. Traces immediately before curve avoidance (five steps) aligned at the position of reorientation are shown in an inset (scale bar 0.2 mm). Parameters used</w:t>
      </w:r>
      <w:r w:rsidR="008B5720" w:rsidRPr="00F613D7">
        <w:rPr>
          <w:rFonts w:asciiTheme="majorHAnsi" w:hAnsiTheme="majorHAnsi" w:cstheme="majorHAnsi"/>
          <w:szCs w:val="21"/>
        </w:rPr>
        <w:t xml:space="preserve"> were as same as those in </w:t>
      </w:r>
      <w:r w:rsidR="008B5720" w:rsidRPr="00E351A7">
        <w:rPr>
          <w:rFonts w:asciiTheme="majorHAnsi" w:hAnsiTheme="majorHAnsi" w:cstheme="majorHAnsi"/>
          <w:b/>
          <w:szCs w:val="21"/>
        </w:rPr>
        <w:t>Fig.5</w:t>
      </w:r>
      <w:r w:rsidR="008B5720" w:rsidRPr="00F613D7">
        <w:rPr>
          <w:rFonts w:asciiTheme="majorHAnsi" w:hAnsiTheme="majorHAnsi" w:cstheme="majorHAnsi"/>
          <w:szCs w:val="21"/>
        </w:rPr>
        <w:t>.</w:t>
      </w:r>
    </w:p>
    <w:p w:rsidR="008A1B17" w:rsidRDefault="00F613D7" w:rsidP="00F613D7">
      <w:pPr>
        <w:jc w:val="left"/>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61312" behindDoc="0" locked="0" layoutInCell="1" allowOverlap="1" wp14:anchorId="169351B4" wp14:editId="2CB234C4">
            <wp:simplePos x="0" y="0"/>
            <wp:positionH relativeFrom="margin">
              <wp:posOffset>-23495</wp:posOffset>
            </wp:positionH>
            <wp:positionV relativeFrom="margin">
              <wp:posOffset>77470</wp:posOffset>
            </wp:positionV>
            <wp:extent cx="5202555" cy="1691640"/>
            <wp:effectExtent l="0" t="0" r="0" b="381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S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2555" cy="1691640"/>
                    </a:xfrm>
                    <a:prstGeom prst="rect">
                      <a:avLst/>
                    </a:prstGeom>
                  </pic:spPr>
                </pic:pic>
              </a:graphicData>
            </a:graphic>
          </wp:anchor>
        </w:drawing>
      </w:r>
    </w:p>
    <w:p w:rsidR="00094110" w:rsidRPr="00E351A7" w:rsidRDefault="00B10B15" w:rsidP="00F613D7">
      <w:pPr>
        <w:tabs>
          <w:tab w:val="left" w:pos="876"/>
        </w:tabs>
        <w:jc w:val="left"/>
        <w:rPr>
          <w:rFonts w:asciiTheme="majorHAnsi" w:hAnsiTheme="majorHAnsi" w:cstheme="majorHAnsi"/>
          <w:szCs w:val="21"/>
        </w:rPr>
      </w:pPr>
      <w:r w:rsidRPr="00F613D7">
        <w:rPr>
          <w:rFonts w:asciiTheme="majorHAnsi" w:hAnsiTheme="majorHAnsi" w:cstheme="majorHAnsi"/>
          <w:noProof/>
          <w:szCs w:val="21"/>
        </w:rPr>
        <w:drawing>
          <wp:anchor distT="0" distB="0" distL="114300" distR="114300" simplePos="0" relativeHeight="251662336" behindDoc="1" locked="0" layoutInCell="1" allowOverlap="1" wp14:anchorId="222D50C8" wp14:editId="3F80DB3A">
            <wp:simplePos x="0" y="0"/>
            <wp:positionH relativeFrom="column">
              <wp:posOffset>1270</wp:posOffset>
            </wp:positionH>
            <wp:positionV relativeFrom="paragraph">
              <wp:posOffset>4445</wp:posOffset>
            </wp:positionV>
            <wp:extent cx="1871980" cy="2571750"/>
            <wp:effectExtent l="0" t="0" r="0" b="0"/>
            <wp:wrapTight wrapText="bothSides">
              <wp:wrapPolygon edited="0">
                <wp:start x="0" y="0"/>
                <wp:lineTo x="0" y="21440"/>
                <wp:lineTo x="21322" y="21440"/>
                <wp:lineTo x="2132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6 spill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1980" cy="2571750"/>
                    </a:xfrm>
                    <a:prstGeom prst="rect">
                      <a:avLst/>
                    </a:prstGeom>
                  </pic:spPr>
                </pic:pic>
              </a:graphicData>
            </a:graphic>
            <wp14:sizeRelH relativeFrom="page">
              <wp14:pctWidth>0</wp14:pctWidth>
            </wp14:sizeRelH>
            <wp14:sizeRelV relativeFrom="page">
              <wp14:pctHeight>0</wp14:pctHeight>
            </wp14:sizeRelV>
          </wp:anchor>
        </w:drawing>
      </w:r>
      <w:proofErr w:type="gramStart"/>
      <w:r w:rsidR="00A82864" w:rsidRPr="00F613D7">
        <w:rPr>
          <w:rFonts w:asciiTheme="majorHAnsi" w:hAnsiTheme="majorHAnsi" w:cstheme="majorHAnsi"/>
          <w:b/>
          <w:szCs w:val="21"/>
        </w:rPr>
        <w:t>Fig.</w:t>
      </w:r>
      <w:proofErr w:type="gramEnd"/>
      <w:r w:rsidR="00A82864" w:rsidRPr="00F613D7">
        <w:rPr>
          <w:rFonts w:asciiTheme="majorHAnsi" w:hAnsiTheme="majorHAnsi" w:cstheme="majorHAnsi"/>
          <w:b/>
          <w:szCs w:val="21"/>
        </w:rPr>
        <w:t xml:space="preserve"> S6 </w:t>
      </w:r>
      <w:r w:rsidR="008A1B17" w:rsidRPr="00F613D7">
        <w:rPr>
          <w:rFonts w:asciiTheme="majorHAnsi" w:hAnsiTheme="majorHAnsi" w:cstheme="majorHAnsi"/>
          <w:szCs w:val="21"/>
        </w:rPr>
        <w:t>Application of the differential activation</w:t>
      </w:r>
      <w:r w:rsidR="00537CA2" w:rsidRPr="00F613D7">
        <w:rPr>
          <w:rFonts w:asciiTheme="majorHAnsi" w:hAnsiTheme="majorHAnsi" w:cstheme="majorHAnsi"/>
          <w:szCs w:val="21"/>
        </w:rPr>
        <w:t xml:space="preserve"> model</w:t>
      </w:r>
      <w:r w:rsidR="008A1B17" w:rsidRPr="00F613D7">
        <w:rPr>
          <w:rFonts w:asciiTheme="majorHAnsi" w:hAnsiTheme="majorHAnsi" w:cstheme="majorHAnsi"/>
          <w:szCs w:val="21"/>
        </w:rPr>
        <w:t xml:space="preserve"> on acidic pH avoidance behavior.</w:t>
      </w:r>
      <w:r w:rsidR="008A1B17" w:rsidRPr="00F613D7">
        <w:rPr>
          <w:rFonts w:asciiTheme="majorHAnsi" w:hAnsiTheme="majorHAnsi" w:cstheme="majorHAnsi"/>
          <w:b/>
          <w:szCs w:val="21"/>
        </w:rPr>
        <w:t xml:space="preserve"> </w:t>
      </w:r>
      <w:r w:rsidR="00A82864" w:rsidRPr="00F613D7">
        <w:rPr>
          <w:rFonts w:asciiTheme="majorHAnsi" w:hAnsiTheme="majorHAnsi" w:cstheme="majorHAnsi"/>
          <w:szCs w:val="21"/>
        </w:rPr>
        <w:t xml:space="preserve">Neurons are represented as in </w:t>
      </w:r>
      <w:r w:rsidR="00A82864" w:rsidRPr="00E351A7">
        <w:rPr>
          <w:rFonts w:asciiTheme="majorHAnsi" w:hAnsiTheme="majorHAnsi" w:cstheme="majorHAnsi"/>
          <w:b/>
          <w:szCs w:val="21"/>
        </w:rPr>
        <w:t>Fig. 8B</w:t>
      </w:r>
      <w:r w:rsidR="00A82864" w:rsidRPr="00F613D7">
        <w:rPr>
          <w:rFonts w:asciiTheme="majorHAnsi" w:hAnsiTheme="majorHAnsi" w:cstheme="majorHAnsi"/>
          <w:szCs w:val="21"/>
        </w:rPr>
        <w:t>.</w:t>
      </w:r>
      <w:r w:rsidR="008A1B17" w:rsidRPr="00F613D7">
        <w:rPr>
          <w:rFonts w:asciiTheme="majorHAnsi" w:hAnsiTheme="majorHAnsi" w:cstheme="majorHAnsi"/>
          <w:szCs w:val="21"/>
        </w:rPr>
        <w:t xml:space="preserve"> Neurons included in the forward and backward command interneurons, synaptic and extra-synaptic glutamate receptors expressed </w:t>
      </w:r>
      <w:r w:rsidR="00A82864" w:rsidRPr="00F613D7">
        <w:rPr>
          <w:rFonts w:asciiTheme="majorHAnsi" w:hAnsiTheme="majorHAnsi" w:cstheme="majorHAnsi"/>
          <w:szCs w:val="21"/>
        </w:rPr>
        <w:t>[28] [S1] [S2]</w:t>
      </w:r>
      <w:r w:rsidR="008A1B17" w:rsidRPr="00F613D7">
        <w:rPr>
          <w:rFonts w:asciiTheme="majorHAnsi" w:hAnsiTheme="majorHAnsi" w:cstheme="majorHAnsi"/>
          <w:szCs w:val="21"/>
        </w:rPr>
        <w:t xml:space="preserve"> have been indicated below. Distinct subsets of glutamate receptor genes are expressed in these forward/backward command interneurons </w:t>
      </w:r>
      <w:r w:rsidR="00A82864" w:rsidRPr="00F613D7">
        <w:rPr>
          <w:rFonts w:asciiTheme="majorHAnsi" w:hAnsiTheme="majorHAnsi" w:cstheme="majorHAnsi"/>
          <w:szCs w:val="21"/>
        </w:rPr>
        <w:t>[S1]</w:t>
      </w:r>
      <w:r w:rsidR="008A1B17" w:rsidRPr="00F613D7">
        <w:rPr>
          <w:rFonts w:asciiTheme="majorHAnsi" w:hAnsiTheme="majorHAnsi" w:cstheme="majorHAnsi"/>
          <w:szCs w:val="21"/>
        </w:rPr>
        <w:t xml:space="preserve">. In the AVA, AVD, and AVE neurons, the non-NMDA glutamate receptors </w:t>
      </w:r>
      <w:r w:rsidR="008A1B17" w:rsidRPr="00F613D7">
        <w:rPr>
          <w:rFonts w:asciiTheme="majorHAnsi" w:hAnsiTheme="majorHAnsi" w:cstheme="majorHAnsi"/>
          <w:i/>
          <w:szCs w:val="21"/>
        </w:rPr>
        <w:t>glr-1</w:t>
      </w:r>
      <w:r w:rsidR="008A1B17" w:rsidRPr="00F613D7">
        <w:rPr>
          <w:rFonts w:asciiTheme="majorHAnsi" w:hAnsiTheme="majorHAnsi" w:cstheme="majorHAnsi"/>
          <w:szCs w:val="21"/>
        </w:rPr>
        <w:t xml:space="preserve">, </w:t>
      </w:r>
      <w:r w:rsidR="008A1B17" w:rsidRPr="00F613D7">
        <w:rPr>
          <w:rFonts w:asciiTheme="majorHAnsi" w:hAnsiTheme="majorHAnsi" w:cstheme="majorHAnsi"/>
          <w:i/>
          <w:szCs w:val="21"/>
        </w:rPr>
        <w:t>glr-2</w:t>
      </w:r>
      <w:r w:rsidR="008A1B17" w:rsidRPr="00F613D7">
        <w:rPr>
          <w:rFonts w:asciiTheme="majorHAnsi" w:hAnsiTheme="majorHAnsi" w:cstheme="majorHAnsi"/>
          <w:szCs w:val="21"/>
        </w:rPr>
        <w:t xml:space="preserve">, and </w:t>
      </w:r>
      <w:r w:rsidR="008A1B17" w:rsidRPr="00F613D7">
        <w:rPr>
          <w:rFonts w:asciiTheme="majorHAnsi" w:hAnsiTheme="majorHAnsi" w:cstheme="majorHAnsi"/>
          <w:i/>
          <w:szCs w:val="21"/>
        </w:rPr>
        <w:t>glr-5</w:t>
      </w:r>
      <w:r w:rsidR="008A1B17" w:rsidRPr="00F613D7">
        <w:rPr>
          <w:rFonts w:asciiTheme="majorHAnsi" w:hAnsiTheme="majorHAnsi" w:cstheme="majorHAnsi"/>
          <w:szCs w:val="21"/>
        </w:rPr>
        <w:t xml:space="preserve"> and the NMDA receptors </w:t>
      </w:r>
      <w:proofErr w:type="gramStart"/>
      <w:r w:rsidR="008A1B17" w:rsidRPr="00F613D7">
        <w:rPr>
          <w:rFonts w:asciiTheme="majorHAnsi" w:hAnsiTheme="majorHAnsi" w:cstheme="majorHAnsi"/>
          <w:i/>
          <w:szCs w:val="21"/>
        </w:rPr>
        <w:t>nmr-1</w:t>
      </w:r>
      <w:r w:rsidR="008A1B17" w:rsidRPr="00F613D7">
        <w:rPr>
          <w:rFonts w:asciiTheme="majorHAnsi" w:hAnsiTheme="majorHAnsi" w:cstheme="majorHAnsi"/>
          <w:szCs w:val="21"/>
        </w:rPr>
        <w:t>,</w:t>
      </w:r>
      <w:proofErr w:type="gramEnd"/>
      <w:r w:rsidR="008A1B17" w:rsidRPr="00F613D7">
        <w:rPr>
          <w:rFonts w:asciiTheme="majorHAnsi" w:hAnsiTheme="majorHAnsi" w:cstheme="majorHAnsi"/>
          <w:szCs w:val="21"/>
        </w:rPr>
        <w:t xml:space="preserve"> and </w:t>
      </w:r>
      <w:r w:rsidR="008A1B17" w:rsidRPr="00F613D7">
        <w:rPr>
          <w:rFonts w:asciiTheme="majorHAnsi" w:hAnsiTheme="majorHAnsi" w:cstheme="majorHAnsi"/>
          <w:i/>
          <w:szCs w:val="21"/>
        </w:rPr>
        <w:t>nmr-2</w:t>
      </w:r>
      <w:r w:rsidR="008A1B17" w:rsidRPr="00F613D7">
        <w:rPr>
          <w:rFonts w:asciiTheme="majorHAnsi" w:hAnsiTheme="majorHAnsi" w:cstheme="majorHAnsi"/>
          <w:szCs w:val="21"/>
        </w:rPr>
        <w:t xml:space="preserve"> are expressed. Although the gene identity was not determined, electrophysiological analysis suggests that glutamate-gated chloride channel gene(s) (</w:t>
      </w:r>
      <w:proofErr w:type="spellStart"/>
      <w:r w:rsidR="008A1B17" w:rsidRPr="00F613D7">
        <w:rPr>
          <w:rFonts w:asciiTheme="majorHAnsi" w:hAnsiTheme="majorHAnsi" w:cstheme="majorHAnsi"/>
          <w:i/>
          <w:szCs w:val="21"/>
        </w:rPr>
        <w:t>glc</w:t>
      </w:r>
      <w:proofErr w:type="spellEnd"/>
      <w:r w:rsidR="008A1B17" w:rsidRPr="00F613D7">
        <w:rPr>
          <w:rFonts w:asciiTheme="majorHAnsi" w:hAnsiTheme="majorHAnsi" w:cstheme="majorHAnsi"/>
          <w:szCs w:val="21"/>
        </w:rPr>
        <w:t xml:space="preserve">) are also expressed in AVA neurons </w:t>
      </w:r>
      <w:r w:rsidR="00A82864" w:rsidRPr="00F613D7">
        <w:rPr>
          <w:rFonts w:asciiTheme="majorHAnsi" w:hAnsiTheme="majorHAnsi" w:cstheme="majorHAnsi"/>
          <w:szCs w:val="21"/>
        </w:rPr>
        <w:t>[28]</w:t>
      </w:r>
      <w:r w:rsidR="008A1B17" w:rsidRPr="00F613D7">
        <w:rPr>
          <w:rFonts w:asciiTheme="majorHAnsi" w:hAnsiTheme="majorHAnsi" w:cstheme="majorHAnsi"/>
          <w:szCs w:val="21"/>
        </w:rPr>
        <w:t xml:space="preserve">. On the other hand, AVB interneurons express </w:t>
      </w:r>
      <w:r w:rsidR="008A1B17" w:rsidRPr="00F613D7">
        <w:rPr>
          <w:rFonts w:asciiTheme="majorHAnsi" w:hAnsiTheme="majorHAnsi" w:cstheme="majorHAnsi"/>
          <w:i/>
          <w:szCs w:val="21"/>
        </w:rPr>
        <w:t>glr-1</w:t>
      </w:r>
      <w:r w:rsidR="008A1B17" w:rsidRPr="00F613D7">
        <w:rPr>
          <w:rFonts w:asciiTheme="majorHAnsi" w:hAnsiTheme="majorHAnsi" w:cstheme="majorHAnsi"/>
          <w:szCs w:val="21"/>
        </w:rPr>
        <w:t xml:space="preserve"> and </w:t>
      </w:r>
      <w:r w:rsidR="008A1B17" w:rsidRPr="00F613D7">
        <w:rPr>
          <w:rFonts w:asciiTheme="majorHAnsi" w:hAnsiTheme="majorHAnsi" w:cstheme="majorHAnsi"/>
          <w:i/>
          <w:szCs w:val="21"/>
        </w:rPr>
        <w:t>glr-5</w:t>
      </w:r>
      <w:r w:rsidR="008A1B17" w:rsidRPr="00F613D7">
        <w:rPr>
          <w:rFonts w:asciiTheme="majorHAnsi" w:hAnsiTheme="majorHAnsi" w:cstheme="majorHAnsi"/>
          <w:szCs w:val="21"/>
        </w:rPr>
        <w:t xml:space="preserve">. The GLR-1 and GLR-2 proteins are co-localized at the synapse </w:t>
      </w:r>
      <w:r w:rsidR="00A82864" w:rsidRPr="00F613D7">
        <w:rPr>
          <w:rFonts w:asciiTheme="majorHAnsi" w:hAnsiTheme="majorHAnsi" w:cstheme="majorHAnsi"/>
          <w:szCs w:val="21"/>
        </w:rPr>
        <w:t>[28]</w:t>
      </w:r>
      <w:r w:rsidR="008A1B17" w:rsidRPr="00F613D7">
        <w:rPr>
          <w:rFonts w:asciiTheme="majorHAnsi" w:hAnsiTheme="majorHAnsi" w:cstheme="majorHAnsi"/>
          <w:szCs w:val="21"/>
        </w:rPr>
        <w:t xml:space="preserve">, while NMR-1 proteins are distributed at </w:t>
      </w:r>
      <w:proofErr w:type="spellStart"/>
      <w:r w:rsidR="008A1B17" w:rsidRPr="00F613D7">
        <w:rPr>
          <w:rFonts w:asciiTheme="majorHAnsi" w:hAnsiTheme="majorHAnsi" w:cstheme="majorHAnsi"/>
          <w:szCs w:val="21"/>
        </w:rPr>
        <w:t>extrasynaptic</w:t>
      </w:r>
      <w:proofErr w:type="spellEnd"/>
      <w:r w:rsidR="008A1B17" w:rsidRPr="00F613D7">
        <w:rPr>
          <w:rFonts w:asciiTheme="majorHAnsi" w:hAnsiTheme="majorHAnsi" w:cstheme="majorHAnsi"/>
          <w:szCs w:val="21"/>
        </w:rPr>
        <w:t xml:space="preserve"> sites of backward command interneurons AVA, AVD, and AVE</w:t>
      </w:r>
      <w:r w:rsidR="00A82864" w:rsidRPr="00F613D7">
        <w:rPr>
          <w:rFonts w:asciiTheme="majorHAnsi" w:hAnsiTheme="majorHAnsi" w:cstheme="majorHAnsi"/>
          <w:szCs w:val="21"/>
        </w:rPr>
        <w:t xml:space="preserve"> [S2]</w:t>
      </w:r>
      <w:r w:rsidR="008A1B17" w:rsidRPr="00F613D7">
        <w:rPr>
          <w:rFonts w:asciiTheme="majorHAnsi" w:hAnsiTheme="majorHAnsi" w:cstheme="majorHAnsi"/>
          <w:szCs w:val="21"/>
        </w:rPr>
        <w:t>.</w:t>
      </w:r>
      <w:r w:rsidR="00A82864" w:rsidRPr="00F613D7">
        <w:rPr>
          <w:rFonts w:asciiTheme="majorHAnsi" w:hAnsiTheme="majorHAnsi" w:cstheme="majorHAnsi"/>
          <w:szCs w:val="21"/>
        </w:rPr>
        <w:t xml:space="preserve"> Neurons and receptors that may be activated during curve (left) and reversal (right) avoidances have been highlighted.  </w:t>
      </w:r>
      <w:bookmarkStart w:id="0" w:name="_GoBack"/>
      <w:bookmarkEnd w:id="0"/>
    </w:p>
    <w:p w:rsidR="00094110" w:rsidRPr="00E351A7" w:rsidRDefault="00094110" w:rsidP="00F613D7">
      <w:pPr>
        <w:tabs>
          <w:tab w:val="left" w:pos="876"/>
        </w:tabs>
        <w:jc w:val="left"/>
        <w:rPr>
          <w:rFonts w:asciiTheme="majorHAnsi" w:hAnsiTheme="majorHAnsi" w:cstheme="majorHAnsi"/>
          <w:b/>
          <w:szCs w:val="21"/>
        </w:rPr>
      </w:pPr>
      <w:r w:rsidRPr="00E351A7">
        <w:rPr>
          <w:rFonts w:asciiTheme="majorHAnsi" w:hAnsiTheme="majorHAnsi" w:cstheme="majorHAnsi"/>
          <w:b/>
          <w:szCs w:val="21"/>
        </w:rPr>
        <w:lastRenderedPageBreak/>
        <w:t xml:space="preserve">Additional Reference </w:t>
      </w:r>
    </w:p>
    <w:p w:rsidR="005C1EB1" w:rsidRPr="00E351A7" w:rsidRDefault="005C1EB1" w:rsidP="00F613D7">
      <w:pPr>
        <w:rPr>
          <w:rFonts w:asciiTheme="majorHAnsi" w:hAnsiTheme="majorHAnsi" w:cstheme="majorHAnsi"/>
        </w:rPr>
      </w:pPr>
    </w:p>
    <w:p w:rsidR="00094110" w:rsidRPr="00E351A7" w:rsidRDefault="00094110" w:rsidP="00F613D7">
      <w:pPr>
        <w:ind w:left="420" w:hangingChars="200" w:hanging="420"/>
        <w:rPr>
          <w:rFonts w:asciiTheme="majorHAnsi" w:hAnsiTheme="majorHAnsi" w:cstheme="majorHAnsi"/>
          <w:szCs w:val="21"/>
        </w:rPr>
      </w:pPr>
      <w:r w:rsidRPr="00E351A7">
        <w:rPr>
          <w:rFonts w:asciiTheme="majorHAnsi" w:hAnsiTheme="majorHAnsi" w:cstheme="majorHAnsi"/>
        </w:rPr>
        <w:t>S1.</w:t>
      </w:r>
      <w:r w:rsidRPr="00E351A7">
        <w:rPr>
          <w:rFonts w:asciiTheme="majorHAnsi" w:eastAsia="ＭＳ Ｐゴシック" w:hAnsiTheme="majorHAnsi" w:cstheme="majorHAnsi"/>
          <w:bCs/>
          <w:kern w:val="0"/>
          <w:szCs w:val="21"/>
        </w:rPr>
        <w:t xml:space="preserve"> </w:t>
      </w:r>
      <w:proofErr w:type="spellStart"/>
      <w:r w:rsidRPr="00E351A7">
        <w:rPr>
          <w:rFonts w:asciiTheme="majorHAnsi" w:eastAsia="ＭＳ Ｐゴシック" w:hAnsiTheme="majorHAnsi" w:cstheme="majorHAnsi"/>
          <w:bCs/>
          <w:kern w:val="0"/>
          <w:szCs w:val="21"/>
        </w:rPr>
        <w:t>Brockie</w:t>
      </w:r>
      <w:proofErr w:type="spellEnd"/>
      <w:r w:rsidRPr="00E351A7">
        <w:rPr>
          <w:rFonts w:asciiTheme="majorHAnsi" w:eastAsia="ＭＳ Ｐゴシック" w:hAnsiTheme="majorHAnsi" w:cstheme="majorHAnsi"/>
          <w:kern w:val="0"/>
          <w:szCs w:val="21"/>
        </w:rPr>
        <w:t xml:space="preserve"> PJ, Madsen DM, Zheng Y, </w:t>
      </w:r>
      <w:proofErr w:type="spellStart"/>
      <w:r w:rsidRPr="00E351A7">
        <w:rPr>
          <w:rFonts w:asciiTheme="majorHAnsi" w:eastAsia="ＭＳ Ｐゴシック" w:hAnsiTheme="majorHAnsi" w:cstheme="majorHAnsi"/>
          <w:kern w:val="0"/>
          <w:szCs w:val="21"/>
        </w:rPr>
        <w:t>Mellem</w:t>
      </w:r>
      <w:proofErr w:type="spellEnd"/>
      <w:r w:rsidRPr="00E351A7">
        <w:rPr>
          <w:rFonts w:asciiTheme="majorHAnsi" w:eastAsia="ＭＳ Ｐゴシック" w:hAnsiTheme="majorHAnsi" w:cstheme="majorHAnsi"/>
          <w:kern w:val="0"/>
          <w:szCs w:val="21"/>
        </w:rPr>
        <w:t xml:space="preserve"> J, </w:t>
      </w:r>
      <w:proofErr w:type="spellStart"/>
      <w:r w:rsidRPr="00E351A7">
        <w:rPr>
          <w:rFonts w:asciiTheme="majorHAnsi" w:eastAsia="ＭＳ Ｐゴシック" w:hAnsiTheme="majorHAnsi" w:cstheme="majorHAnsi"/>
          <w:bCs/>
          <w:kern w:val="0"/>
          <w:szCs w:val="21"/>
        </w:rPr>
        <w:t>Maricq</w:t>
      </w:r>
      <w:proofErr w:type="spellEnd"/>
      <w:r w:rsidRPr="00E351A7">
        <w:rPr>
          <w:rFonts w:asciiTheme="majorHAnsi" w:eastAsia="ＭＳ Ｐゴシック" w:hAnsiTheme="majorHAnsi" w:cstheme="majorHAnsi"/>
          <w:kern w:val="0"/>
          <w:szCs w:val="21"/>
        </w:rPr>
        <w:t xml:space="preserve"> AV: </w:t>
      </w:r>
      <w:hyperlink r:id="rId11" w:history="1">
        <w:r w:rsidRPr="00E351A7">
          <w:rPr>
            <w:rFonts w:asciiTheme="majorHAnsi" w:eastAsia="ＭＳ Ｐゴシック" w:hAnsiTheme="majorHAnsi" w:cstheme="majorHAnsi"/>
            <w:b/>
            <w:kern w:val="0"/>
            <w:szCs w:val="21"/>
          </w:rPr>
          <w:t>Differential expression of glutamate receptor subunits in the nervous system of</w:t>
        </w:r>
        <w:r w:rsidRPr="00E351A7">
          <w:rPr>
            <w:rFonts w:asciiTheme="majorHAnsi" w:eastAsia="ＭＳ Ｐゴシック" w:hAnsiTheme="majorHAnsi" w:cstheme="majorHAnsi"/>
            <w:b/>
            <w:i/>
            <w:kern w:val="0"/>
            <w:szCs w:val="21"/>
          </w:rPr>
          <w:t xml:space="preserve"> Caenorhabditis elegans</w:t>
        </w:r>
        <w:r w:rsidRPr="00E351A7">
          <w:rPr>
            <w:rFonts w:asciiTheme="majorHAnsi" w:eastAsia="ＭＳ Ｐゴシック" w:hAnsiTheme="majorHAnsi" w:cstheme="majorHAnsi"/>
            <w:b/>
            <w:kern w:val="0"/>
            <w:szCs w:val="21"/>
          </w:rPr>
          <w:t xml:space="preserve"> and their regulation by the homeodomain protein UNC-42.</w:t>
        </w:r>
      </w:hyperlink>
      <w:r w:rsidRPr="00E351A7">
        <w:rPr>
          <w:rFonts w:asciiTheme="majorHAnsi" w:eastAsia="ＭＳ Ｐゴシック" w:hAnsiTheme="majorHAnsi" w:cstheme="majorHAnsi"/>
          <w:kern w:val="0"/>
          <w:szCs w:val="21"/>
        </w:rPr>
        <w:t xml:space="preserve"> </w:t>
      </w:r>
      <w:r w:rsidRPr="00E351A7">
        <w:rPr>
          <w:rFonts w:asciiTheme="majorHAnsi" w:eastAsia="ＭＳ Ｐゴシック" w:hAnsiTheme="majorHAnsi" w:cstheme="majorHAnsi"/>
          <w:i/>
          <w:kern w:val="0"/>
          <w:szCs w:val="21"/>
        </w:rPr>
        <w:t xml:space="preserve">J </w:t>
      </w:r>
      <w:proofErr w:type="spellStart"/>
      <w:r w:rsidRPr="00E351A7">
        <w:rPr>
          <w:rFonts w:asciiTheme="majorHAnsi" w:eastAsia="ＭＳ Ｐゴシック" w:hAnsiTheme="majorHAnsi" w:cstheme="majorHAnsi"/>
          <w:i/>
          <w:kern w:val="0"/>
          <w:szCs w:val="21"/>
        </w:rPr>
        <w:t>Neurosci</w:t>
      </w:r>
      <w:proofErr w:type="spellEnd"/>
      <w:r w:rsidRPr="00E351A7">
        <w:rPr>
          <w:rFonts w:asciiTheme="majorHAnsi" w:eastAsia="ＭＳ Ｐゴシック" w:hAnsiTheme="majorHAnsi" w:cstheme="majorHAnsi"/>
          <w:kern w:val="0"/>
          <w:szCs w:val="21"/>
        </w:rPr>
        <w:t xml:space="preserve"> </w:t>
      </w:r>
      <w:r w:rsidRPr="00E351A7">
        <w:rPr>
          <w:rFonts w:asciiTheme="majorHAnsi" w:eastAsia="ＭＳ Ｐゴシック" w:hAnsiTheme="majorHAnsi" w:cstheme="majorHAnsi"/>
          <w:bCs/>
          <w:kern w:val="0"/>
          <w:szCs w:val="21"/>
        </w:rPr>
        <w:t>2001a,</w:t>
      </w:r>
      <w:r w:rsidRPr="00E351A7">
        <w:rPr>
          <w:rFonts w:asciiTheme="majorHAnsi" w:eastAsia="ＭＳ Ｐゴシック" w:hAnsiTheme="majorHAnsi" w:cstheme="majorHAnsi"/>
          <w:b/>
          <w:kern w:val="0"/>
          <w:szCs w:val="21"/>
        </w:rPr>
        <w:t xml:space="preserve"> 21:</w:t>
      </w:r>
      <w:r w:rsidRPr="00E351A7">
        <w:rPr>
          <w:rFonts w:asciiTheme="majorHAnsi" w:eastAsia="ＭＳ Ｐゴシック" w:hAnsiTheme="majorHAnsi" w:cstheme="majorHAnsi"/>
          <w:kern w:val="0"/>
          <w:szCs w:val="21"/>
        </w:rPr>
        <w:t xml:space="preserve"> 1510-1522.</w:t>
      </w:r>
      <w:r w:rsidRPr="00E351A7">
        <w:rPr>
          <w:rFonts w:asciiTheme="majorHAnsi" w:hAnsiTheme="majorHAnsi" w:cstheme="majorHAnsi"/>
          <w:szCs w:val="21"/>
        </w:rPr>
        <w:t xml:space="preserve"> </w:t>
      </w:r>
    </w:p>
    <w:p w:rsidR="00094110" w:rsidRPr="00E351A7" w:rsidRDefault="00094110" w:rsidP="00F613D7">
      <w:pPr>
        <w:pStyle w:val="21"/>
        <w:ind w:left="0"/>
        <w:rPr>
          <w:rFonts w:asciiTheme="majorHAnsi" w:hAnsiTheme="majorHAnsi" w:cstheme="majorHAnsi"/>
          <w:sz w:val="21"/>
          <w:szCs w:val="21"/>
        </w:rPr>
      </w:pPr>
    </w:p>
    <w:p w:rsidR="00094110" w:rsidRPr="00E351A7" w:rsidRDefault="00094110" w:rsidP="00F613D7">
      <w:pPr>
        <w:pStyle w:val="21"/>
        <w:ind w:left="315" w:hangingChars="150" w:hanging="315"/>
        <w:rPr>
          <w:rFonts w:asciiTheme="majorHAnsi" w:hAnsiTheme="majorHAnsi" w:cstheme="majorHAnsi"/>
          <w:sz w:val="21"/>
          <w:szCs w:val="21"/>
        </w:rPr>
      </w:pPr>
      <w:r w:rsidRPr="00E351A7">
        <w:rPr>
          <w:rFonts w:asciiTheme="majorHAnsi" w:hAnsiTheme="majorHAnsi" w:cstheme="majorHAnsi"/>
          <w:sz w:val="21"/>
          <w:szCs w:val="21"/>
        </w:rPr>
        <w:t xml:space="preserve">S2. </w:t>
      </w:r>
      <w:proofErr w:type="spellStart"/>
      <w:r w:rsidRPr="00E351A7">
        <w:rPr>
          <w:rFonts w:asciiTheme="majorHAnsi" w:hAnsiTheme="majorHAnsi" w:cstheme="majorHAnsi"/>
          <w:sz w:val="21"/>
          <w:szCs w:val="21"/>
        </w:rPr>
        <w:t>Brockie</w:t>
      </w:r>
      <w:proofErr w:type="spellEnd"/>
      <w:r w:rsidRPr="00E351A7">
        <w:rPr>
          <w:rFonts w:asciiTheme="majorHAnsi" w:hAnsiTheme="majorHAnsi" w:cstheme="majorHAnsi"/>
          <w:sz w:val="21"/>
          <w:szCs w:val="21"/>
        </w:rPr>
        <w:t xml:space="preserve"> PJ, </w:t>
      </w:r>
      <w:proofErr w:type="spellStart"/>
      <w:r w:rsidRPr="00E351A7">
        <w:rPr>
          <w:rFonts w:asciiTheme="majorHAnsi" w:hAnsiTheme="majorHAnsi" w:cstheme="majorHAnsi"/>
          <w:sz w:val="21"/>
          <w:szCs w:val="21"/>
        </w:rPr>
        <w:t>Mellem</w:t>
      </w:r>
      <w:proofErr w:type="spellEnd"/>
      <w:r w:rsidRPr="00E351A7">
        <w:rPr>
          <w:rFonts w:asciiTheme="majorHAnsi" w:hAnsiTheme="majorHAnsi" w:cstheme="majorHAnsi"/>
          <w:sz w:val="21"/>
          <w:szCs w:val="21"/>
        </w:rPr>
        <w:t xml:space="preserve"> JE, Hills T, Madsen DM, </w:t>
      </w:r>
      <w:proofErr w:type="spellStart"/>
      <w:r w:rsidRPr="00E351A7">
        <w:rPr>
          <w:rFonts w:asciiTheme="majorHAnsi" w:hAnsiTheme="majorHAnsi" w:cstheme="majorHAnsi"/>
          <w:sz w:val="21"/>
          <w:szCs w:val="21"/>
        </w:rPr>
        <w:t>Maricq</w:t>
      </w:r>
      <w:proofErr w:type="spellEnd"/>
      <w:r w:rsidRPr="00E351A7">
        <w:rPr>
          <w:rFonts w:asciiTheme="majorHAnsi" w:hAnsiTheme="majorHAnsi" w:cstheme="majorHAnsi"/>
          <w:sz w:val="21"/>
          <w:szCs w:val="21"/>
        </w:rPr>
        <w:t xml:space="preserve"> AV: </w:t>
      </w:r>
      <w:r w:rsidRPr="00E351A7">
        <w:rPr>
          <w:rFonts w:asciiTheme="majorHAnsi" w:hAnsiTheme="majorHAnsi" w:cstheme="majorHAnsi"/>
          <w:b/>
          <w:sz w:val="21"/>
          <w:szCs w:val="21"/>
        </w:rPr>
        <w:t xml:space="preserve">The </w:t>
      </w:r>
      <w:r w:rsidRPr="00E351A7">
        <w:rPr>
          <w:rFonts w:asciiTheme="majorHAnsi" w:hAnsiTheme="majorHAnsi" w:cstheme="majorHAnsi"/>
          <w:b/>
          <w:i/>
          <w:sz w:val="21"/>
          <w:szCs w:val="21"/>
        </w:rPr>
        <w:t>C.</w:t>
      </w:r>
      <w:r w:rsidRPr="00E351A7">
        <w:rPr>
          <w:rFonts w:asciiTheme="majorHAnsi" w:hAnsiTheme="majorHAnsi" w:cstheme="majorHAnsi"/>
          <w:b/>
          <w:sz w:val="21"/>
          <w:szCs w:val="21"/>
        </w:rPr>
        <w:t xml:space="preserve"> </w:t>
      </w:r>
      <w:proofErr w:type="spellStart"/>
      <w:r w:rsidRPr="00E351A7">
        <w:rPr>
          <w:rFonts w:asciiTheme="majorHAnsi" w:hAnsiTheme="majorHAnsi" w:cstheme="majorHAnsi"/>
          <w:b/>
          <w:i/>
          <w:sz w:val="21"/>
          <w:szCs w:val="21"/>
        </w:rPr>
        <w:t>elegans</w:t>
      </w:r>
      <w:proofErr w:type="spellEnd"/>
      <w:r w:rsidRPr="00E351A7">
        <w:rPr>
          <w:rFonts w:asciiTheme="majorHAnsi" w:hAnsiTheme="majorHAnsi" w:cstheme="majorHAnsi"/>
          <w:b/>
          <w:sz w:val="21"/>
          <w:szCs w:val="21"/>
        </w:rPr>
        <w:t xml:space="preserve"> glutamate receptor subunit NMR-1 is required for slow NMDA-activated currents that regulate reversal frequency during locomotion. </w:t>
      </w:r>
      <w:r w:rsidRPr="00E351A7">
        <w:rPr>
          <w:rFonts w:asciiTheme="majorHAnsi" w:hAnsiTheme="majorHAnsi" w:cstheme="majorHAnsi"/>
          <w:i/>
          <w:sz w:val="21"/>
          <w:szCs w:val="21"/>
        </w:rPr>
        <w:t>Neuron</w:t>
      </w:r>
      <w:r w:rsidRPr="00E351A7">
        <w:rPr>
          <w:rFonts w:asciiTheme="majorHAnsi" w:hAnsiTheme="majorHAnsi" w:cstheme="majorHAnsi"/>
          <w:sz w:val="21"/>
          <w:szCs w:val="21"/>
        </w:rPr>
        <w:t xml:space="preserve"> 2001b,</w:t>
      </w:r>
      <w:r w:rsidRPr="00E351A7">
        <w:rPr>
          <w:rFonts w:asciiTheme="majorHAnsi" w:hAnsiTheme="majorHAnsi" w:cstheme="majorHAnsi"/>
          <w:b/>
          <w:sz w:val="21"/>
          <w:szCs w:val="21"/>
        </w:rPr>
        <w:t xml:space="preserve"> 31:</w:t>
      </w:r>
      <w:r w:rsidRPr="00E351A7">
        <w:rPr>
          <w:rFonts w:asciiTheme="majorHAnsi" w:hAnsiTheme="majorHAnsi" w:cstheme="majorHAnsi"/>
          <w:sz w:val="21"/>
          <w:szCs w:val="21"/>
        </w:rPr>
        <w:t xml:space="preserve"> 617-630.</w:t>
      </w:r>
    </w:p>
    <w:p w:rsidR="00094110" w:rsidRPr="00E351A7" w:rsidRDefault="00094110" w:rsidP="00F613D7">
      <w:pPr>
        <w:rPr>
          <w:rFonts w:asciiTheme="majorHAnsi" w:hAnsiTheme="majorHAnsi" w:cstheme="majorHAnsi"/>
        </w:rPr>
      </w:pPr>
    </w:p>
    <w:sectPr w:rsidR="00094110" w:rsidRPr="00E351A7" w:rsidSect="00F613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1C" w:rsidRDefault="00D1021C" w:rsidP="00284BCD">
      <w:r>
        <w:separator/>
      </w:r>
    </w:p>
  </w:endnote>
  <w:endnote w:type="continuationSeparator" w:id="0">
    <w:p w:rsidR="00D1021C" w:rsidRDefault="00D1021C" w:rsidP="0028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Osaka">
    <w:altName w:val="ＭＳ 明朝"/>
    <w:charset w:val="80"/>
    <w:family w:val="auto"/>
    <w:pitch w:val="variable"/>
    <w:sig w:usb0="00000000" w:usb1="08070000" w:usb2="00000010" w:usb3="00000000" w:csb0="00020093"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1C" w:rsidRDefault="00D1021C" w:rsidP="00284BCD">
      <w:r>
        <w:separator/>
      </w:r>
    </w:p>
  </w:footnote>
  <w:footnote w:type="continuationSeparator" w:id="0">
    <w:p w:rsidR="00D1021C" w:rsidRDefault="00D1021C" w:rsidP="0028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17"/>
    <w:rsid w:val="00075940"/>
    <w:rsid w:val="00094110"/>
    <w:rsid w:val="001A69B7"/>
    <w:rsid w:val="00284BCD"/>
    <w:rsid w:val="0032051D"/>
    <w:rsid w:val="00537CA2"/>
    <w:rsid w:val="005C1EB1"/>
    <w:rsid w:val="0072703A"/>
    <w:rsid w:val="008A1B17"/>
    <w:rsid w:val="008B5720"/>
    <w:rsid w:val="009000CE"/>
    <w:rsid w:val="009A0091"/>
    <w:rsid w:val="00A82864"/>
    <w:rsid w:val="00B10B15"/>
    <w:rsid w:val="00C54FAB"/>
    <w:rsid w:val="00D1021C"/>
    <w:rsid w:val="00E351A7"/>
    <w:rsid w:val="00F6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A1B17"/>
  </w:style>
  <w:style w:type="paragraph" w:styleId="a4">
    <w:name w:val="Balloon Text"/>
    <w:basedOn w:val="a"/>
    <w:link w:val="a5"/>
    <w:uiPriority w:val="99"/>
    <w:semiHidden/>
    <w:unhideWhenUsed/>
    <w:rsid w:val="008A1B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1B17"/>
    <w:rPr>
      <w:rFonts w:asciiTheme="majorHAnsi" w:eastAsiaTheme="majorEastAsia" w:hAnsiTheme="majorHAnsi" w:cstheme="majorBidi"/>
      <w:sz w:val="18"/>
      <w:szCs w:val="18"/>
    </w:rPr>
  </w:style>
  <w:style w:type="paragraph" w:styleId="a6">
    <w:name w:val="header"/>
    <w:basedOn w:val="a"/>
    <w:link w:val="a7"/>
    <w:uiPriority w:val="99"/>
    <w:unhideWhenUsed/>
    <w:rsid w:val="00284BCD"/>
    <w:pPr>
      <w:tabs>
        <w:tab w:val="center" w:pos="4252"/>
        <w:tab w:val="right" w:pos="8504"/>
      </w:tabs>
      <w:snapToGrid w:val="0"/>
    </w:pPr>
  </w:style>
  <w:style w:type="character" w:customStyle="1" w:styleId="a7">
    <w:name w:val="ヘッダー (文字)"/>
    <w:basedOn w:val="a0"/>
    <w:link w:val="a6"/>
    <w:uiPriority w:val="99"/>
    <w:rsid w:val="00284BCD"/>
  </w:style>
  <w:style w:type="paragraph" w:styleId="a8">
    <w:name w:val="footer"/>
    <w:basedOn w:val="a"/>
    <w:link w:val="a9"/>
    <w:uiPriority w:val="99"/>
    <w:unhideWhenUsed/>
    <w:rsid w:val="00284BCD"/>
    <w:pPr>
      <w:tabs>
        <w:tab w:val="center" w:pos="4252"/>
        <w:tab w:val="right" w:pos="8504"/>
      </w:tabs>
      <w:snapToGrid w:val="0"/>
    </w:pPr>
  </w:style>
  <w:style w:type="character" w:customStyle="1" w:styleId="a9">
    <w:name w:val="フッター (文字)"/>
    <w:basedOn w:val="a0"/>
    <w:link w:val="a8"/>
    <w:uiPriority w:val="99"/>
    <w:rsid w:val="00284BCD"/>
  </w:style>
  <w:style w:type="paragraph" w:customStyle="1" w:styleId="21">
    <w:name w:val="本文 21"/>
    <w:basedOn w:val="a"/>
    <w:rsid w:val="00094110"/>
    <w:pPr>
      <w:widowControl/>
      <w:ind w:left="851"/>
      <w:jc w:val="left"/>
    </w:pPr>
    <w:rPr>
      <w:rFonts w:ascii="New York" w:eastAsia="Osaka" w:hAnsi="New York"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A1B17"/>
  </w:style>
  <w:style w:type="paragraph" w:styleId="a4">
    <w:name w:val="Balloon Text"/>
    <w:basedOn w:val="a"/>
    <w:link w:val="a5"/>
    <w:uiPriority w:val="99"/>
    <w:semiHidden/>
    <w:unhideWhenUsed/>
    <w:rsid w:val="008A1B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1B17"/>
    <w:rPr>
      <w:rFonts w:asciiTheme="majorHAnsi" w:eastAsiaTheme="majorEastAsia" w:hAnsiTheme="majorHAnsi" w:cstheme="majorBidi"/>
      <w:sz w:val="18"/>
      <w:szCs w:val="18"/>
    </w:rPr>
  </w:style>
  <w:style w:type="paragraph" w:styleId="a6">
    <w:name w:val="header"/>
    <w:basedOn w:val="a"/>
    <w:link w:val="a7"/>
    <w:uiPriority w:val="99"/>
    <w:unhideWhenUsed/>
    <w:rsid w:val="00284BCD"/>
    <w:pPr>
      <w:tabs>
        <w:tab w:val="center" w:pos="4252"/>
        <w:tab w:val="right" w:pos="8504"/>
      </w:tabs>
      <w:snapToGrid w:val="0"/>
    </w:pPr>
  </w:style>
  <w:style w:type="character" w:customStyle="1" w:styleId="a7">
    <w:name w:val="ヘッダー (文字)"/>
    <w:basedOn w:val="a0"/>
    <w:link w:val="a6"/>
    <w:uiPriority w:val="99"/>
    <w:rsid w:val="00284BCD"/>
  </w:style>
  <w:style w:type="paragraph" w:styleId="a8">
    <w:name w:val="footer"/>
    <w:basedOn w:val="a"/>
    <w:link w:val="a9"/>
    <w:uiPriority w:val="99"/>
    <w:unhideWhenUsed/>
    <w:rsid w:val="00284BCD"/>
    <w:pPr>
      <w:tabs>
        <w:tab w:val="center" w:pos="4252"/>
        <w:tab w:val="right" w:pos="8504"/>
      </w:tabs>
      <w:snapToGrid w:val="0"/>
    </w:pPr>
  </w:style>
  <w:style w:type="character" w:customStyle="1" w:styleId="a9">
    <w:name w:val="フッター (文字)"/>
    <w:basedOn w:val="a0"/>
    <w:link w:val="a8"/>
    <w:uiPriority w:val="99"/>
    <w:rsid w:val="00284BCD"/>
  </w:style>
  <w:style w:type="paragraph" w:customStyle="1" w:styleId="21">
    <w:name w:val="本文 21"/>
    <w:basedOn w:val="a"/>
    <w:rsid w:val="00094110"/>
    <w:pPr>
      <w:widowControl/>
      <w:ind w:left="851"/>
      <w:jc w:val="left"/>
    </w:pPr>
    <w:rPr>
      <w:rFonts w:ascii="New York" w:eastAsia="Osaka" w:hAnsi="New York"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11222641"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wakat</dc:creator>
  <cp:lastModifiedBy>wakat</cp:lastModifiedBy>
  <cp:revision>2</cp:revision>
  <cp:lastPrinted>2015-11-17T02:24:00Z</cp:lastPrinted>
  <dcterms:created xsi:type="dcterms:W3CDTF">2015-11-17T07:17:00Z</dcterms:created>
  <dcterms:modified xsi:type="dcterms:W3CDTF">2015-11-17T07:17:00Z</dcterms:modified>
</cp:coreProperties>
</file>