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B5" w:rsidRDefault="006F59B5">
      <w:r w:rsidRPr="006F59B5">
        <w:rPr>
          <w:noProof/>
        </w:rPr>
        <w:drawing>
          <wp:inline distT="0" distB="0" distL="0" distR="0">
            <wp:extent cx="2844800" cy="2612672"/>
            <wp:effectExtent l="0" t="0" r="0" b="0"/>
            <wp:docPr id="1" name="Picture 1" descr="C:\Users\Manoj\Documents\BMC_biochem_submission\Revision_BMC_biochem\BMC_revision_final\Caspase_figures_new\Caspase-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j\Documents\BMC_biochem_submission\Revision_BMC_biochem\BMC_revision_final\Caspase_figures_new\Caspase-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402" cy="263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BF" w:rsidRPr="009E55A1" w:rsidRDefault="009E55A1" w:rsidP="004640B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kern w:val="3"/>
          <w:sz w:val="20"/>
          <w:szCs w:val="20"/>
          <w:lang w:eastAsia="zh-CN" w:bidi="hi-IN"/>
        </w:rPr>
        <w:t>Supplementary Figure 5</w:t>
      </w:r>
      <w:bookmarkStart w:id="0" w:name="_GoBack"/>
      <w:bookmarkEnd w:id="0"/>
      <w:r w:rsidR="006F59B5" w:rsidRPr="009E55A1">
        <w:rPr>
          <w:rFonts w:ascii="Arial" w:eastAsia="Calibri" w:hAnsi="Arial" w:cs="Arial"/>
          <w:b/>
          <w:kern w:val="3"/>
          <w:sz w:val="20"/>
          <w:szCs w:val="20"/>
          <w:lang w:eastAsia="zh-CN" w:bidi="hi-IN"/>
        </w:rPr>
        <w:t>.</w:t>
      </w:r>
      <w:r w:rsidR="001343A5" w:rsidRPr="009E55A1">
        <w:rPr>
          <w:rFonts w:ascii="Arial" w:eastAsia="Calibri" w:hAnsi="Arial" w:cs="Arial"/>
          <w:b/>
          <w:kern w:val="3"/>
          <w:sz w:val="20"/>
          <w:szCs w:val="20"/>
          <w:lang w:eastAsia="zh-CN" w:bidi="hi-IN"/>
        </w:rPr>
        <w:t xml:space="preserve"> </w:t>
      </w:r>
      <w:r w:rsidR="004640BF" w:rsidRPr="009E55A1">
        <w:rPr>
          <w:rFonts w:ascii="Arial" w:hAnsi="Arial" w:cs="Arial"/>
          <w:sz w:val="20"/>
          <w:szCs w:val="20"/>
        </w:rPr>
        <w:t xml:space="preserve">Comparison of cell-free caspase-3 activation by horse, human and </w:t>
      </w:r>
      <w:r w:rsidR="004640BF" w:rsidRPr="009E55A1">
        <w:rPr>
          <w:rFonts w:ascii="Arial" w:hAnsi="Arial" w:cs="Arial"/>
          <w:i/>
          <w:sz w:val="20"/>
          <w:szCs w:val="20"/>
        </w:rPr>
        <w:t xml:space="preserve">R. </w:t>
      </w:r>
      <w:proofErr w:type="spellStart"/>
      <w:r w:rsidR="004640BF" w:rsidRPr="009E55A1">
        <w:rPr>
          <w:rFonts w:ascii="Arial" w:hAnsi="Arial" w:cs="Arial"/>
          <w:i/>
          <w:sz w:val="20"/>
          <w:szCs w:val="20"/>
        </w:rPr>
        <w:t>arrhizus</w:t>
      </w:r>
      <w:proofErr w:type="spellEnd"/>
      <w:r w:rsidR="004640BF" w:rsidRPr="009E55A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640BF" w:rsidRPr="009E55A1">
        <w:rPr>
          <w:rFonts w:ascii="Arial" w:hAnsi="Arial" w:cs="Arial"/>
          <w:sz w:val="20"/>
          <w:szCs w:val="20"/>
        </w:rPr>
        <w:t>cyt</w:t>
      </w:r>
      <w:proofErr w:type="spellEnd"/>
      <w:r w:rsidR="004640BF" w:rsidRPr="009E55A1">
        <w:rPr>
          <w:rFonts w:ascii="Arial" w:hAnsi="Arial" w:cs="Arial"/>
          <w:sz w:val="20"/>
          <w:szCs w:val="20"/>
        </w:rPr>
        <w:t xml:space="preserve"> c. Caspase-3 activation was followed at 405 nm and normalized to the horse </w:t>
      </w:r>
      <w:proofErr w:type="spellStart"/>
      <w:r w:rsidR="004640BF" w:rsidRPr="009E55A1">
        <w:rPr>
          <w:rFonts w:ascii="Arial" w:hAnsi="Arial" w:cs="Arial"/>
          <w:sz w:val="20"/>
          <w:szCs w:val="20"/>
        </w:rPr>
        <w:t>cyt</w:t>
      </w:r>
      <w:proofErr w:type="spellEnd"/>
      <w:r w:rsidR="004640BF" w:rsidRPr="009E55A1">
        <w:rPr>
          <w:rFonts w:ascii="Arial" w:hAnsi="Arial" w:cs="Arial"/>
          <w:sz w:val="20"/>
          <w:szCs w:val="20"/>
        </w:rPr>
        <w:t xml:space="preserve"> c signal. </w:t>
      </w:r>
      <w:proofErr w:type="spellStart"/>
      <w:proofErr w:type="gramStart"/>
      <w:r w:rsidR="004640BF" w:rsidRPr="009E55A1">
        <w:rPr>
          <w:rFonts w:ascii="Arial" w:hAnsi="Arial" w:cs="Arial"/>
          <w:sz w:val="20"/>
          <w:szCs w:val="20"/>
        </w:rPr>
        <w:t>rRA</w:t>
      </w:r>
      <w:proofErr w:type="spellEnd"/>
      <w:proofErr w:type="gramEnd"/>
      <w:r w:rsidR="004640BF" w:rsidRPr="009E55A1">
        <w:rPr>
          <w:rFonts w:ascii="Arial" w:hAnsi="Arial" w:cs="Arial"/>
          <w:sz w:val="20"/>
          <w:szCs w:val="20"/>
        </w:rPr>
        <w:t xml:space="preserve"> represents the recombinant </w:t>
      </w:r>
      <w:proofErr w:type="spellStart"/>
      <w:r w:rsidR="004640BF" w:rsidRPr="009E55A1">
        <w:rPr>
          <w:rFonts w:ascii="Arial" w:hAnsi="Arial" w:cs="Arial"/>
          <w:sz w:val="20"/>
          <w:szCs w:val="20"/>
        </w:rPr>
        <w:t>cyt</w:t>
      </w:r>
      <w:proofErr w:type="spellEnd"/>
      <w:r w:rsidR="004640BF" w:rsidRPr="009E55A1">
        <w:rPr>
          <w:rFonts w:ascii="Arial" w:hAnsi="Arial" w:cs="Arial"/>
          <w:sz w:val="20"/>
          <w:szCs w:val="20"/>
        </w:rPr>
        <w:t xml:space="preserve"> c from </w:t>
      </w:r>
      <w:r w:rsidR="004640BF" w:rsidRPr="009E55A1">
        <w:rPr>
          <w:rFonts w:ascii="Arial" w:hAnsi="Arial" w:cs="Arial"/>
          <w:i/>
          <w:sz w:val="20"/>
          <w:szCs w:val="20"/>
        </w:rPr>
        <w:t xml:space="preserve">R. </w:t>
      </w:r>
      <w:proofErr w:type="spellStart"/>
      <w:r w:rsidR="004640BF" w:rsidRPr="009E55A1">
        <w:rPr>
          <w:rFonts w:ascii="Arial" w:hAnsi="Arial" w:cs="Arial"/>
          <w:i/>
          <w:sz w:val="20"/>
          <w:szCs w:val="20"/>
        </w:rPr>
        <w:t>arrhizus</w:t>
      </w:r>
      <w:proofErr w:type="spellEnd"/>
      <w:r w:rsidR="004640BF" w:rsidRPr="009E55A1">
        <w:rPr>
          <w:rFonts w:ascii="Arial" w:hAnsi="Arial" w:cs="Arial"/>
          <w:sz w:val="20"/>
          <w:szCs w:val="20"/>
        </w:rPr>
        <w:t xml:space="preserve">, while RA extract is the 10x extract solution from R. </w:t>
      </w:r>
      <w:proofErr w:type="spellStart"/>
      <w:r w:rsidR="004640BF" w:rsidRPr="009E55A1">
        <w:rPr>
          <w:rFonts w:ascii="Arial" w:hAnsi="Arial" w:cs="Arial"/>
          <w:i/>
          <w:sz w:val="20"/>
          <w:szCs w:val="20"/>
        </w:rPr>
        <w:t>arrhizus</w:t>
      </w:r>
      <w:proofErr w:type="spellEnd"/>
      <w:r w:rsidR="004640BF" w:rsidRPr="009E55A1">
        <w:rPr>
          <w:rFonts w:ascii="Arial" w:hAnsi="Arial" w:cs="Arial"/>
          <w:sz w:val="20"/>
          <w:szCs w:val="20"/>
        </w:rPr>
        <w:t xml:space="preserve"> culture as detailed below (</w:t>
      </w:r>
      <w:r w:rsidR="004640BF" w:rsidRPr="009E55A1">
        <w:rPr>
          <w:rFonts w:ascii="Arial" w:hAnsi="Arial" w:cs="Arial"/>
          <w:i/>
          <w:sz w:val="20"/>
          <w:szCs w:val="20"/>
        </w:rPr>
        <w:t xml:space="preserve">Aqueous extract of R. </w:t>
      </w:r>
      <w:proofErr w:type="spellStart"/>
      <w:r w:rsidR="004640BF" w:rsidRPr="009E55A1">
        <w:rPr>
          <w:rFonts w:ascii="Arial" w:hAnsi="Arial" w:cs="Arial"/>
          <w:i/>
          <w:sz w:val="20"/>
          <w:szCs w:val="20"/>
        </w:rPr>
        <w:t>arrhizus</w:t>
      </w:r>
      <w:proofErr w:type="spellEnd"/>
      <w:r w:rsidR="004640BF" w:rsidRPr="009E55A1">
        <w:rPr>
          <w:rFonts w:ascii="Arial" w:hAnsi="Arial" w:cs="Arial"/>
          <w:b/>
          <w:i/>
          <w:sz w:val="20"/>
          <w:szCs w:val="20"/>
        </w:rPr>
        <w:t>)</w:t>
      </w:r>
      <w:r w:rsidR="004640BF" w:rsidRPr="009E55A1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4640BF" w:rsidRPr="009E55A1">
        <w:rPr>
          <w:rFonts w:ascii="Arial" w:hAnsi="Arial" w:cs="Arial"/>
          <w:sz w:val="20"/>
          <w:szCs w:val="20"/>
        </w:rPr>
        <w:t>AspII</w:t>
      </w:r>
      <w:proofErr w:type="spellEnd"/>
      <w:r w:rsidR="004640BF" w:rsidRPr="009E55A1">
        <w:rPr>
          <w:rFonts w:ascii="Arial" w:hAnsi="Arial" w:cs="Arial"/>
          <w:sz w:val="20"/>
          <w:szCs w:val="20"/>
        </w:rPr>
        <w:t xml:space="preserve"> is the negative control L-</w:t>
      </w:r>
      <w:proofErr w:type="spellStart"/>
      <w:r w:rsidR="004640BF" w:rsidRPr="009E55A1">
        <w:rPr>
          <w:rFonts w:ascii="Arial" w:hAnsi="Arial" w:cs="Arial"/>
          <w:sz w:val="20"/>
          <w:szCs w:val="20"/>
        </w:rPr>
        <w:t>asparaginase</w:t>
      </w:r>
      <w:proofErr w:type="spellEnd"/>
      <w:r w:rsidR="004640BF" w:rsidRPr="009E55A1">
        <w:rPr>
          <w:rFonts w:ascii="Arial" w:hAnsi="Arial" w:cs="Arial"/>
          <w:sz w:val="20"/>
          <w:szCs w:val="20"/>
        </w:rPr>
        <w:t xml:space="preserve"> II. Each column represents the mean of independent measurements, with error bars representing the standard deviation. The initial incubation to activate caspase was performed with samples at 1</w:t>
      </w:r>
      <w:proofErr w:type="gramStart"/>
      <w:r w:rsidR="004640BF" w:rsidRPr="009E55A1">
        <w:rPr>
          <w:rFonts w:ascii="Arial" w:hAnsi="Arial" w:cs="Arial"/>
          <w:sz w:val="20"/>
          <w:szCs w:val="20"/>
        </w:rPr>
        <w:t>.5 µ</w:t>
      </w:r>
      <w:proofErr w:type="gramEnd"/>
      <w:r w:rsidR="004640BF" w:rsidRPr="009E55A1">
        <w:rPr>
          <w:rFonts w:ascii="Arial" w:hAnsi="Arial" w:cs="Arial"/>
          <w:sz w:val="20"/>
          <w:szCs w:val="20"/>
        </w:rPr>
        <w:t xml:space="preserve">M final concentration, except for the RA extract in which final concentration was 2x. The caspase-3 reaction was performed in 2 </w:t>
      </w:r>
      <w:proofErr w:type="spellStart"/>
      <w:r w:rsidR="004640BF" w:rsidRPr="009E55A1">
        <w:rPr>
          <w:rFonts w:ascii="Arial" w:hAnsi="Arial" w:cs="Arial"/>
          <w:sz w:val="20"/>
          <w:szCs w:val="20"/>
        </w:rPr>
        <w:t>mM</w:t>
      </w:r>
      <w:proofErr w:type="spellEnd"/>
      <w:r w:rsidR="004640BF" w:rsidRPr="009E55A1">
        <w:rPr>
          <w:rFonts w:ascii="Arial" w:hAnsi="Arial" w:cs="Arial"/>
          <w:sz w:val="20"/>
          <w:szCs w:val="20"/>
        </w:rPr>
        <w:t xml:space="preserve"> final substrate concentration (Sigma Caspase 3 Colorimetric Assay Kit); there were no statistically significant differences found between the signals of L-</w:t>
      </w:r>
      <w:proofErr w:type="spellStart"/>
      <w:r w:rsidR="004640BF" w:rsidRPr="009E55A1">
        <w:rPr>
          <w:rFonts w:ascii="Arial" w:hAnsi="Arial" w:cs="Arial"/>
          <w:sz w:val="20"/>
          <w:szCs w:val="20"/>
        </w:rPr>
        <w:t>asparaginase</w:t>
      </w:r>
      <w:proofErr w:type="spellEnd"/>
      <w:r w:rsidR="004640BF" w:rsidRPr="009E55A1">
        <w:rPr>
          <w:rFonts w:ascii="Arial" w:hAnsi="Arial" w:cs="Arial"/>
          <w:sz w:val="20"/>
          <w:szCs w:val="20"/>
        </w:rPr>
        <w:t xml:space="preserve"> II, recombinant </w:t>
      </w:r>
      <w:r w:rsidR="004640BF" w:rsidRPr="009E55A1">
        <w:rPr>
          <w:rFonts w:ascii="Arial" w:hAnsi="Arial" w:cs="Arial"/>
          <w:i/>
          <w:sz w:val="20"/>
          <w:szCs w:val="20"/>
        </w:rPr>
        <w:t>R</w:t>
      </w:r>
      <w:r w:rsidR="004640BF" w:rsidRPr="009E55A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640BF" w:rsidRPr="009E55A1">
        <w:rPr>
          <w:rFonts w:ascii="Arial" w:hAnsi="Arial" w:cs="Arial"/>
          <w:i/>
          <w:sz w:val="20"/>
          <w:szCs w:val="20"/>
        </w:rPr>
        <w:t>arrhizus</w:t>
      </w:r>
      <w:proofErr w:type="spellEnd"/>
      <w:r w:rsidR="004640BF" w:rsidRPr="009E5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40BF" w:rsidRPr="009E55A1">
        <w:rPr>
          <w:rFonts w:ascii="Arial" w:hAnsi="Arial" w:cs="Arial"/>
          <w:sz w:val="20"/>
          <w:szCs w:val="20"/>
        </w:rPr>
        <w:t>cyt</w:t>
      </w:r>
      <w:proofErr w:type="spellEnd"/>
      <w:r w:rsidR="004640BF" w:rsidRPr="009E55A1">
        <w:rPr>
          <w:rFonts w:ascii="Arial" w:hAnsi="Arial" w:cs="Arial"/>
          <w:sz w:val="20"/>
          <w:szCs w:val="20"/>
        </w:rPr>
        <w:t xml:space="preserve"> c and its culture extract.  </w:t>
      </w:r>
    </w:p>
    <w:p w:rsidR="004640BF" w:rsidRPr="009E55A1" w:rsidRDefault="004640BF" w:rsidP="004640B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640BF" w:rsidRPr="009E55A1" w:rsidRDefault="004640BF" w:rsidP="001343A5">
      <w:pPr>
        <w:spacing w:after="0" w:line="360" w:lineRule="auto"/>
        <w:rPr>
          <w:rFonts w:ascii="Arial" w:hAnsi="Arial" w:cs="Arial"/>
          <w:b/>
        </w:rPr>
      </w:pPr>
      <w:r w:rsidRPr="009E55A1">
        <w:rPr>
          <w:rFonts w:ascii="Arial" w:hAnsi="Arial" w:cs="Arial"/>
          <w:b/>
          <w:i/>
          <w:sz w:val="20"/>
          <w:szCs w:val="20"/>
        </w:rPr>
        <w:t xml:space="preserve">Aqueous extract of R. </w:t>
      </w:r>
      <w:proofErr w:type="spellStart"/>
      <w:r w:rsidRPr="009E55A1">
        <w:rPr>
          <w:rFonts w:ascii="Arial" w:hAnsi="Arial" w:cs="Arial"/>
          <w:b/>
          <w:i/>
          <w:sz w:val="20"/>
          <w:szCs w:val="20"/>
        </w:rPr>
        <w:t>arrhizus</w:t>
      </w:r>
      <w:proofErr w:type="spellEnd"/>
      <w:r w:rsidRPr="009E55A1">
        <w:rPr>
          <w:rFonts w:ascii="Arial" w:hAnsi="Arial" w:cs="Arial"/>
          <w:b/>
        </w:rPr>
        <w:t xml:space="preserve"> </w:t>
      </w:r>
    </w:p>
    <w:p w:rsidR="004640BF" w:rsidRPr="009E55A1" w:rsidRDefault="004640BF" w:rsidP="001343A5">
      <w:pPr>
        <w:spacing w:after="0" w:line="360" w:lineRule="auto"/>
        <w:rPr>
          <w:rFonts w:ascii="Arial" w:hAnsi="Arial" w:cs="Arial"/>
          <w:b/>
        </w:rPr>
      </w:pPr>
    </w:p>
    <w:p w:rsidR="00ED47C9" w:rsidRPr="009E55A1" w:rsidRDefault="001343A5" w:rsidP="001343A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E55A1">
        <w:rPr>
          <w:rFonts w:ascii="Arial" w:hAnsi="Arial" w:cs="Arial"/>
          <w:sz w:val="20"/>
          <w:szCs w:val="20"/>
        </w:rPr>
        <w:t xml:space="preserve">A 10 ml </w:t>
      </w:r>
      <w:r w:rsidR="00495527" w:rsidRPr="009E55A1">
        <w:rPr>
          <w:rFonts w:ascii="Arial" w:hAnsi="Arial" w:cs="Arial"/>
          <w:sz w:val="20"/>
          <w:szCs w:val="20"/>
        </w:rPr>
        <w:t xml:space="preserve">overnight starter culture </w:t>
      </w:r>
      <w:r w:rsidRPr="009E55A1">
        <w:rPr>
          <w:rFonts w:ascii="Arial" w:hAnsi="Arial" w:cs="Arial"/>
          <w:sz w:val="20"/>
          <w:szCs w:val="20"/>
        </w:rPr>
        <w:t xml:space="preserve">of </w:t>
      </w:r>
      <w:r w:rsidRPr="009E55A1">
        <w:rPr>
          <w:rFonts w:ascii="Arial" w:hAnsi="Arial" w:cs="Arial"/>
          <w:i/>
          <w:sz w:val="20"/>
          <w:szCs w:val="20"/>
        </w:rPr>
        <w:t>R</w:t>
      </w:r>
      <w:r w:rsidRPr="009E55A1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9E55A1">
        <w:rPr>
          <w:rFonts w:ascii="Arial" w:hAnsi="Arial" w:cs="Arial"/>
          <w:i/>
          <w:sz w:val="20"/>
          <w:szCs w:val="20"/>
        </w:rPr>
        <w:t>arrhizus</w:t>
      </w:r>
      <w:proofErr w:type="spellEnd"/>
      <w:r w:rsidRPr="009E55A1">
        <w:rPr>
          <w:rFonts w:ascii="Arial" w:hAnsi="Arial" w:cs="Arial"/>
          <w:i/>
          <w:sz w:val="20"/>
          <w:szCs w:val="20"/>
        </w:rPr>
        <w:t xml:space="preserve">  FGSC</w:t>
      </w:r>
      <w:proofErr w:type="gramEnd"/>
      <w:r w:rsidR="00E964DA" w:rsidRPr="009E55A1">
        <w:rPr>
          <w:rFonts w:ascii="Arial" w:hAnsi="Arial" w:cs="Arial"/>
          <w:i/>
          <w:sz w:val="20"/>
          <w:szCs w:val="20"/>
        </w:rPr>
        <w:t>-</w:t>
      </w:r>
      <w:r w:rsidRPr="009E55A1">
        <w:rPr>
          <w:rFonts w:ascii="Arial" w:hAnsi="Arial" w:cs="Arial"/>
          <w:i/>
          <w:sz w:val="20"/>
          <w:szCs w:val="20"/>
        </w:rPr>
        <w:t>9543</w:t>
      </w:r>
      <w:r w:rsidR="00E964DA" w:rsidRPr="009E55A1">
        <w:rPr>
          <w:rFonts w:ascii="Arial" w:hAnsi="Arial" w:cs="Arial"/>
          <w:i/>
          <w:sz w:val="20"/>
          <w:szCs w:val="20"/>
        </w:rPr>
        <w:t xml:space="preserve"> (obtained from-Fungal genetics Stock Center, University of Missouri, Kansas City)</w:t>
      </w:r>
      <w:r w:rsidR="005C0F0F" w:rsidRPr="009E55A1">
        <w:rPr>
          <w:rFonts w:ascii="Arial" w:hAnsi="Arial" w:cs="Arial"/>
          <w:i/>
          <w:sz w:val="20"/>
          <w:szCs w:val="20"/>
        </w:rPr>
        <w:t xml:space="preserve"> </w:t>
      </w:r>
      <w:r w:rsidR="005C0F0F" w:rsidRPr="009E55A1">
        <w:rPr>
          <w:rFonts w:ascii="Arial" w:hAnsi="Arial" w:cs="Arial"/>
          <w:sz w:val="20"/>
          <w:szCs w:val="20"/>
        </w:rPr>
        <w:t>grown</w:t>
      </w:r>
      <w:r w:rsidR="00E964DA" w:rsidRPr="009E55A1">
        <w:rPr>
          <w:rFonts w:ascii="Arial" w:hAnsi="Arial" w:cs="Arial"/>
          <w:sz w:val="20"/>
          <w:szCs w:val="20"/>
        </w:rPr>
        <w:t xml:space="preserve"> </w:t>
      </w:r>
      <w:r w:rsidR="005C0F0F" w:rsidRPr="009E55A1">
        <w:rPr>
          <w:rFonts w:ascii="Arial" w:hAnsi="Arial" w:cs="Arial"/>
          <w:sz w:val="20"/>
          <w:szCs w:val="20"/>
        </w:rPr>
        <w:t>in</w:t>
      </w:r>
      <w:r w:rsidR="005C0F0F" w:rsidRPr="009E55A1">
        <w:rPr>
          <w:rFonts w:ascii="Arial" w:hAnsi="Arial" w:cs="Arial"/>
          <w:i/>
          <w:sz w:val="20"/>
          <w:szCs w:val="20"/>
        </w:rPr>
        <w:t xml:space="preserve"> </w:t>
      </w:r>
      <w:r w:rsidR="008F1E2E" w:rsidRPr="009E55A1">
        <w:rPr>
          <w:rFonts w:ascii="Arial" w:hAnsi="Arial" w:cs="Arial"/>
          <w:sz w:val="20"/>
          <w:szCs w:val="20"/>
        </w:rPr>
        <w:t>potato dextrose broth</w:t>
      </w:r>
      <w:r w:rsidRPr="009E55A1">
        <w:rPr>
          <w:rFonts w:ascii="Arial" w:hAnsi="Arial" w:cs="Arial"/>
          <w:i/>
          <w:sz w:val="20"/>
          <w:szCs w:val="20"/>
        </w:rPr>
        <w:t xml:space="preserve">  </w:t>
      </w:r>
      <w:r w:rsidRPr="009E55A1">
        <w:rPr>
          <w:rFonts w:ascii="Arial" w:hAnsi="Arial" w:cs="Arial"/>
          <w:sz w:val="20"/>
          <w:szCs w:val="20"/>
        </w:rPr>
        <w:t xml:space="preserve">was used to inoculated  </w:t>
      </w:r>
      <w:r w:rsidR="00E964DA" w:rsidRPr="009E55A1">
        <w:rPr>
          <w:rFonts w:ascii="Arial" w:hAnsi="Arial" w:cs="Arial"/>
          <w:sz w:val="20"/>
          <w:szCs w:val="20"/>
        </w:rPr>
        <w:t xml:space="preserve">500 ml </w:t>
      </w:r>
      <w:r w:rsidR="00495527" w:rsidRPr="009E55A1">
        <w:rPr>
          <w:rFonts w:ascii="Arial" w:hAnsi="Arial" w:cs="Arial"/>
          <w:sz w:val="20"/>
          <w:szCs w:val="20"/>
        </w:rPr>
        <w:t>of potato dextrose broth</w:t>
      </w:r>
      <w:r w:rsidR="00495527" w:rsidRPr="009E55A1">
        <w:rPr>
          <w:rFonts w:ascii="Arial" w:hAnsi="Arial" w:cs="Arial"/>
          <w:i/>
          <w:sz w:val="20"/>
          <w:szCs w:val="20"/>
        </w:rPr>
        <w:t xml:space="preserve">  </w:t>
      </w:r>
      <w:r w:rsidRPr="009E55A1">
        <w:rPr>
          <w:rFonts w:ascii="Arial" w:hAnsi="Arial" w:cs="Arial"/>
          <w:sz w:val="20"/>
          <w:szCs w:val="20"/>
        </w:rPr>
        <w:t>and incubated for 24 h (25°C, 200 rpm) [1].</w:t>
      </w:r>
      <w:r w:rsidR="00F15947" w:rsidRPr="009E55A1">
        <w:rPr>
          <w:rFonts w:ascii="Arial" w:hAnsi="Arial" w:cs="Arial"/>
          <w:sz w:val="20"/>
          <w:szCs w:val="20"/>
        </w:rPr>
        <w:t xml:space="preserve"> After incubation, fungi culture pellet was</w:t>
      </w:r>
      <w:r w:rsidRPr="009E55A1">
        <w:rPr>
          <w:rFonts w:ascii="Arial" w:hAnsi="Arial" w:cs="Arial"/>
          <w:sz w:val="20"/>
          <w:szCs w:val="20"/>
        </w:rPr>
        <w:t xml:space="preserve"> collected by centrif</w:t>
      </w:r>
      <w:r w:rsidR="00F15947" w:rsidRPr="009E55A1">
        <w:rPr>
          <w:rFonts w:ascii="Arial" w:hAnsi="Arial" w:cs="Arial"/>
          <w:sz w:val="20"/>
          <w:szCs w:val="20"/>
        </w:rPr>
        <w:t>ugation at 4°C and 7000 g for</w:t>
      </w:r>
      <w:r w:rsidRPr="009E55A1">
        <w:rPr>
          <w:rFonts w:ascii="Arial" w:hAnsi="Arial" w:cs="Arial"/>
          <w:sz w:val="20"/>
          <w:szCs w:val="20"/>
        </w:rPr>
        <w:t xml:space="preserve"> 30 min. Pellets were suspended in water and stirred for 1</w:t>
      </w:r>
      <w:r w:rsidR="008F1E2E" w:rsidRPr="009E55A1">
        <w:rPr>
          <w:rFonts w:ascii="Arial" w:hAnsi="Arial" w:cs="Arial"/>
          <w:sz w:val="20"/>
          <w:szCs w:val="20"/>
        </w:rPr>
        <w:t xml:space="preserve"> hour at 45°C</w:t>
      </w:r>
      <w:r w:rsidRPr="009E55A1">
        <w:rPr>
          <w:rFonts w:ascii="Arial" w:hAnsi="Arial" w:cs="Arial"/>
          <w:sz w:val="20"/>
          <w:szCs w:val="20"/>
        </w:rPr>
        <w:t xml:space="preserve">. The solution was then centrifuged at 4°C at 3000 g for 1 h, and the supernatant filtered </w:t>
      </w:r>
      <w:r w:rsidR="00E964DA" w:rsidRPr="009E55A1">
        <w:rPr>
          <w:rFonts w:ascii="Arial" w:hAnsi="Arial" w:cs="Arial"/>
          <w:b/>
          <w:sz w:val="20"/>
          <w:szCs w:val="20"/>
        </w:rPr>
        <w:t>[1</w:t>
      </w:r>
      <w:r w:rsidRPr="009E55A1">
        <w:rPr>
          <w:rFonts w:ascii="Arial" w:hAnsi="Arial" w:cs="Arial"/>
          <w:b/>
          <w:sz w:val="20"/>
          <w:szCs w:val="20"/>
        </w:rPr>
        <w:t>]</w:t>
      </w:r>
      <w:r w:rsidRPr="009E55A1">
        <w:rPr>
          <w:rFonts w:ascii="Arial" w:hAnsi="Arial" w:cs="Arial"/>
          <w:sz w:val="20"/>
          <w:szCs w:val="20"/>
        </w:rPr>
        <w:t xml:space="preserve">. The clear supernatant was concentrated using 3000 Da AMICON Ultrafiltration </w:t>
      </w:r>
      <w:proofErr w:type="gramStart"/>
      <w:r w:rsidRPr="009E55A1">
        <w:rPr>
          <w:rFonts w:ascii="Arial" w:hAnsi="Arial" w:cs="Arial"/>
          <w:sz w:val="20"/>
          <w:szCs w:val="20"/>
        </w:rPr>
        <w:t>device</w:t>
      </w:r>
      <w:proofErr w:type="gramEnd"/>
      <w:r w:rsidRPr="009E55A1">
        <w:rPr>
          <w:rFonts w:ascii="Arial" w:hAnsi="Arial" w:cs="Arial"/>
          <w:sz w:val="20"/>
          <w:szCs w:val="20"/>
        </w:rPr>
        <w:t xml:space="preserve"> until 10 times its original concentration. The concentrated (10x) </w:t>
      </w:r>
      <w:r w:rsidRPr="009E55A1">
        <w:rPr>
          <w:rFonts w:ascii="Arial" w:hAnsi="Arial" w:cs="Arial"/>
          <w:i/>
          <w:sz w:val="20"/>
          <w:szCs w:val="20"/>
        </w:rPr>
        <w:t>R</w:t>
      </w:r>
      <w:r w:rsidRPr="009E55A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E55A1">
        <w:rPr>
          <w:rFonts w:ascii="Arial" w:hAnsi="Arial" w:cs="Arial"/>
          <w:i/>
          <w:sz w:val="20"/>
          <w:szCs w:val="20"/>
        </w:rPr>
        <w:t>arrhizus</w:t>
      </w:r>
      <w:proofErr w:type="spellEnd"/>
      <w:r w:rsidRPr="009E55A1">
        <w:rPr>
          <w:rFonts w:ascii="Arial" w:hAnsi="Arial" w:cs="Arial"/>
          <w:sz w:val="20"/>
          <w:szCs w:val="20"/>
        </w:rPr>
        <w:t xml:space="preserve"> solution was tested in the caspase-3 activation assay.     </w:t>
      </w:r>
    </w:p>
    <w:p w:rsidR="00E964DA" w:rsidRPr="009E55A1" w:rsidRDefault="00E964DA" w:rsidP="001343A5">
      <w:pPr>
        <w:spacing w:after="0" w:line="360" w:lineRule="auto"/>
        <w:rPr>
          <w:rFonts w:ascii="Arial" w:hAnsi="Arial" w:cs="Arial"/>
        </w:rPr>
      </w:pPr>
    </w:p>
    <w:p w:rsidR="00ED47C9" w:rsidRPr="009E55A1" w:rsidRDefault="00F15947" w:rsidP="001343A5">
      <w:pPr>
        <w:spacing w:after="0" w:line="360" w:lineRule="auto"/>
        <w:rPr>
          <w:rFonts w:ascii="Arial" w:hAnsi="Arial" w:cs="Arial"/>
        </w:rPr>
      </w:pPr>
      <w:r w:rsidRPr="009E55A1">
        <w:rPr>
          <w:rFonts w:ascii="Arial" w:hAnsi="Arial" w:cs="Arial"/>
        </w:rPr>
        <w:t>References (additional data file 6)</w:t>
      </w:r>
    </w:p>
    <w:p w:rsidR="00F15947" w:rsidRPr="009E55A1" w:rsidRDefault="00F15947" w:rsidP="001343A5">
      <w:pPr>
        <w:spacing w:after="0" w:line="360" w:lineRule="auto"/>
        <w:rPr>
          <w:rFonts w:ascii="Arial" w:hAnsi="Arial" w:cs="Arial"/>
        </w:rPr>
      </w:pPr>
    </w:p>
    <w:p w:rsidR="00ED47C9" w:rsidRPr="009E55A1" w:rsidRDefault="00ED47C9" w:rsidP="00E964D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</w:rPr>
      </w:pPr>
      <w:r w:rsidRPr="009E55A1">
        <w:rPr>
          <w:rFonts w:ascii="Arial" w:hAnsi="Arial" w:cs="Arial"/>
          <w:sz w:val="20"/>
        </w:rPr>
        <w:lastRenderedPageBreak/>
        <w:t xml:space="preserve">Suzuki T, </w:t>
      </w:r>
      <w:proofErr w:type="spellStart"/>
      <w:r w:rsidRPr="009E55A1">
        <w:rPr>
          <w:rFonts w:ascii="Arial" w:hAnsi="Arial" w:cs="Arial"/>
          <w:sz w:val="20"/>
        </w:rPr>
        <w:t>Ushikoshi</w:t>
      </w:r>
      <w:proofErr w:type="spellEnd"/>
      <w:r w:rsidRPr="009E55A1">
        <w:rPr>
          <w:rFonts w:ascii="Arial" w:hAnsi="Arial" w:cs="Arial"/>
          <w:sz w:val="20"/>
        </w:rPr>
        <w:t xml:space="preserve"> S, Morita H, Fukuoka H. Aqueous extracts of </w:t>
      </w:r>
      <w:proofErr w:type="spellStart"/>
      <w:r w:rsidRPr="009E55A1">
        <w:rPr>
          <w:rFonts w:ascii="Arial" w:hAnsi="Arial" w:cs="Arial"/>
          <w:sz w:val="20"/>
        </w:rPr>
        <w:t>Rhizopus</w:t>
      </w:r>
      <w:proofErr w:type="spellEnd"/>
      <w:r w:rsidRPr="009E55A1">
        <w:rPr>
          <w:rFonts w:ascii="Arial" w:hAnsi="Arial" w:cs="Arial"/>
          <w:sz w:val="20"/>
        </w:rPr>
        <w:t xml:space="preserve"> </w:t>
      </w:r>
      <w:proofErr w:type="spellStart"/>
      <w:r w:rsidRPr="009E55A1">
        <w:rPr>
          <w:rFonts w:ascii="Arial" w:hAnsi="Arial" w:cs="Arial"/>
          <w:sz w:val="20"/>
        </w:rPr>
        <w:t>oryzae</w:t>
      </w:r>
      <w:proofErr w:type="spellEnd"/>
      <w:r w:rsidRPr="009E55A1">
        <w:rPr>
          <w:rFonts w:ascii="Arial" w:hAnsi="Arial" w:cs="Arial"/>
          <w:sz w:val="20"/>
        </w:rPr>
        <w:t xml:space="preserve"> </w:t>
      </w:r>
      <w:proofErr w:type="gramStart"/>
      <w:r w:rsidRPr="009E55A1">
        <w:rPr>
          <w:rFonts w:ascii="Arial" w:hAnsi="Arial" w:cs="Arial"/>
          <w:sz w:val="20"/>
        </w:rPr>
        <w:t>induce</w:t>
      </w:r>
      <w:proofErr w:type="gramEnd"/>
      <w:r w:rsidRPr="009E55A1">
        <w:rPr>
          <w:rFonts w:ascii="Arial" w:hAnsi="Arial" w:cs="Arial"/>
          <w:sz w:val="20"/>
        </w:rPr>
        <w:t xml:space="preserve"> apoptosis in human </w:t>
      </w:r>
      <w:proofErr w:type="spellStart"/>
      <w:r w:rsidRPr="009E55A1">
        <w:rPr>
          <w:rFonts w:ascii="Arial" w:hAnsi="Arial" w:cs="Arial"/>
          <w:sz w:val="20"/>
        </w:rPr>
        <w:t>promyelocytic</w:t>
      </w:r>
      <w:proofErr w:type="spellEnd"/>
      <w:r w:rsidRPr="009E55A1">
        <w:rPr>
          <w:rFonts w:ascii="Arial" w:hAnsi="Arial" w:cs="Arial"/>
          <w:sz w:val="20"/>
        </w:rPr>
        <w:t xml:space="preserve"> leukemia cell line HL-60. J Health Sci. 2007</w:t>
      </w:r>
      <w:proofErr w:type="gramStart"/>
      <w:r w:rsidRPr="009E55A1">
        <w:rPr>
          <w:rFonts w:ascii="Arial" w:hAnsi="Arial" w:cs="Arial"/>
          <w:sz w:val="20"/>
        </w:rPr>
        <w:t>;53:760</w:t>
      </w:r>
      <w:proofErr w:type="gramEnd"/>
      <w:r w:rsidRPr="009E55A1">
        <w:rPr>
          <w:rFonts w:ascii="Arial" w:hAnsi="Arial" w:cs="Arial"/>
          <w:sz w:val="20"/>
        </w:rPr>
        <w:t>-5.</w:t>
      </w:r>
    </w:p>
    <w:p w:rsidR="001343A5" w:rsidRPr="009E55A1" w:rsidRDefault="001343A5" w:rsidP="001343A5">
      <w:pPr>
        <w:spacing w:after="0" w:line="360" w:lineRule="auto"/>
        <w:rPr>
          <w:rFonts w:ascii="Arial" w:hAnsi="Arial" w:cs="Arial"/>
        </w:rPr>
      </w:pPr>
      <w:r w:rsidRPr="009E55A1">
        <w:rPr>
          <w:rFonts w:ascii="Arial" w:hAnsi="Arial" w:cs="Arial"/>
        </w:rPr>
        <w:t xml:space="preserve">     </w:t>
      </w:r>
    </w:p>
    <w:p w:rsidR="001343A5" w:rsidRPr="009E55A1" w:rsidRDefault="001343A5"/>
    <w:sectPr w:rsidR="001343A5" w:rsidRPr="009E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442F"/>
    <w:multiLevelType w:val="hybridMultilevel"/>
    <w:tmpl w:val="1E00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B5"/>
    <w:rsid w:val="001343A5"/>
    <w:rsid w:val="004640BF"/>
    <w:rsid w:val="00495527"/>
    <w:rsid w:val="00502107"/>
    <w:rsid w:val="005C0F0F"/>
    <w:rsid w:val="006E1A0D"/>
    <w:rsid w:val="006F59B5"/>
    <w:rsid w:val="008F1E2E"/>
    <w:rsid w:val="009E55A1"/>
    <w:rsid w:val="00E53219"/>
    <w:rsid w:val="00E964DA"/>
    <w:rsid w:val="00E9786F"/>
    <w:rsid w:val="00ED47C9"/>
    <w:rsid w:val="00F1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0BF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0BF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4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saxena</dc:creator>
  <cp:keywords/>
  <dc:description/>
  <cp:lastModifiedBy>Manoj Saxena</cp:lastModifiedBy>
  <cp:revision>2</cp:revision>
  <dcterms:created xsi:type="dcterms:W3CDTF">2016-02-06T19:06:00Z</dcterms:created>
  <dcterms:modified xsi:type="dcterms:W3CDTF">2016-02-06T19:06:00Z</dcterms:modified>
</cp:coreProperties>
</file>