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9F" w:rsidRDefault="00427952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3</w:t>
      </w:r>
      <w:r w:rsidR="00F07B84">
        <w:rPr>
          <w:rFonts w:ascii="Times New Roman" w:hAnsi="Times New Roman" w:cs="Times New Roman"/>
          <w:b/>
          <w:lang w:val="en-US"/>
        </w:rPr>
        <w:t>: Palmitate-induced alterations in enzyme gene expression and activity follow dissimilar trends in INS-1E β-cells</w:t>
      </w:r>
    </w:p>
    <w:p w:rsidR="009C389F" w:rsidRDefault="00F07B84">
      <w:pPr>
        <w:spacing w:line="480" w:lineRule="auto"/>
      </w:pPr>
      <w:r>
        <w:rPr>
          <w:rFonts w:ascii="Times New Roman" w:hAnsi="Times New Roman" w:cs="Times New Roman"/>
          <w:lang w:val="en-US"/>
        </w:rPr>
        <w:t>A commonly used model for lipid-induced β-cell dysfunction, lipotoxicity, entails treatment of primary or clonal β-cells, such as INS-1E cells, with palmitate coupled to BSA. To investigate the action of lipotoxicity on INS-</w:t>
      </w:r>
      <w:proofErr w:type="spellStart"/>
      <w:r>
        <w:rPr>
          <w:rFonts w:ascii="Times New Roman" w:hAnsi="Times New Roman" w:cs="Times New Roman"/>
          <w:lang w:val="en-US"/>
        </w:rPr>
        <w:t>1E</w:t>
      </w:r>
      <w:proofErr w:type="spellEnd"/>
      <w:r>
        <w:rPr>
          <w:rFonts w:ascii="Times New Roman" w:hAnsi="Times New Roman" w:cs="Times New Roman"/>
          <w:lang w:val="en-US"/>
        </w:rPr>
        <w:t xml:space="preserve"> cells on the glucose metabolic enzyme fingerprint, we treated INS-1E cells according to a published lipotoxicity protocol for 24hrs before cell harvest. In parallel, we extracted RNA samples for comparison to mRNA levels. </w:t>
      </w:r>
    </w:p>
    <w:p w:rsidR="009C389F" w:rsidRDefault="00F07B84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Methods</w:t>
      </w:r>
    </w:p>
    <w:p w:rsidR="009C389F" w:rsidRDefault="00F07B84">
      <w:pPr>
        <w:spacing w:line="480" w:lineRule="auto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Palmitate treatment</w:t>
      </w:r>
    </w:p>
    <w:p w:rsidR="009C389F" w:rsidRDefault="00F07B8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the model of lipotoxicity in INS-</w:t>
      </w:r>
      <w:proofErr w:type="spellStart"/>
      <w:r>
        <w:rPr>
          <w:rFonts w:ascii="Times New Roman" w:hAnsi="Times New Roman" w:cs="Times New Roman"/>
          <w:lang w:val="en-US"/>
        </w:rPr>
        <w:t>1E</w:t>
      </w:r>
      <w:proofErr w:type="spellEnd"/>
      <w:r>
        <w:rPr>
          <w:rFonts w:ascii="Times New Roman" w:hAnsi="Times New Roman" w:cs="Times New Roman"/>
          <w:lang w:val="en-US"/>
        </w:rPr>
        <w:t xml:space="preserve"> cells palmitate was dissolved as a 200mM stock solution in ethanol (100%). For BSA-coupling, palmitate stock was diluted to 6mM concentration with BSA (10%, weight/volume) and shaken over night at 37°C. This corresponds to a molecular </w:t>
      </w:r>
      <w:proofErr w:type="spellStart"/>
      <w:r>
        <w:rPr>
          <w:rFonts w:ascii="Times New Roman" w:hAnsi="Times New Roman" w:cs="Times New Roman"/>
          <w:lang w:val="en-US"/>
        </w:rPr>
        <w:t>palmitate</w:t>
      </w:r>
      <w:proofErr w:type="gramStart"/>
      <w:r>
        <w:rPr>
          <w:rFonts w:ascii="Times New Roman" w:hAnsi="Times New Roman" w:cs="Times New Roman"/>
          <w:lang w:val="en-US"/>
        </w:rPr>
        <w:t>:BSA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ratio of 4:1.The coupled palmitate was used for cell culture stimulation. For fatty </w:t>
      </w:r>
      <w:bookmarkStart w:id="0" w:name="_GoBack"/>
      <w:r>
        <w:rPr>
          <w:rFonts w:ascii="Times New Roman" w:hAnsi="Times New Roman" w:cs="Times New Roman"/>
          <w:lang w:val="en-US"/>
        </w:rPr>
        <w:t xml:space="preserve">acid treatment 48h after seeding, cells were stimulated for 24h with medium containing 0.25mM </w:t>
      </w:r>
      <w:bookmarkEnd w:id="0"/>
      <w:r>
        <w:rPr>
          <w:rFonts w:ascii="Times New Roman" w:hAnsi="Times New Roman" w:cs="Times New Roman"/>
          <w:lang w:val="en-US"/>
        </w:rPr>
        <w:t>palmitate or BSA as control, as described. For the model of glucose toxicity in INS-1E cells; 24h after seeding medium was removed, cells washed with PBS and stimulated for 48h with medium containing either 5mM or 20mM glucose.</w:t>
      </w:r>
    </w:p>
    <w:p w:rsidR="009C389F" w:rsidRDefault="00F07B84">
      <w:pPr>
        <w:spacing w:line="480" w:lineRule="auto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RNA extraction and RT-Q-PCR</w:t>
      </w:r>
    </w:p>
    <w:p w:rsidR="009C389F" w:rsidRDefault="00F07B84">
      <w:pPr>
        <w:spacing w:line="480" w:lineRule="auto"/>
      </w:pPr>
      <w:r>
        <w:rPr>
          <w:rFonts w:ascii="Times New Roman" w:hAnsi="Times New Roman" w:cs="Times New Roman"/>
          <w:lang w:val="en-US"/>
        </w:rPr>
        <w:t>For RNA isolation, medium was removed, and cells were harvested in 1mL TRI Reagent (</w:t>
      </w:r>
      <w:proofErr w:type="spellStart"/>
      <w:r>
        <w:rPr>
          <w:rFonts w:ascii="Times New Roman" w:hAnsi="Times New Roman" w:cs="Times New Roman"/>
          <w:lang w:val="en-US"/>
        </w:rPr>
        <w:t>SigmaAldrich</w:t>
      </w:r>
      <w:proofErr w:type="spellEnd"/>
      <w:r>
        <w:rPr>
          <w:rFonts w:ascii="Times New Roman" w:hAnsi="Times New Roman" w:cs="Times New Roman"/>
          <w:lang w:val="en-US"/>
        </w:rPr>
        <w:t xml:space="preserve">). RNA extraction was performed as instructed by the manufacturer. RNA-concentration was determined using a </w:t>
      </w:r>
      <w:proofErr w:type="spellStart"/>
      <w:r>
        <w:rPr>
          <w:rFonts w:ascii="Times New Roman" w:hAnsi="Times New Roman" w:cs="Times New Roman"/>
          <w:lang w:val="en-US"/>
        </w:rPr>
        <w:t>Nanodrop</w:t>
      </w:r>
      <w:proofErr w:type="spellEnd"/>
      <w:r>
        <w:rPr>
          <w:rFonts w:ascii="Times New Roman" w:hAnsi="Times New Roman" w:cs="Times New Roman"/>
          <w:lang w:val="en-US"/>
        </w:rPr>
        <w:t xml:space="preserve"> ND-1000 spectrophotometer. Complementary DNA was synthesized from 1000 ng RNA using the </w:t>
      </w:r>
      <w:proofErr w:type="spellStart"/>
      <w:r>
        <w:rPr>
          <w:rFonts w:ascii="Times New Roman" w:hAnsi="Times New Roman" w:cs="Times New Roman"/>
          <w:lang w:val="en-US"/>
        </w:rPr>
        <w:t>SuperScript</w:t>
      </w:r>
      <w:proofErr w:type="spellEnd"/>
      <w:r>
        <w:rPr>
          <w:rFonts w:ascii="Times New Roman" w:hAnsi="Times New Roman" w:cs="Times New Roman"/>
          <w:lang w:val="en-US"/>
        </w:rPr>
        <w:t xml:space="preserve"> III First-Strand Synthesis kit (</w:t>
      </w:r>
      <w:proofErr w:type="spellStart"/>
      <w:r>
        <w:rPr>
          <w:rFonts w:ascii="Times New Roman" w:hAnsi="Times New Roman" w:cs="Times New Roman"/>
          <w:lang w:val="en-US"/>
        </w:rPr>
        <w:t>ThermoFisher</w:t>
      </w:r>
      <w:proofErr w:type="spellEnd"/>
      <w:r>
        <w:rPr>
          <w:rFonts w:ascii="Times New Roman" w:hAnsi="Times New Roman" w:cs="Times New Roman"/>
          <w:lang w:val="en-US"/>
        </w:rPr>
        <w:t xml:space="preserve">) according to the manufacturer’s instructions using random hexamers. Q-PCR reactions were carried out with the Agilent MxPro3005 instrument using </w:t>
      </w:r>
      <w:proofErr w:type="spellStart"/>
      <w:r>
        <w:rPr>
          <w:rFonts w:ascii="Times New Roman" w:hAnsi="Times New Roman" w:cs="Times New Roman"/>
          <w:lang w:val="en-US"/>
        </w:rPr>
        <w:t>Quantitect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SYBR</w:t>
      </w:r>
      <w:proofErr w:type="spellEnd"/>
      <w:r>
        <w:rPr>
          <w:rFonts w:ascii="Times New Roman" w:hAnsi="Times New Roman" w:cs="Times New Roman"/>
          <w:lang w:val="en-US"/>
        </w:rPr>
        <w:t xml:space="preserve"> green (</w:t>
      </w:r>
      <w:proofErr w:type="spellStart"/>
      <w:r>
        <w:rPr>
          <w:rFonts w:ascii="Times New Roman" w:hAnsi="Times New Roman" w:cs="Times New Roman"/>
          <w:lang w:val="en-US"/>
        </w:rPr>
        <w:t>Qiagen</w:t>
      </w:r>
      <w:proofErr w:type="spellEnd"/>
      <w:r>
        <w:rPr>
          <w:rFonts w:ascii="Times New Roman" w:hAnsi="Times New Roman" w:cs="Times New Roman"/>
          <w:lang w:val="en-US"/>
        </w:rPr>
        <w:t xml:space="preserve">) according to manufacturer’s instructions. TFIIB was used as reference gene as it is unchanged by glucose and fatty acid treatment [1, 2]. Sequences (5’ to 3’) of used primers are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a-DK"/>
        </w:rPr>
        <w:lastRenderedPageBreak/>
        <w:t>AldoA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lang w:val="en-US" w:eastAsia="da-DK"/>
        </w:rPr>
        <w:t xml:space="preserve">(forward: GGCTTCTTTCACTGCACCAC, reverse: CCAGCTCCTTCTTCTGCTCC), </w:t>
      </w:r>
      <w:proofErr w:type="spellStart"/>
      <w:r>
        <w:rPr>
          <w:rFonts w:ascii="Times New Roman" w:eastAsia="Times New Roman" w:hAnsi="Times New Roman" w:cs="Times New Roman"/>
          <w:lang w:val="en-US" w:eastAsia="da-DK"/>
        </w:rPr>
        <w:t>AldoB</w:t>
      </w:r>
      <w:proofErr w:type="spellEnd"/>
      <w:r>
        <w:rPr>
          <w:rFonts w:ascii="Times New Roman" w:eastAsia="Times New Roman" w:hAnsi="Times New Roman" w:cs="Times New Roman"/>
          <w:lang w:val="en-US" w:eastAsia="da-DK"/>
        </w:rPr>
        <w:t xml:space="preserve"> (forward: CCGCTTGCAGGAACAAACAA, reverse: GTCCGAGATCCTCAGCACAG), </w:t>
      </w:r>
      <w:proofErr w:type="spellStart"/>
      <w:r>
        <w:rPr>
          <w:rFonts w:ascii="Times New Roman" w:eastAsia="Times New Roman" w:hAnsi="Times New Roman" w:cs="Times New Roman"/>
          <w:lang w:val="en-US" w:eastAsia="da-DK"/>
        </w:rPr>
        <w:t>AldoC</w:t>
      </w:r>
      <w:proofErr w:type="spellEnd"/>
      <w:r>
        <w:rPr>
          <w:rFonts w:ascii="Times New Roman" w:eastAsia="Times New Roman" w:hAnsi="Times New Roman" w:cs="Times New Roman"/>
          <w:lang w:val="en-US" w:eastAsia="da-DK"/>
        </w:rPr>
        <w:t xml:space="preserve"> (forward: GCTTGGACTGAGCTACTGTCTG, reverse: GGTATGAGTGGGGCATGGT), TFIIB (forward: </w:t>
      </w:r>
      <w:r>
        <w:rPr>
          <w:rFonts w:ascii="Times New Roman" w:hAnsi="Times New Roman" w:cs="Times New Roman"/>
          <w:caps/>
          <w:lang w:val="en-US"/>
        </w:rPr>
        <w:t xml:space="preserve">gttctgctccaacctttgcct, </w:t>
      </w:r>
      <w:r>
        <w:rPr>
          <w:rFonts w:ascii="Times New Roman" w:hAnsi="Times New Roman" w:cs="Times New Roman"/>
          <w:lang w:val="en-US" w:eastAsia="da-DK"/>
        </w:rPr>
        <w:t xml:space="preserve">reverse: </w:t>
      </w:r>
      <w:r>
        <w:rPr>
          <w:rFonts w:ascii="Times New Roman" w:eastAsia="Times New Roman" w:hAnsi="Times New Roman" w:cs="Times New Roman"/>
          <w:caps/>
          <w:lang w:val="en-US" w:eastAsia="da-DK"/>
        </w:rPr>
        <w:t>tgtgtagctgccatctgcactt).</w:t>
      </w:r>
    </w:p>
    <w:p w:rsidR="009C389F" w:rsidRDefault="00F07B84">
      <w:pPr>
        <w:spacing w:line="48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>Array data</w:t>
      </w:r>
    </w:p>
    <w:p w:rsidR="009C389F" w:rsidRDefault="00F07B84">
      <w:pPr>
        <w:spacing w:line="480" w:lineRule="auto"/>
      </w:pPr>
      <w:r>
        <w:rPr>
          <w:rFonts w:ascii="Times New Roman" w:hAnsi="Times New Roman" w:cs="Times New Roman"/>
          <w:lang w:val="en-US"/>
        </w:rPr>
        <w:t xml:space="preserve">An mRNA array data from INS-1 cells treated with palmitate was obtained from </w:t>
      </w:r>
      <w:proofErr w:type="spellStart"/>
      <w:r>
        <w:rPr>
          <w:rFonts w:ascii="Times New Roman" w:hAnsi="Times New Roman" w:cs="Times New Roman"/>
          <w:lang w:val="en-US"/>
        </w:rPr>
        <w:t>Malmgren</w:t>
      </w:r>
      <w:proofErr w:type="spellEnd"/>
      <w:r>
        <w:rPr>
          <w:rFonts w:ascii="Times New Roman" w:hAnsi="Times New Roman" w:cs="Times New Roman"/>
          <w:lang w:val="en-US"/>
        </w:rPr>
        <w:t xml:space="preserve"> et al (2013</w:t>
      </w:r>
      <w:proofErr w:type="gramStart"/>
      <w:r>
        <w:rPr>
          <w:rFonts w:ascii="Times New Roman" w:hAnsi="Times New Roman" w:cs="Times New Roman"/>
          <w:lang w:val="en-US"/>
        </w:rPr>
        <w:t>)</w:t>
      </w:r>
      <w:proofErr w:type="gramEnd"/>
      <w:r w:rsidR="001F5696">
        <w:fldChar w:fldCharType="begin"/>
      </w:r>
      <w:r>
        <w:instrText>ADDIN EN.CITE</w:instrText>
      </w:r>
      <w:r w:rsidR="001F5696">
        <w:fldChar w:fldCharType="end"/>
      </w:r>
      <w:bookmarkStart w:id="1" w:name="__Fieldmark__101_154273168"/>
      <w:bookmarkEnd w:id="1"/>
      <w:r>
        <w:rPr>
          <w:rFonts w:ascii="Times New Roman" w:hAnsi="Times New Roman" w:cs="Times New Roman"/>
          <w:lang w:val="en-US"/>
        </w:rPr>
        <w:t>[3] (</w:t>
      </w:r>
      <w:hyperlink r:id="rId4">
        <w:r>
          <w:rPr>
            <w:rStyle w:val="Internetverknpfung"/>
            <w:rFonts w:ascii="Times New Roman" w:hAnsi="Times New Roman" w:cs="Times New Roman"/>
            <w:color w:val="auto"/>
            <w:u w:val="none"/>
            <w:lang w:val="en-US"/>
          </w:rPr>
          <w:t>E-MTAB-3232</w:t>
        </w:r>
      </w:hyperlink>
      <w:r>
        <w:rPr>
          <w:rFonts w:ascii="Times New Roman" w:hAnsi="Times New Roman" w:cs="Times New Roman"/>
          <w:color w:val="222222"/>
          <w:lang w:val="en-US"/>
        </w:rPr>
        <w:t xml:space="preserve">). </w:t>
      </w:r>
    </w:p>
    <w:p w:rsidR="009C389F" w:rsidRDefault="00F07B84">
      <w:pPr>
        <w:spacing w:line="480" w:lineRule="auto"/>
        <w:rPr>
          <w:rFonts w:ascii="Times New Roman" w:hAnsi="Times New Roman" w:cs="Times New Roman"/>
          <w:b/>
          <w:bCs/>
          <w:color w:val="222222"/>
          <w:lang w:val="en-US"/>
        </w:rPr>
      </w:pPr>
      <w:r>
        <w:rPr>
          <w:rFonts w:ascii="Times New Roman" w:hAnsi="Times New Roman" w:cs="Times New Roman"/>
          <w:b/>
          <w:bCs/>
          <w:color w:val="222222"/>
          <w:lang w:val="en-US"/>
        </w:rPr>
        <w:t>References</w:t>
      </w:r>
    </w:p>
    <w:p w:rsidR="00645763" w:rsidRDefault="00645763">
      <w:pPr>
        <w:spacing w:line="480" w:lineRule="auto"/>
        <w:rPr>
          <w:rFonts w:ascii="Times New Roman" w:hAnsi="Times New Roman" w:cs="Times New Roman"/>
          <w:b/>
          <w:bCs/>
          <w:color w:val="222222"/>
          <w:lang w:val="en-US"/>
        </w:rPr>
      </w:pPr>
    </w:p>
    <w:p w:rsidR="009C389F" w:rsidRDefault="009C389F">
      <w:pPr>
        <w:sectPr w:rsidR="009C389F"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:rsidR="009C389F" w:rsidRDefault="00F07B84">
      <w:pPr>
        <w:pStyle w:val="Literaturverzeichnis1"/>
      </w:pPr>
      <w:r>
        <w:lastRenderedPageBreak/>
        <w:t>1. Ravnskjaer K, Boergesen M, Dalgaard LT, Mandrup S. Glucose-induced repression of PPARalpha gene expression in pancreatic beta-cells involves PP2A activation and AMPK inactivation. J Mol Endocrinol. 2006;36:289–99.</w:t>
      </w:r>
    </w:p>
    <w:p w:rsidR="009C389F" w:rsidRDefault="00F07B84">
      <w:pPr>
        <w:pStyle w:val="Literaturverzeichnis1"/>
      </w:pPr>
      <w:r>
        <w:t>2. Dalgaard L, Thams P, Gaarn L, Jensen J, Lee Y, Nielsen J. Suppression of FAT/CD36 mRNA by human growth hormone in pancreatic β-cells. Biochem Biophys Res Commun. 2011;410:345–350.</w:t>
      </w:r>
    </w:p>
    <w:p w:rsidR="009C389F" w:rsidRDefault="00F07B84">
      <w:pPr>
        <w:pStyle w:val="Literaturverzeichnis1"/>
      </w:pPr>
      <w:r>
        <w:t>3. Malmgren S, Spégel P, Danielsson APH, Nagorny CL, Andersson LE, Nitert MD, et al. Coordinate changes in histone modifications, mRNA levels, and metabolite profiles in clonal INS-1 832/13 beta-cells accompany functional adaptations to lipotoxicity. J Biol Chem. 2013;288:11973–11987.</w:t>
      </w:r>
    </w:p>
    <w:p w:rsidR="00645763" w:rsidRDefault="00645763">
      <w:pPr>
        <w:pStyle w:val="Literaturverzeichnis1"/>
      </w:pPr>
    </w:p>
    <w:p w:rsidR="009C389F" w:rsidRDefault="009C389F">
      <w:pPr>
        <w:sectPr w:rsidR="009C389F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:rsidR="009C389F" w:rsidRDefault="009C389F"/>
    <w:sectPr w:rsidR="009C389F" w:rsidSect="001F5696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oNotDisplayPageBoundaries/>
  <w:proofState w:spelling="clean" w:grammar="clean"/>
  <w:defaultTabStop w:val="720"/>
  <w:hyphenationZone w:val="425"/>
  <w:characterSpacingControl w:val="doNotCompress"/>
  <w:compat/>
  <w:rsids>
    <w:rsidRoot w:val="009C389F"/>
    <w:rsid w:val="001F5696"/>
    <w:rsid w:val="00427952"/>
    <w:rsid w:val="00645763"/>
    <w:rsid w:val="009C389F"/>
    <w:rsid w:val="00CF244D"/>
    <w:rsid w:val="00F0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basedOn w:val="DefaultParagraphFont"/>
    <w:rsid w:val="001F5696"/>
    <w:rPr>
      <w:color w:val="0000FF"/>
      <w:u w:val="single"/>
    </w:rPr>
  </w:style>
  <w:style w:type="character" w:customStyle="1" w:styleId="ListLabel11">
    <w:name w:val="ListLabel 11"/>
    <w:qFormat/>
    <w:rsid w:val="001F5696"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12">
    <w:name w:val="ListLabel 12"/>
    <w:qFormat/>
    <w:rsid w:val="001F5696"/>
    <w:rPr>
      <w:rFonts w:ascii="Times New Roman" w:hAnsi="Times New Roman" w:cs="Times New Roman"/>
      <w:color w:val="auto"/>
      <w:lang w:val="en-US"/>
    </w:rPr>
  </w:style>
  <w:style w:type="paragraph" w:customStyle="1" w:styleId="berschrift">
    <w:name w:val="Überschrift"/>
    <w:basedOn w:val="Normal"/>
    <w:next w:val="BodyText"/>
    <w:qFormat/>
    <w:rsid w:val="001F569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1F5696"/>
    <w:pPr>
      <w:spacing w:after="140" w:line="276" w:lineRule="auto"/>
    </w:pPr>
  </w:style>
  <w:style w:type="paragraph" w:styleId="List">
    <w:name w:val="List"/>
    <w:basedOn w:val="BodyText"/>
    <w:rsid w:val="001F5696"/>
  </w:style>
  <w:style w:type="paragraph" w:styleId="Caption">
    <w:name w:val="caption"/>
    <w:basedOn w:val="Normal"/>
    <w:qFormat/>
    <w:rsid w:val="001F569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qFormat/>
    <w:rsid w:val="001F5696"/>
    <w:pPr>
      <w:suppressLineNumbers/>
    </w:pPr>
  </w:style>
  <w:style w:type="paragraph" w:customStyle="1" w:styleId="Tabelleninhalt">
    <w:name w:val="Tabelleninhalt"/>
    <w:basedOn w:val="Normal"/>
    <w:qFormat/>
    <w:rsid w:val="001F5696"/>
    <w:pPr>
      <w:suppressLineNumbers/>
    </w:pPr>
  </w:style>
  <w:style w:type="paragraph" w:customStyle="1" w:styleId="Tabellenberschrift">
    <w:name w:val="Tabellenüberschrift"/>
    <w:basedOn w:val="Tabelleninhalt"/>
    <w:qFormat/>
    <w:rsid w:val="001F5696"/>
    <w:pPr>
      <w:jc w:val="center"/>
    </w:pPr>
    <w:rPr>
      <w:b/>
      <w:bCs/>
    </w:rPr>
  </w:style>
  <w:style w:type="paragraph" w:customStyle="1" w:styleId="Literaturverzeichnis1">
    <w:name w:val="Literaturverzeichnis 1"/>
    <w:basedOn w:val="Verzeichnis"/>
    <w:qFormat/>
    <w:rsid w:val="001F5696"/>
    <w:pPr>
      <w:spacing w:after="240"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bi.ac.uk/arrayexpress/experiments/E-MTAB-3232/?query=malmgren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Universitet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Torp Dalgaard</dc:creator>
  <dc:description/>
  <cp:lastModifiedBy>0016235</cp:lastModifiedBy>
  <cp:revision>4</cp:revision>
  <dcterms:created xsi:type="dcterms:W3CDTF">2019-03-08T07:46:00Z</dcterms:created>
  <dcterms:modified xsi:type="dcterms:W3CDTF">2019-10-14T07:01:00Z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id="1344nMnv"/&gt;&lt;style id="http://www.zotero.org/styles/bmc-research-notes" hasBibliography="1" bibliographyStyleHasBeenSet="1"/&gt;&lt;prefs&gt;&lt;pref name="fieldType" value="ReferenceMark"/&gt;&lt;pref name="automa</vt:lpwstr>
  </property>
  <property fmtid="{D5CDD505-2E9C-101B-9397-08002B2CF9AE}" pid="3" name="ZOTERO_PREF_2">
    <vt:lpwstr>ticJournalAbbreviations" value="true"/&gt;&lt;/prefs&gt;&lt;/data&gt;</vt:lpwstr>
  </property>
</Properties>
</file>