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2" w:rsidRPr="0058381D" w:rsidRDefault="00E30992" w:rsidP="00E30992">
      <w:pPr>
        <w:spacing w:line="360" w:lineRule="auto"/>
        <w:rPr>
          <w:b/>
          <w:i/>
        </w:rPr>
      </w:pPr>
      <w:r w:rsidRPr="0058381D">
        <w:rPr>
          <w:b/>
          <w:i/>
        </w:rPr>
        <w:t xml:space="preserve">Supplementary table 1 – preoperative medications in patients undergoing </w:t>
      </w:r>
      <w:proofErr w:type="spellStart"/>
      <w:r w:rsidRPr="0058381D">
        <w:rPr>
          <w:b/>
          <w:i/>
        </w:rPr>
        <w:t>HoLEP</w:t>
      </w:r>
      <w:proofErr w:type="spellEnd"/>
      <w:r w:rsidRPr="0058381D">
        <w:rPr>
          <w:b/>
          <w:i/>
        </w:rPr>
        <w:t xml:space="preserve"> for lower urinary tract symptoms</w:t>
      </w:r>
    </w:p>
    <w:tbl>
      <w:tblPr>
        <w:tblStyle w:val="TableGrid"/>
        <w:tblW w:w="0" w:type="auto"/>
        <w:tblLook w:val="04A0"/>
      </w:tblPr>
      <w:tblGrid>
        <w:gridCol w:w="4786"/>
        <w:gridCol w:w="1329"/>
        <w:gridCol w:w="850"/>
      </w:tblGrid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rPr>
                <w:b/>
              </w:rPr>
            </w:pPr>
            <w:r w:rsidRPr="0058381D">
              <w:rPr>
                <w:b/>
              </w:rPr>
              <w:t>Preoperative medication for LUTS</w:t>
            </w:r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rPr>
                <w:b/>
              </w:rPr>
            </w:pPr>
            <w:r w:rsidRPr="0058381D">
              <w:rPr>
                <w:b/>
              </w:rPr>
              <w:t xml:space="preserve">Frequency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rPr>
                <w:b/>
              </w:rPr>
            </w:pPr>
            <w:r w:rsidRPr="0058381D">
              <w:rPr>
                <w:b/>
              </w:rPr>
              <w:t>(%)</w:t>
            </w:r>
          </w:p>
        </w:tc>
      </w:tr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>Alpha-blocker</w:t>
            </w:r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21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</w:pPr>
            <w:r w:rsidRPr="0058381D">
              <w:t>(46.7)</w:t>
            </w:r>
          </w:p>
        </w:tc>
      </w:tr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5-alpha </w:t>
            </w:r>
            <w:proofErr w:type="spellStart"/>
            <w:r w:rsidRPr="0058381D">
              <w:t>reductase</w:t>
            </w:r>
            <w:proofErr w:type="spellEnd"/>
            <w:r w:rsidRPr="0058381D">
              <w:t xml:space="preserve"> inhibitor</w:t>
            </w:r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2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</w:pPr>
            <w:r w:rsidRPr="0058381D">
              <w:t>(4.4)</w:t>
            </w:r>
          </w:p>
        </w:tc>
      </w:tr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>Anti-</w:t>
            </w:r>
            <w:proofErr w:type="spellStart"/>
            <w:r w:rsidRPr="0058381D">
              <w:t>muscarinic</w:t>
            </w:r>
            <w:proofErr w:type="spellEnd"/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1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</w:pPr>
            <w:r w:rsidRPr="0058381D">
              <w:t>(2.2)</w:t>
            </w:r>
          </w:p>
        </w:tc>
      </w:tr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Alpha-blocker plus 5-alpha </w:t>
            </w:r>
            <w:proofErr w:type="spellStart"/>
            <w:r w:rsidRPr="0058381D">
              <w:t>reductase</w:t>
            </w:r>
            <w:proofErr w:type="spellEnd"/>
            <w:r w:rsidRPr="0058381D">
              <w:t xml:space="preserve"> inhibitor</w:t>
            </w:r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12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</w:pPr>
            <w:r w:rsidRPr="0058381D">
              <w:t>(26.7)</w:t>
            </w:r>
          </w:p>
        </w:tc>
      </w:tr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>Alpha blocker plus anti-</w:t>
            </w:r>
            <w:proofErr w:type="spellStart"/>
            <w:r w:rsidRPr="0058381D">
              <w:t>muscarinic</w:t>
            </w:r>
            <w:proofErr w:type="spellEnd"/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3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</w:pPr>
            <w:r w:rsidRPr="0058381D">
              <w:t>(6.7)</w:t>
            </w:r>
          </w:p>
        </w:tc>
      </w:tr>
      <w:tr w:rsidR="00E30992" w:rsidRPr="0058381D" w:rsidTr="00736264">
        <w:tc>
          <w:tcPr>
            <w:tcW w:w="4786" w:type="dxa"/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>No medication</w:t>
            </w:r>
          </w:p>
        </w:tc>
        <w:tc>
          <w:tcPr>
            <w:tcW w:w="1329" w:type="dxa"/>
            <w:tcBorders>
              <w:righ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  <w:jc w:val="right"/>
            </w:pPr>
            <w:r w:rsidRPr="0058381D">
              <w:t xml:space="preserve">6 </w:t>
            </w:r>
          </w:p>
        </w:tc>
        <w:tc>
          <w:tcPr>
            <w:tcW w:w="850" w:type="dxa"/>
            <w:tcBorders>
              <w:left w:val="nil"/>
            </w:tcBorders>
          </w:tcPr>
          <w:p w:rsidR="00E30992" w:rsidRPr="0058381D" w:rsidRDefault="00E30992" w:rsidP="00736264">
            <w:pPr>
              <w:pStyle w:val="Correspondencedetails"/>
              <w:spacing w:before="0" w:line="240" w:lineRule="auto"/>
            </w:pPr>
            <w:r w:rsidRPr="0058381D">
              <w:t>(13.3)</w:t>
            </w:r>
          </w:p>
        </w:tc>
      </w:tr>
    </w:tbl>
    <w:p w:rsidR="00E30992" w:rsidRPr="0058381D" w:rsidRDefault="00E30992" w:rsidP="00E30992">
      <w:pPr>
        <w:spacing w:after="240" w:line="360" w:lineRule="auto"/>
        <w:rPr>
          <w:i/>
        </w:rPr>
      </w:pPr>
      <w:proofErr w:type="spellStart"/>
      <w:r w:rsidRPr="0058381D">
        <w:rPr>
          <w:i/>
        </w:rPr>
        <w:t>HoLEP</w:t>
      </w:r>
      <w:proofErr w:type="spellEnd"/>
      <w:r w:rsidRPr="0058381D">
        <w:rPr>
          <w:i/>
        </w:rPr>
        <w:t xml:space="preserve">, Holmium laser </w:t>
      </w:r>
      <w:proofErr w:type="spellStart"/>
      <w:r w:rsidRPr="0058381D">
        <w:rPr>
          <w:i/>
        </w:rPr>
        <w:t>enucleation</w:t>
      </w:r>
      <w:proofErr w:type="spellEnd"/>
      <w:r w:rsidRPr="0058381D">
        <w:rPr>
          <w:i/>
        </w:rPr>
        <w:t xml:space="preserve"> of the prostate; LUTS, lower urinary tract symptoms. </w:t>
      </w:r>
    </w:p>
    <w:p w:rsidR="00E43077" w:rsidRPr="0058381D" w:rsidRDefault="00E43077"/>
    <w:sectPr w:rsidR="00E43077" w:rsidRPr="0058381D" w:rsidSect="00165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992"/>
    <w:rsid w:val="00165BF0"/>
    <w:rsid w:val="00415209"/>
    <w:rsid w:val="0058381D"/>
    <w:rsid w:val="00BF3DCC"/>
    <w:rsid w:val="00E30992"/>
    <w:rsid w:val="00E4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09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spondencedetails">
    <w:name w:val="Correspondence details"/>
    <w:basedOn w:val="Normal"/>
    <w:qFormat/>
    <w:rsid w:val="00E30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360" w:lineRule="auto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E30992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Betsi Cadwaladr University Health Board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ch208181</dc:creator>
  <cp:lastModifiedBy>ch208181</cp:lastModifiedBy>
  <cp:revision>2</cp:revision>
  <dcterms:created xsi:type="dcterms:W3CDTF">2019-09-10T14:39:00Z</dcterms:created>
  <dcterms:modified xsi:type="dcterms:W3CDTF">2019-09-10T14:40:00Z</dcterms:modified>
</cp:coreProperties>
</file>