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5E2EFF" w14:textId="77777777" w:rsidR="009953C6" w:rsidRPr="006D3042" w:rsidRDefault="009953C6">
      <w:pPr>
        <w:rPr>
          <w:rFonts w:ascii="Times New Roman" w:hAnsi="Times New Roman" w:cs="Times New Roman"/>
          <w:sz w:val="24"/>
          <w:szCs w:val="24"/>
        </w:rPr>
      </w:pPr>
      <w:r w:rsidRPr="006D3042">
        <w:rPr>
          <w:rFonts w:ascii="Times New Roman" w:hAnsi="Times New Roman" w:cs="Times New Roman"/>
          <w:noProof/>
          <w:sz w:val="24"/>
          <w:szCs w:val="24"/>
        </w:rPr>
        <w:drawing>
          <wp:inline distT="0" distB="0" distL="0" distR="0" wp14:anchorId="71A864FF" wp14:editId="3B1F76A2">
            <wp:extent cx="9779000" cy="607060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S1.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9779000" cy="6070600"/>
                    </a:xfrm>
                    <a:prstGeom prst="rect">
                      <a:avLst/>
                    </a:prstGeom>
                  </pic:spPr>
                </pic:pic>
              </a:graphicData>
            </a:graphic>
          </wp:inline>
        </w:drawing>
      </w:r>
    </w:p>
    <w:p w14:paraId="0B5E9485" w14:textId="12D78F31" w:rsidR="0042307E" w:rsidRPr="00200B4E" w:rsidRDefault="00200B4E" w:rsidP="00200B4E">
      <w:pPr>
        <w:rPr>
          <w:rFonts w:ascii="Times New Roman" w:hAnsi="Times New Roman" w:cs="Times New Roman"/>
          <w:sz w:val="24"/>
          <w:szCs w:val="24"/>
        </w:rPr>
        <w:sectPr w:rsidR="0042307E" w:rsidRPr="00200B4E" w:rsidSect="0042307E">
          <w:type w:val="continuous"/>
          <w:pgSz w:w="16838" w:h="11906" w:orient="landscape"/>
          <w:pgMar w:top="720" w:right="720" w:bottom="720" w:left="720" w:header="851" w:footer="992" w:gutter="0"/>
          <w:cols w:space="425"/>
          <w:docGrid w:type="lines" w:linePitch="312"/>
        </w:sectPr>
      </w:pPr>
      <w:r>
        <w:rPr>
          <w:rFonts w:ascii="Times New Roman" w:hAnsi="Times New Roman" w:cs="Times New Roman"/>
          <w:sz w:val="24"/>
          <w:szCs w:val="24"/>
        </w:rPr>
        <w:t>F</w:t>
      </w:r>
      <w:r>
        <w:rPr>
          <w:rFonts w:ascii="Times New Roman" w:hAnsi="Times New Roman" w:cs="Times New Roman" w:hint="eastAsia"/>
          <w:sz w:val="24"/>
          <w:szCs w:val="24"/>
        </w:rPr>
        <w:t>i</w:t>
      </w:r>
      <w:r>
        <w:rPr>
          <w:rFonts w:ascii="Times New Roman" w:hAnsi="Times New Roman" w:cs="Times New Roman"/>
          <w:sz w:val="24"/>
          <w:szCs w:val="24"/>
        </w:rPr>
        <w:t xml:space="preserve">gure </w:t>
      </w:r>
      <w:r w:rsidR="00342D32">
        <w:rPr>
          <w:rFonts w:ascii="Times New Roman" w:hAnsi="Times New Roman" w:cs="Times New Roman"/>
          <w:sz w:val="24"/>
          <w:szCs w:val="24"/>
        </w:rPr>
        <w:t>S1</w:t>
      </w:r>
      <w:r>
        <w:rPr>
          <w:rFonts w:ascii="Times New Roman" w:hAnsi="Times New Roman" w:cs="Times New Roman"/>
          <w:sz w:val="24"/>
          <w:szCs w:val="24"/>
        </w:rPr>
        <w:t xml:space="preserve">. </w:t>
      </w:r>
      <w:r w:rsidR="006D3042" w:rsidRPr="00200B4E">
        <w:rPr>
          <w:rFonts w:ascii="Times New Roman" w:hAnsi="Times New Roman" w:cs="Times New Roman"/>
          <w:sz w:val="24"/>
          <w:szCs w:val="24"/>
        </w:rPr>
        <w:t>Temporal trends in age-standardized (world 1960 Segi population) ovarian cancer incidence rates per 100,000 women for European countries for all ages from 1973 to 2015.</w:t>
      </w:r>
    </w:p>
    <w:p w14:paraId="2607B051" w14:textId="77777777" w:rsidR="009953C6" w:rsidRPr="006D3042" w:rsidRDefault="009953C6">
      <w:pPr>
        <w:rPr>
          <w:rFonts w:ascii="Times New Roman" w:hAnsi="Times New Roman" w:cs="Times New Roman"/>
          <w:sz w:val="24"/>
          <w:szCs w:val="24"/>
        </w:rPr>
      </w:pPr>
      <w:r w:rsidRPr="006D3042">
        <w:rPr>
          <w:rFonts w:ascii="Times New Roman" w:hAnsi="Times New Roman" w:cs="Times New Roman"/>
          <w:noProof/>
          <w:sz w:val="24"/>
          <w:szCs w:val="24"/>
        </w:rPr>
        <w:lastRenderedPageBreak/>
        <w:drawing>
          <wp:inline distT="0" distB="0" distL="0" distR="0" wp14:anchorId="13F22F4B" wp14:editId="4415B5A7">
            <wp:extent cx="9797431" cy="61404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2.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9828377" cy="6159845"/>
                    </a:xfrm>
                    <a:prstGeom prst="rect">
                      <a:avLst/>
                    </a:prstGeom>
                  </pic:spPr>
                </pic:pic>
              </a:graphicData>
            </a:graphic>
          </wp:inline>
        </w:drawing>
      </w:r>
    </w:p>
    <w:p w14:paraId="6724DD3B" w14:textId="2EF518E9" w:rsidR="009953C6" w:rsidRPr="00200B4E" w:rsidRDefault="00200B4E" w:rsidP="00200B4E">
      <w:pPr>
        <w:rPr>
          <w:rFonts w:ascii="Times New Roman" w:hAnsi="Times New Roman" w:cs="Times New Roman"/>
          <w:sz w:val="24"/>
          <w:szCs w:val="24"/>
        </w:rPr>
        <w:sectPr w:rsidR="009953C6" w:rsidRPr="00200B4E" w:rsidSect="0042307E">
          <w:type w:val="continuous"/>
          <w:pgSz w:w="16838" w:h="11906" w:orient="landscape"/>
          <w:pgMar w:top="720" w:right="720" w:bottom="720" w:left="720" w:header="851" w:footer="992" w:gutter="0"/>
          <w:cols w:space="425"/>
          <w:docGrid w:type="lines" w:linePitch="312"/>
        </w:sectPr>
      </w:pPr>
      <w:r>
        <w:rPr>
          <w:rFonts w:ascii="Times New Roman" w:hAnsi="Times New Roman" w:cs="Times New Roman"/>
          <w:sz w:val="24"/>
          <w:szCs w:val="24"/>
        </w:rPr>
        <w:t>F</w:t>
      </w:r>
      <w:r>
        <w:rPr>
          <w:rFonts w:ascii="Times New Roman" w:hAnsi="Times New Roman" w:cs="Times New Roman" w:hint="eastAsia"/>
          <w:sz w:val="24"/>
          <w:szCs w:val="24"/>
        </w:rPr>
        <w:t>i</w:t>
      </w:r>
      <w:r>
        <w:rPr>
          <w:rFonts w:ascii="Times New Roman" w:hAnsi="Times New Roman" w:cs="Times New Roman"/>
          <w:sz w:val="24"/>
          <w:szCs w:val="24"/>
        </w:rPr>
        <w:t xml:space="preserve">gure </w:t>
      </w:r>
      <w:r w:rsidR="00342D32">
        <w:rPr>
          <w:rFonts w:ascii="Times New Roman" w:hAnsi="Times New Roman" w:cs="Times New Roman"/>
          <w:sz w:val="24"/>
          <w:szCs w:val="24"/>
        </w:rPr>
        <w:t>S2</w:t>
      </w:r>
      <w:r>
        <w:rPr>
          <w:rFonts w:ascii="Times New Roman" w:hAnsi="Times New Roman" w:cs="Times New Roman"/>
          <w:sz w:val="24"/>
          <w:szCs w:val="24"/>
        </w:rPr>
        <w:t xml:space="preserve">. </w:t>
      </w:r>
      <w:r w:rsidR="00CD4DE0" w:rsidRPr="00200B4E">
        <w:rPr>
          <w:rFonts w:ascii="Times New Roman" w:hAnsi="Times New Roman" w:cs="Times New Roman"/>
          <w:sz w:val="24"/>
          <w:szCs w:val="24"/>
        </w:rPr>
        <w:t>Temporal trends in age-standardized (world 1960 Segi population) ovarian cancer incidence rates per 100,000 women for non-European countries for all ages from 1973 to 2015.</w:t>
      </w:r>
    </w:p>
    <w:p w14:paraId="7294FAFB" w14:textId="77777777" w:rsidR="009953C6" w:rsidRPr="006D3042" w:rsidRDefault="009953C6">
      <w:pPr>
        <w:rPr>
          <w:rFonts w:ascii="Times New Roman" w:hAnsi="Times New Roman" w:cs="Times New Roman"/>
          <w:sz w:val="24"/>
          <w:szCs w:val="24"/>
        </w:rPr>
      </w:pPr>
      <w:r w:rsidRPr="006D3042">
        <w:rPr>
          <w:rFonts w:ascii="Times New Roman" w:hAnsi="Times New Roman" w:cs="Times New Roman"/>
          <w:noProof/>
          <w:sz w:val="24"/>
          <w:szCs w:val="24"/>
        </w:rPr>
        <w:lastRenderedPageBreak/>
        <w:drawing>
          <wp:inline distT="0" distB="0" distL="0" distR="0" wp14:anchorId="644868DA" wp14:editId="5A7218E3">
            <wp:extent cx="6635750" cy="90678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3.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2303" cy="9076755"/>
                    </a:xfrm>
                    <a:prstGeom prst="rect">
                      <a:avLst/>
                    </a:prstGeom>
                  </pic:spPr>
                </pic:pic>
              </a:graphicData>
            </a:graphic>
          </wp:inline>
        </w:drawing>
      </w:r>
    </w:p>
    <w:p w14:paraId="433244DE" w14:textId="6B070528" w:rsidR="00CD4DE0" w:rsidRPr="00200B4E" w:rsidRDefault="00A978E8" w:rsidP="00200B4E">
      <w:pPr>
        <w:rPr>
          <w:rFonts w:ascii="Times New Roman" w:hAnsi="Times New Roman" w:cs="Times New Roman"/>
          <w:sz w:val="24"/>
          <w:szCs w:val="24"/>
        </w:rPr>
        <w:sectPr w:rsidR="00CD4DE0" w:rsidRPr="00200B4E" w:rsidSect="0042307E">
          <w:type w:val="continuous"/>
          <w:pgSz w:w="11906" w:h="16838"/>
          <w:pgMar w:top="720" w:right="720" w:bottom="720" w:left="720" w:header="851" w:footer="992" w:gutter="0"/>
          <w:cols w:space="425"/>
          <w:docGrid w:type="lines" w:linePitch="312"/>
        </w:sectPr>
      </w:pPr>
      <w:r w:rsidRPr="00A978E8">
        <w:rPr>
          <w:rFonts w:ascii="Times New Roman" w:hAnsi="Times New Roman" w:cs="Times New Roman"/>
          <w:sz w:val="24"/>
          <w:szCs w:val="24"/>
        </w:rPr>
        <w:t>Figure S3. Average annual percentage change in ovarian cancer incidence rates for all ages in the most recent 10-year period available. * Average annual percent change is significantly different from zero.</w:t>
      </w:r>
    </w:p>
    <w:p w14:paraId="75438994" w14:textId="77777777" w:rsidR="009953C6" w:rsidRPr="006D3042" w:rsidRDefault="009953C6">
      <w:pPr>
        <w:rPr>
          <w:rFonts w:ascii="Times New Roman" w:hAnsi="Times New Roman" w:cs="Times New Roman"/>
          <w:sz w:val="24"/>
          <w:szCs w:val="24"/>
        </w:rPr>
      </w:pPr>
      <w:r w:rsidRPr="006D3042">
        <w:rPr>
          <w:rFonts w:ascii="Times New Roman" w:hAnsi="Times New Roman" w:cs="Times New Roman"/>
          <w:noProof/>
          <w:sz w:val="24"/>
          <w:szCs w:val="24"/>
        </w:rPr>
        <w:lastRenderedPageBreak/>
        <w:drawing>
          <wp:inline distT="0" distB="0" distL="0" distR="0" wp14:anchorId="70FF8E7D" wp14:editId="1935E43F">
            <wp:extent cx="9752965" cy="6057900"/>
            <wp:effectExtent l="0" t="0" r="63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4.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760686" cy="6062696"/>
                    </a:xfrm>
                    <a:prstGeom prst="rect">
                      <a:avLst/>
                    </a:prstGeom>
                  </pic:spPr>
                </pic:pic>
              </a:graphicData>
            </a:graphic>
          </wp:inline>
        </w:drawing>
      </w:r>
    </w:p>
    <w:p w14:paraId="39C90AA2" w14:textId="04994713" w:rsidR="009953C6" w:rsidRPr="00200B4E" w:rsidRDefault="00A978E8" w:rsidP="00200B4E">
      <w:pPr>
        <w:rPr>
          <w:rFonts w:ascii="Times New Roman" w:hAnsi="Times New Roman" w:cs="Times New Roman"/>
          <w:sz w:val="24"/>
          <w:szCs w:val="24"/>
        </w:rPr>
      </w:pPr>
      <w:r w:rsidRPr="00A978E8">
        <w:rPr>
          <w:rFonts w:ascii="Times New Roman" w:hAnsi="Times New Roman" w:cs="Times New Roman"/>
          <w:sz w:val="24"/>
          <w:szCs w:val="24"/>
        </w:rPr>
        <w:t>Figure S4. Ovarian cancer incidence rates per 100,000 women by year of birth for European countries. For each graph, the rates in 5-year age groups (e.g., 20–24, 25–29, …, 80–84) are plotted.</w:t>
      </w:r>
    </w:p>
    <w:p w14:paraId="050BCDB3" w14:textId="21B0FDC8" w:rsidR="0042307E" w:rsidRPr="006D3042" w:rsidRDefault="0042307E">
      <w:pPr>
        <w:rPr>
          <w:rFonts w:ascii="Times New Roman" w:hAnsi="Times New Roman" w:cs="Times New Roman"/>
          <w:sz w:val="24"/>
          <w:szCs w:val="24"/>
        </w:rPr>
      </w:pPr>
      <w:r w:rsidRPr="006D3042">
        <w:rPr>
          <w:rFonts w:ascii="Times New Roman" w:hAnsi="Times New Roman" w:cs="Times New Roman"/>
          <w:noProof/>
          <w:sz w:val="24"/>
          <w:szCs w:val="24"/>
        </w:rPr>
        <w:lastRenderedPageBreak/>
        <w:drawing>
          <wp:inline distT="0" distB="0" distL="0" distR="0" wp14:anchorId="3F3C4C9E" wp14:editId="2F6D50DB">
            <wp:extent cx="9784715" cy="6019800"/>
            <wp:effectExtent l="0" t="0" r="698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S5.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798528" cy="6028298"/>
                    </a:xfrm>
                    <a:prstGeom prst="rect">
                      <a:avLst/>
                    </a:prstGeom>
                  </pic:spPr>
                </pic:pic>
              </a:graphicData>
            </a:graphic>
          </wp:inline>
        </w:drawing>
      </w:r>
    </w:p>
    <w:p w14:paraId="1E04B1AF" w14:textId="532A6EB1" w:rsidR="0042307E" w:rsidRPr="00200B4E" w:rsidRDefault="00A978E8" w:rsidP="00200B4E">
      <w:pPr>
        <w:rPr>
          <w:rFonts w:ascii="Times New Roman" w:hAnsi="Times New Roman" w:cs="Times New Roman"/>
          <w:sz w:val="24"/>
          <w:szCs w:val="24"/>
        </w:rPr>
      </w:pPr>
      <w:r w:rsidRPr="00A978E8">
        <w:rPr>
          <w:rFonts w:ascii="Times New Roman" w:hAnsi="Times New Roman" w:cs="Times New Roman"/>
          <w:sz w:val="24"/>
          <w:szCs w:val="24"/>
        </w:rPr>
        <w:t>Figure S5. Ovarian cancer incidence rates per 100,000 women by year of birth for non-European countries. For each graph, the rates in 5-year age groups (e.g., 20–24, 25–29, …, 80–84) are plotted.</w:t>
      </w:r>
      <w:bookmarkStart w:id="0" w:name="_GoBack"/>
      <w:bookmarkEnd w:id="0"/>
    </w:p>
    <w:p w14:paraId="47EA10E5" w14:textId="50010FF1" w:rsidR="0042307E" w:rsidRPr="006D3042" w:rsidRDefault="0042307E">
      <w:pPr>
        <w:rPr>
          <w:rFonts w:ascii="Times New Roman" w:hAnsi="Times New Roman" w:cs="Times New Roman"/>
          <w:sz w:val="24"/>
          <w:szCs w:val="24"/>
        </w:rPr>
      </w:pPr>
      <w:r w:rsidRPr="006D3042">
        <w:rPr>
          <w:rFonts w:ascii="Times New Roman" w:hAnsi="Times New Roman" w:cs="Times New Roman"/>
          <w:noProof/>
          <w:sz w:val="24"/>
          <w:szCs w:val="24"/>
        </w:rPr>
        <w:lastRenderedPageBreak/>
        <w:drawing>
          <wp:inline distT="0" distB="0" distL="0" distR="0" wp14:anchorId="19D9B541" wp14:editId="4297AE28">
            <wp:extent cx="9766300" cy="6038850"/>
            <wp:effectExtent l="0" t="0" r="635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S6.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766300" cy="6038850"/>
                    </a:xfrm>
                    <a:prstGeom prst="rect">
                      <a:avLst/>
                    </a:prstGeom>
                  </pic:spPr>
                </pic:pic>
              </a:graphicData>
            </a:graphic>
          </wp:inline>
        </w:drawing>
      </w:r>
    </w:p>
    <w:p w14:paraId="1BA962C5" w14:textId="1231DF48" w:rsidR="0042307E" w:rsidRPr="00200B4E" w:rsidRDefault="00200B4E" w:rsidP="00200B4E">
      <w:pPr>
        <w:rPr>
          <w:rFonts w:ascii="Times New Roman" w:hAnsi="Times New Roman" w:cs="Times New Roman"/>
          <w:sz w:val="24"/>
          <w:szCs w:val="24"/>
        </w:rPr>
      </w:pPr>
      <w:r>
        <w:rPr>
          <w:rFonts w:ascii="Times New Roman" w:hAnsi="Times New Roman" w:cs="Times New Roman"/>
          <w:sz w:val="24"/>
          <w:szCs w:val="24"/>
        </w:rPr>
        <w:t>F</w:t>
      </w:r>
      <w:r>
        <w:rPr>
          <w:rFonts w:ascii="Times New Roman" w:hAnsi="Times New Roman" w:cs="Times New Roman" w:hint="eastAsia"/>
          <w:sz w:val="24"/>
          <w:szCs w:val="24"/>
        </w:rPr>
        <w:t>i</w:t>
      </w:r>
      <w:r>
        <w:rPr>
          <w:rFonts w:ascii="Times New Roman" w:hAnsi="Times New Roman" w:cs="Times New Roman"/>
          <w:sz w:val="24"/>
          <w:szCs w:val="24"/>
        </w:rPr>
        <w:t xml:space="preserve">gure </w:t>
      </w:r>
      <w:r w:rsidR="00342D32">
        <w:rPr>
          <w:rFonts w:ascii="Times New Roman" w:hAnsi="Times New Roman" w:cs="Times New Roman"/>
          <w:sz w:val="24"/>
          <w:szCs w:val="24"/>
        </w:rPr>
        <w:t>S6</w:t>
      </w:r>
      <w:r>
        <w:rPr>
          <w:rFonts w:ascii="Times New Roman" w:hAnsi="Times New Roman" w:cs="Times New Roman"/>
          <w:sz w:val="24"/>
          <w:szCs w:val="24"/>
        </w:rPr>
        <w:t xml:space="preserve">. </w:t>
      </w:r>
      <w:r w:rsidR="00973E3C" w:rsidRPr="00200B4E">
        <w:rPr>
          <w:rFonts w:ascii="Times New Roman" w:hAnsi="Times New Roman" w:cs="Times New Roman"/>
          <w:sz w:val="24"/>
          <w:szCs w:val="24"/>
        </w:rPr>
        <w:t>Fitted age-specific ovarian cancer incidence rates per 100,000 women (left) and incidence rate ratios by birth cohort (right) in European countries. The default is for the reference points at the median value (with respect to the number of cases) for the cohort to be variable.</w:t>
      </w:r>
    </w:p>
    <w:p w14:paraId="2CB1A621" w14:textId="33C758DC" w:rsidR="003E2B1C" w:rsidRPr="006D3042" w:rsidRDefault="0042307E">
      <w:pPr>
        <w:rPr>
          <w:rFonts w:ascii="Times New Roman" w:hAnsi="Times New Roman" w:cs="Times New Roman"/>
          <w:sz w:val="24"/>
          <w:szCs w:val="24"/>
        </w:rPr>
      </w:pPr>
      <w:r w:rsidRPr="006D3042">
        <w:rPr>
          <w:rFonts w:ascii="Times New Roman" w:hAnsi="Times New Roman" w:cs="Times New Roman"/>
          <w:noProof/>
          <w:sz w:val="24"/>
          <w:szCs w:val="24"/>
        </w:rPr>
        <w:lastRenderedPageBreak/>
        <w:drawing>
          <wp:inline distT="0" distB="0" distL="0" distR="0" wp14:anchorId="0B6E9CB6" wp14:editId="435E8F63">
            <wp:extent cx="9777730" cy="6070600"/>
            <wp:effectExtent l="0" t="0" r="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S7.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796039" cy="6081967"/>
                    </a:xfrm>
                    <a:prstGeom prst="rect">
                      <a:avLst/>
                    </a:prstGeom>
                  </pic:spPr>
                </pic:pic>
              </a:graphicData>
            </a:graphic>
          </wp:inline>
        </w:drawing>
      </w:r>
    </w:p>
    <w:p w14:paraId="01A8C857" w14:textId="064D4695" w:rsidR="0042307E" w:rsidRPr="00200B4E" w:rsidRDefault="00200B4E" w:rsidP="00200B4E">
      <w:pPr>
        <w:rPr>
          <w:rFonts w:ascii="Times New Roman" w:hAnsi="Times New Roman" w:cs="Times New Roman"/>
          <w:sz w:val="24"/>
          <w:szCs w:val="24"/>
        </w:rPr>
      </w:pPr>
      <w:r>
        <w:rPr>
          <w:rFonts w:ascii="Times New Roman" w:hAnsi="Times New Roman" w:cs="Times New Roman"/>
          <w:sz w:val="24"/>
          <w:szCs w:val="24"/>
        </w:rPr>
        <w:t>F</w:t>
      </w:r>
      <w:r>
        <w:rPr>
          <w:rFonts w:ascii="Times New Roman" w:hAnsi="Times New Roman" w:cs="Times New Roman" w:hint="eastAsia"/>
          <w:sz w:val="24"/>
          <w:szCs w:val="24"/>
        </w:rPr>
        <w:t>i</w:t>
      </w:r>
      <w:r>
        <w:rPr>
          <w:rFonts w:ascii="Times New Roman" w:hAnsi="Times New Roman" w:cs="Times New Roman"/>
          <w:sz w:val="24"/>
          <w:szCs w:val="24"/>
        </w:rPr>
        <w:t xml:space="preserve">gure </w:t>
      </w:r>
      <w:r w:rsidR="00342D32">
        <w:rPr>
          <w:rFonts w:ascii="Times New Roman" w:hAnsi="Times New Roman" w:cs="Times New Roman"/>
          <w:sz w:val="24"/>
          <w:szCs w:val="24"/>
        </w:rPr>
        <w:t>S7</w:t>
      </w:r>
      <w:r>
        <w:rPr>
          <w:rFonts w:ascii="Times New Roman" w:hAnsi="Times New Roman" w:cs="Times New Roman"/>
          <w:sz w:val="24"/>
          <w:szCs w:val="24"/>
        </w:rPr>
        <w:t xml:space="preserve">. </w:t>
      </w:r>
      <w:r w:rsidR="00973E3C" w:rsidRPr="00200B4E">
        <w:rPr>
          <w:rFonts w:ascii="Times New Roman" w:hAnsi="Times New Roman" w:cs="Times New Roman"/>
          <w:sz w:val="24"/>
          <w:szCs w:val="24"/>
        </w:rPr>
        <w:t>Fitted age-specific ovarian cancer incidence rates per 100,000 women (left) and incidence rate ratios by birth cohort (right) in non-European countries. The default is for the reference points at the median value (with respect to the number of cases) for the cohort to be variable.</w:t>
      </w:r>
    </w:p>
    <w:sectPr w:rsidR="0042307E" w:rsidRPr="00200B4E" w:rsidSect="0042307E">
      <w:pgSz w:w="16838" w:h="11906" w:orient="landscape"/>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6F1A7B" w14:textId="77777777" w:rsidR="00EA2361" w:rsidRDefault="00EA2361" w:rsidP="009953C6">
      <w:r>
        <w:separator/>
      </w:r>
    </w:p>
  </w:endnote>
  <w:endnote w:type="continuationSeparator" w:id="0">
    <w:p w14:paraId="6854CC28" w14:textId="77777777" w:rsidR="00EA2361" w:rsidRDefault="00EA2361" w:rsidP="009953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D056B6" w14:textId="77777777" w:rsidR="00EA2361" w:rsidRDefault="00EA2361" w:rsidP="009953C6">
      <w:r>
        <w:separator/>
      </w:r>
    </w:p>
  </w:footnote>
  <w:footnote w:type="continuationSeparator" w:id="0">
    <w:p w14:paraId="45D74AA4" w14:textId="77777777" w:rsidR="00EA2361" w:rsidRDefault="00EA2361" w:rsidP="009953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C7B86"/>
    <w:multiLevelType w:val="hybridMultilevel"/>
    <w:tmpl w:val="3DA8D044"/>
    <w:lvl w:ilvl="0" w:tplc="DFB01A52">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2B1C"/>
    <w:rsid w:val="00200B4E"/>
    <w:rsid w:val="00282BC3"/>
    <w:rsid w:val="00342D32"/>
    <w:rsid w:val="003E2B1C"/>
    <w:rsid w:val="0042307E"/>
    <w:rsid w:val="006A19CD"/>
    <w:rsid w:val="006D3042"/>
    <w:rsid w:val="007E1D90"/>
    <w:rsid w:val="00973E3C"/>
    <w:rsid w:val="009953C6"/>
    <w:rsid w:val="00A978E8"/>
    <w:rsid w:val="00CD4DE0"/>
    <w:rsid w:val="00EA23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6F8537"/>
  <w15:chartTrackingRefBased/>
  <w15:docId w15:val="{415305A0-EF74-4F1F-A92D-1E366DB8C9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953C6"/>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9953C6"/>
    <w:rPr>
      <w:sz w:val="18"/>
      <w:szCs w:val="18"/>
    </w:rPr>
  </w:style>
  <w:style w:type="paragraph" w:styleId="a5">
    <w:name w:val="footer"/>
    <w:basedOn w:val="a"/>
    <w:link w:val="a6"/>
    <w:uiPriority w:val="99"/>
    <w:unhideWhenUsed/>
    <w:rsid w:val="009953C6"/>
    <w:pPr>
      <w:tabs>
        <w:tab w:val="center" w:pos="4153"/>
        <w:tab w:val="right" w:pos="8306"/>
      </w:tabs>
      <w:snapToGrid w:val="0"/>
      <w:jc w:val="left"/>
    </w:pPr>
    <w:rPr>
      <w:sz w:val="18"/>
      <w:szCs w:val="18"/>
    </w:rPr>
  </w:style>
  <w:style w:type="character" w:customStyle="1" w:styleId="a6">
    <w:name w:val="页脚 字符"/>
    <w:basedOn w:val="a0"/>
    <w:link w:val="a5"/>
    <w:uiPriority w:val="99"/>
    <w:rsid w:val="009953C6"/>
    <w:rPr>
      <w:sz w:val="18"/>
      <w:szCs w:val="18"/>
    </w:rPr>
  </w:style>
  <w:style w:type="paragraph" w:styleId="a7">
    <w:name w:val="List Paragraph"/>
    <w:basedOn w:val="a"/>
    <w:uiPriority w:val="34"/>
    <w:qFormat/>
    <w:rsid w:val="006D3042"/>
    <w:pPr>
      <w:ind w:firstLineChars="200" w:firstLine="420"/>
    </w:pPr>
  </w:style>
  <w:style w:type="paragraph" w:styleId="a8">
    <w:name w:val="Balloon Text"/>
    <w:basedOn w:val="a"/>
    <w:link w:val="a9"/>
    <w:uiPriority w:val="99"/>
    <w:semiHidden/>
    <w:unhideWhenUsed/>
    <w:rsid w:val="00A978E8"/>
    <w:rPr>
      <w:sz w:val="18"/>
      <w:szCs w:val="18"/>
    </w:rPr>
  </w:style>
  <w:style w:type="character" w:customStyle="1" w:styleId="a9">
    <w:name w:val="批注框文本 字符"/>
    <w:basedOn w:val="a0"/>
    <w:link w:val="a8"/>
    <w:uiPriority w:val="99"/>
    <w:semiHidden/>
    <w:rsid w:val="00A978E8"/>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7</Pages>
  <Words>231</Words>
  <Characters>1323</Characters>
  <Application>Microsoft Office Word</Application>
  <DocSecurity>0</DocSecurity>
  <Lines>11</Lines>
  <Paragraphs>3</Paragraphs>
  <ScaleCrop>false</ScaleCrop>
  <Company/>
  <LinksUpToDate>false</LinksUpToDate>
  <CharactersWithSpaces>1551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Ganfeng Luo</dc:creator>
  <cp:keywords/>
  <dc:description/>
  <cp:lastModifiedBy>Ganfeng Luo</cp:lastModifiedBy>
  <cp:revision>8</cp:revision>
  <dcterms:created xsi:type="dcterms:W3CDTF">2019-06-15T14:37:00Z</dcterms:created>
  <dcterms:modified xsi:type="dcterms:W3CDTF">2019-09-03T16:23:00Z</dcterms:modified>
</cp:coreProperties>
</file>