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D82" w:rsidRDefault="00B276C6">
      <w:pPr>
        <w:rPr>
          <w:rFonts w:ascii="Times New Roman" w:hAnsi="Times New Roman" w:cs="Times New Roman"/>
          <w:b/>
          <w:sz w:val="24"/>
          <w:szCs w:val="24"/>
        </w:rPr>
      </w:pPr>
      <w:r>
        <w:rPr>
          <w:rFonts w:ascii="Times New Roman" w:hAnsi="Times New Roman" w:cs="Times New Roman"/>
          <w:b/>
          <w:sz w:val="24"/>
          <w:szCs w:val="24"/>
        </w:rPr>
        <w:t>Appendix S3: Supplementary methods</w:t>
      </w:r>
    </w:p>
    <w:p w:rsidR="006F0D82" w:rsidRDefault="00B276C6">
      <w:pPr>
        <w:tabs>
          <w:tab w:val="left" w:pos="601"/>
        </w:tabs>
        <w:rPr>
          <w:rFonts w:ascii="Times New Roman" w:hAnsi="Times New Roman" w:cs="Times New Roman"/>
          <w:b/>
          <w:sz w:val="24"/>
          <w:szCs w:val="24"/>
        </w:rPr>
      </w:pPr>
      <w:r>
        <w:rPr>
          <w:rFonts w:ascii="Times New Roman" w:hAnsi="Times New Roman" w:cs="Times New Roman"/>
          <w:b/>
          <w:sz w:val="24"/>
          <w:szCs w:val="24"/>
        </w:rPr>
        <w:t>Inverse probability of treatment weighting (IPTW)</w:t>
      </w:r>
    </w:p>
    <w:p w:rsidR="006F0D82" w:rsidRDefault="00B276C6">
      <w:pPr>
        <w:rPr>
          <w:rFonts w:ascii="Times New Roman" w:hAnsi="Times New Roman" w:cs="Times New Roman"/>
          <w:sz w:val="24"/>
          <w:szCs w:val="24"/>
        </w:rPr>
      </w:pPr>
      <w:r>
        <w:rPr>
          <w:rFonts w:ascii="Times New Roman" w:hAnsi="Times New Roman" w:cs="Times New Roman"/>
          <w:sz w:val="24"/>
          <w:szCs w:val="24"/>
        </w:rPr>
        <w:t xml:space="preserve">Age, sex, pEBV-DNA, cervical nodal necrosis, volume, N stage, and T stage were considered in the propensity score model development. First, the above factors were all included in the logistic regression model to predict the choice tendency of ICT+CCT and CCRT. Second, for each continuous variable, the model in the first step was compared with a model that incorporated the restricted cubic spline function with three knots for all continuous variables. </w:t>
      </w:r>
    </w:p>
    <w:p w:rsidR="006F0D82" w:rsidRDefault="00B276C6" w:rsidP="00E93698">
      <w:pPr>
        <w:ind w:firstLineChars="177" w:firstLine="425"/>
        <w:rPr>
          <w:rFonts w:ascii="Times New Roman" w:hAnsi="Times New Roman" w:cs="Times New Roman"/>
          <w:sz w:val="24"/>
          <w:szCs w:val="24"/>
          <w:vertAlign w:val="superscript"/>
        </w:rPr>
      </w:pPr>
      <w:r>
        <w:rPr>
          <w:rFonts w:ascii="Times New Roman" w:hAnsi="Times New Roman" w:cs="Times New Roman"/>
          <w:sz w:val="24"/>
          <w:szCs w:val="24"/>
        </w:rPr>
        <w:t>Standardized differences were used to estimate the balance between treatment groups in the unweighted and weighted samples [</w:t>
      </w:r>
      <w:r>
        <w:rPr>
          <w:rFonts w:ascii="Times New Roman" w:hAnsi="Times New Roman" w:cs="Times New Roman" w:hint="eastAsia"/>
          <w:sz w:val="24"/>
          <w:szCs w:val="24"/>
        </w:rPr>
        <w:t>1</w:t>
      </w:r>
      <w:r>
        <w:rPr>
          <w:rFonts w:ascii="Times New Roman" w:hAnsi="Times New Roman" w:cs="Times New Roman"/>
          <w:sz w:val="24"/>
          <w:szCs w:val="24"/>
        </w:rPr>
        <w:t>]. A standardized difference exceeding 10% means an imbalance in a covariate between two groups [</w:t>
      </w:r>
      <w:r>
        <w:rPr>
          <w:rFonts w:ascii="Times New Roman" w:hAnsi="Times New Roman" w:cs="Times New Roman" w:hint="eastAsia"/>
          <w:sz w:val="24"/>
          <w:szCs w:val="24"/>
        </w:rPr>
        <w:t>2</w:t>
      </w:r>
      <w:r>
        <w:rPr>
          <w:rFonts w:ascii="Times New Roman" w:hAnsi="Times New Roman" w:cs="Times New Roman"/>
          <w:sz w:val="24"/>
          <w:szCs w:val="24"/>
        </w:rPr>
        <w:t>,</w:t>
      </w:r>
      <w:r w:rsidR="00A91799">
        <w:rPr>
          <w:rFonts w:ascii="Times New Roman" w:hAnsi="Times New Roman" w:cs="Times New Roman"/>
          <w:sz w:val="24"/>
          <w:szCs w:val="24"/>
        </w:rPr>
        <w:t xml:space="preserve"> </w:t>
      </w:r>
      <w:r>
        <w:rPr>
          <w:rFonts w:ascii="Times New Roman" w:hAnsi="Times New Roman" w:cs="Times New Roman" w:hint="eastAsia"/>
          <w:sz w:val="24"/>
          <w:szCs w:val="24"/>
        </w:rPr>
        <w:t>3</w:t>
      </w:r>
      <w:r>
        <w:rPr>
          <w:rFonts w:ascii="Times New Roman" w:hAnsi="Times New Roman" w:cs="Times New Roman"/>
          <w:sz w:val="24"/>
          <w:szCs w:val="24"/>
        </w:rPr>
        <w:t>].</w:t>
      </w:r>
    </w:p>
    <w:p w:rsidR="006F0D82" w:rsidRDefault="006F0D82" w:rsidP="00E93698">
      <w:pPr>
        <w:ind w:firstLineChars="177" w:firstLine="425"/>
        <w:rPr>
          <w:rFonts w:ascii="Times New Roman" w:hAnsi="Times New Roman" w:cs="Times New Roman"/>
          <w:sz w:val="24"/>
          <w:szCs w:val="24"/>
        </w:rPr>
      </w:pPr>
    </w:p>
    <w:p w:rsidR="006F0D82" w:rsidRDefault="00B276C6">
      <w:pPr>
        <w:rPr>
          <w:rFonts w:ascii="Times New Roman" w:hAnsi="Times New Roman" w:cs="Times New Roman"/>
          <w:b/>
          <w:sz w:val="24"/>
          <w:szCs w:val="24"/>
        </w:rPr>
      </w:pPr>
      <w:r>
        <w:rPr>
          <w:rFonts w:ascii="Times New Roman" w:hAnsi="Times New Roman" w:cs="Times New Roman" w:hint="eastAsia"/>
          <w:b/>
          <w:sz w:val="24"/>
          <w:szCs w:val="24"/>
        </w:rPr>
        <w:t>I</w:t>
      </w:r>
      <w:r>
        <w:rPr>
          <w:rFonts w:ascii="Times New Roman" w:hAnsi="Times New Roman" w:cs="Times New Roman"/>
          <w:b/>
          <w:sz w:val="24"/>
          <w:szCs w:val="24"/>
        </w:rPr>
        <w:t xml:space="preserve">mage pre-processing </w:t>
      </w:r>
    </w:p>
    <w:p w:rsidR="006F0D82" w:rsidRDefault="00B276C6">
      <w:pPr>
        <w:pStyle w:val="ab"/>
        <w:numPr>
          <w:ilvl w:val="0"/>
          <w:numId w:val="1"/>
        </w:numPr>
        <w:ind w:firstLineChars="0"/>
        <w:rPr>
          <w:rFonts w:ascii="Times New Roman" w:hAnsi="Times New Roman" w:cs="Times New Roman"/>
          <w:b/>
          <w:sz w:val="24"/>
          <w:szCs w:val="24"/>
        </w:rPr>
      </w:pPr>
      <w:r>
        <w:rPr>
          <w:rFonts w:ascii="Times New Roman" w:hAnsi="Times New Roman" w:cs="Times New Roman"/>
          <w:b/>
          <w:sz w:val="24"/>
          <w:szCs w:val="24"/>
        </w:rPr>
        <w:t>Interpolation</w:t>
      </w:r>
    </w:p>
    <w:p w:rsidR="006F0D82" w:rsidRDefault="00B276C6">
      <w:pPr>
        <w:rPr>
          <w:rFonts w:ascii="Times New Roman" w:hAnsi="Times New Roman" w:cs="Times New Roman"/>
          <w:sz w:val="24"/>
          <w:szCs w:val="24"/>
        </w:rPr>
      </w:pPr>
      <w:r>
        <w:rPr>
          <w:rFonts w:ascii="Times New Roman" w:hAnsi="Times New Roman" w:cs="Times New Roman"/>
          <w:sz w:val="24"/>
          <w:szCs w:val="24"/>
        </w:rPr>
        <w:t>Several studies have shown that the in-plane voxel size has an impact on some radiomic features [</w:t>
      </w:r>
      <w:r>
        <w:rPr>
          <w:rFonts w:ascii="Times New Roman" w:hAnsi="Times New Roman" w:cs="Times New Roman" w:hint="eastAsia"/>
          <w:sz w:val="24"/>
          <w:szCs w:val="24"/>
        </w:rPr>
        <w:t>4</w:t>
      </w:r>
      <w:r>
        <w:rPr>
          <w:rFonts w:ascii="Times New Roman" w:hAnsi="Times New Roman" w:cs="Times New Roman"/>
          <w:sz w:val="24"/>
          <w:szCs w:val="24"/>
        </w:rPr>
        <w:t xml:space="preserve">]. There exist a number of in-plane pixel pitch in all MR image (0.51 </w:t>
      </w:r>
      <w:r>
        <w:rPr>
          <w:rFonts w:ascii="Times New Roman" w:hAnsi="Times New Roman" w:cs="Times New Roman"/>
          <w:sz w:val="24"/>
          <w:szCs w:val="24"/>
          <w:u w:val="single"/>
        </w:rPr>
        <w:t>+</w:t>
      </w:r>
      <w:r>
        <w:rPr>
          <w:rFonts w:ascii="Times New Roman" w:hAnsi="Times New Roman" w:cs="Times New Roman"/>
          <w:sz w:val="24"/>
          <w:szCs w:val="24"/>
        </w:rPr>
        <w:t xml:space="preserve"> 0.08 </w:t>
      </w:r>
      <w:r>
        <w:rPr>
          <w:rFonts w:ascii="Times New Roman" w:hAnsi="Times New Roman" w:cs="Times New Roman" w:hint="eastAsia"/>
          <w:sz w:val="24"/>
          <w:szCs w:val="24"/>
        </w:rPr>
        <w:t>mm).</w:t>
      </w:r>
      <w:r>
        <w:rPr>
          <w:rFonts w:ascii="Times New Roman" w:hAnsi="Times New Roman" w:cs="Times New Roman"/>
          <w:sz w:val="24"/>
          <w:szCs w:val="24"/>
        </w:rPr>
        <w:t xml:space="preserve"> </w:t>
      </w:r>
      <w:r>
        <w:rPr>
          <w:rFonts w:ascii="Times New Roman" w:hAnsi="Times New Roman" w:cs="Times New Roman" w:hint="eastAsia"/>
          <w:sz w:val="24"/>
          <w:szCs w:val="24"/>
        </w:rPr>
        <w:t>I</w:t>
      </w:r>
      <w:r>
        <w:rPr>
          <w:rFonts w:ascii="Times New Roman" w:hAnsi="Times New Roman" w:cs="Times New Roman"/>
          <w:sz w:val="24"/>
          <w:szCs w:val="24"/>
        </w:rPr>
        <w:t>n order to reduce this kind of bias, we adjusted in-plane voxel size of MR image to 0.5 mm using bilinear interpolation.</w:t>
      </w:r>
    </w:p>
    <w:p w:rsidR="006F0D82" w:rsidRDefault="00B276C6">
      <w:pPr>
        <w:pStyle w:val="ab"/>
        <w:numPr>
          <w:ilvl w:val="0"/>
          <w:numId w:val="1"/>
        </w:numPr>
        <w:ind w:firstLineChars="0"/>
        <w:rPr>
          <w:rFonts w:ascii="Times New Roman" w:hAnsi="Times New Roman" w:cs="Times New Roman"/>
          <w:b/>
          <w:sz w:val="24"/>
          <w:szCs w:val="24"/>
        </w:rPr>
      </w:pPr>
      <w:r>
        <w:rPr>
          <w:rFonts w:ascii="Times New Roman" w:hAnsi="Times New Roman" w:cs="Times New Roman"/>
          <w:b/>
          <w:sz w:val="24"/>
          <w:szCs w:val="24"/>
        </w:rPr>
        <w:t>Image intensity normalization</w:t>
      </w:r>
    </w:p>
    <w:p w:rsidR="006F0D82" w:rsidRDefault="00B276C6">
      <w:pPr>
        <w:rPr>
          <w:rFonts w:ascii="Times New Roman" w:hAnsi="Times New Roman" w:cs="Times New Roman"/>
          <w:sz w:val="24"/>
          <w:szCs w:val="24"/>
        </w:rPr>
      </w:pPr>
      <w:r>
        <w:rPr>
          <w:rFonts w:ascii="Times New Roman" w:hAnsi="Times New Roman" w:cs="Times New Roman"/>
          <w:sz w:val="24"/>
          <w:szCs w:val="24"/>
        </w:rPr>
        <w:t xml:space="preserve">The extracted features in texture analysis and quantitative analysis of MRI images </w:t>
      </w:r>
      <w:r>
        <w:rPr>
          <w:rFonts w:ascii="Times New Roman" w:hAnsi="Times New Roman" w:cs="Times New Roman"/>
          <w:sz w:val="24"/>
          <w:szCs w:val="24"/>
        </w:rPr>
        <w:lastRenderedPageBreak/>
        <w:t xml:space="preserve">may be incomparable between consecutive or repeated scans or, within the same scan but between different anatomic regions. Therefore, normalization should be performed to control inter-scanner and inter-vendor variability of features. </w:t>
      </w:r>
      <w:r>
        <w:rPr>
          <w:rFonts w:ascii="Times New Roman" w:hAnsi="Times New Roman" w:cs="Times New Roman" w:hint="eastAsia"/>
          <w:sz w:val="24"/>
          <w:szCs w:val="24"/>
        </w:rPr>
        <w:t>We</w:t>
      </w:r>
      <w:r>
        <w:rPr>
          <w:rFonts w:ascii="Times New Roman" w:hAnsi="Times New Roman" w:cs="Times New Roman"/>
          <w:sz w:val="24"/>
          <w:szCs w:val="24"/>
        </w:rPr>
        <w:t xml:space="preserve"> used a histogram matching method for normalization. All image intensities were normalized according to the following equation after the bilinear interpolation</w:t>
      </w:r>
      <w:r w:rsidR="00522669">
        <w:rPr>
          <w:rFonts w:ascii="Times New Roman" w:hAnsi="Times New Roman" w:cs="Times New Roman"/>
          <w:sz w:val="24"/>
          <w:szCs w:val="24"/>
        </w:rPr>
        <w:t xml:space="preserve"> [5]</w:t>
      </w:r>
      <w:r>
        <w:rPr>
          <w:rFonts w:ascii="Times New Roman" w:hAnsi="Times New Roman" w:cs="Times New Roman"/>
          <w:sz w:val="24"/>
          <w:szCs w:val="24"/>
        </w:rPr>
        <w:t>:</w:t>
      </w:r>
    </w:p>
    <w:p w:rsidR="006F0D82" w:rsidRDefault="008D6E22">
      <w:pPr>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1</m:t>
              </m:r>
            </m:sub>
          </m:sSub>
          <m:r>
            <w:rPr>
              <w:rFonts w:ascii="Cambria Math" w:hAnsi="Cambria Math" w:cs="Times New Roman"/>
              <w:sz w:val="24"/>
              <w:szCs w:val="24"/>
            </w:rPr>
            <m:t>=1000×</m:t>
          </m:r>
          <m:f>
            <m:fPr>
              <m:ctrlPr>
                <w:rPr>
                  <w:rFonts w:ascii="Cambria Math" w:hAnsi="Cambria Math" w:cs="Times New Roman"/>
                  <w:i/>
                  <w:sz w:val="24"/>
                  <w:szCs w:val="24"/>
                </w:rPr>
              </m:ctrlPr>
            </m:fPr>
            <m:num>
              <m:r>
                <w:rPr>
                  <w:rFonts w:ascii="Cambria Math" w:hAnsi="Cambria Math" w:cs="Times New Roman"/>
                  <w:sz w:val="24"/>
                  <w:szCs w:val="24"/>
                </w:rPr>
                <m:t>I</m:t>
              </m:r>
            </m:num>
            <m:den>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0.85</m:t>
                  </m:r>
                </m:sub>
              </m:sSub>
            </m:den>
          </m:f>
        </m:oMath>
      </m:oMathPara>
    </w:p>
    <w:p w:rsidR="006F0D82" w:rsidRDefault="008D6E22">
      <w:pPr>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new</m:t>
              </m:r>
            </m:sub>
          </m:sSub>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m>
                <m:mPr>
                  <m:cGp m:val="8"/>
                  <m:mcs>
                    <m:mc>
                      <m:mcPr>
                        <m:count m:val="1"/>
                        <m:mcJc m:val="left"/>
                      </m:mcPr>
                    </m:mc>
                  </m:mcs>
                  <m:ctrlPr>
                    <w:rPr>
                      <w:rFonts w:ascii="Cambria Math" w:hAnsi="Cambria Math" w:cs="Times New Roman"/>
                      <w:i/>
                      <w:sz w:val="24"/>
                      <w:szCs w:val="24"/>
                    </w:rPr>
                  </m:ctrlPr>
                </m:mPr>
                <m:mr>
                  <m:e>
                    <m:r>
                      <w:rPr>
                        <w:rFonts w:ascii="Cambria Math" w:hAnsi="Cambria Math" w:cs="Times New Roman"/>
                        <w:sz w:val="24"/>
                        <w:szCs w:val="24"/>
                      </w:rPr>
                      <m:t xml:space="preserve">  0  ,    </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1</m:t>
                        </m:r>
                      </m:sub>
                    </m:sSub>
                    <m:r>
                      <w:rPr>
                        <w:rFonts w:ascii="Cambria Math" w:hAnsi="Cambria Math" w:cs="Times New Roman"/>
                        <w:sz w:val="24"/>
                        <w:szCs w:val="24"/>
                      </w:rPr>
                      <m:t>≤0</m:t>
                    </m:r>
                  </m:e>
                </m:mr>
                <m:mr>
                  <m:e>
                    <m:sSub>
                      <m:sSubPr>
                        <m:ctrlPr>
                          <w:rPr>
                            <w:rFonts w:ascii="Cambria Math" w:hAnsi="Cambria Math" w:cs="Times New Roman"/>
                            <w:i/>
                            <w:sz w:val="24"/>
                            <w:szCs w:val="24"/>
                          </w:rPr>
                        </m:ctrlPr>
                      </m:sSubPr>
                      <m:e>
                        <m:r>
                          <w:rPr>
                            <w:rFonts w:ascii="Cambria Math" w:hAnsi="Cambria Math" w:cs="Times New Roman"/>
                            <w:sz w:val="24"/>
                            <w:szCs w:val="24"/>
                          </w:rPr>
                          <m:t xml:space="preserve">  I</m:t>
                        </m:r>
                      </m:e>
                      <m:sub>
                        <m:r>
                          <w:rPr>
                            <w:rFonts w:ascii="Cambria Math" w:hAnsi="Cambria Math" w:cs="Times New Roman"/>
                            <w:sz w:val="24"/>
                            <w:szCs w:val="24"/>
                          </w:rPr>
                          <m:t>1</m:t>
                        </m:r>
                      </m:sub>
                    </m:sSub>
                    <m:r>
                      <w:rPr>
                        <w:rFonts w:ascii="Cambria Math" w:hAnsi="Cambria Math" w:cs="Times New Roman"/>
                        <w:sz w:val="24"/>
                        <w:szCs w:val="24"/>
                      </w:rPr>
                      <m:t xml:space="preserve">  , 0&lt;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1</m:t>
                        </m:r>
                      </m:sub>
                    </m:sSub>
                    <m:r>
                      <w:rPr>
                        <w:rFonts w:ascii="Cambria Math" w:hAnsi="Cambria Math" w:cs="Times New Roman"/>
                        <w:sz w:val="24"/>
                        <w:szCs w:val="24"/>
                      </w:rPr>
                      <m:t>&lt;2048</m:t>
                    </m:r>
                  </m:e>
                </m:mr>
                <m:mr>
                  <m:e>
                    <m:r>
                      <w:rPr>
                        <w:rFonts w:ascii="Cambria Math" w:hAnsi="Cambria Math" w:cs="Times New Roman"/>
                        <w:sz w:val="24"/>
                        <w:szCs w:val="24"/>
                      </w:rPr>
                      <m:t xml:space="preserve">2048 ,   </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1</m:t>
                        </m:r>
                      </m:sub>
                    </m:sSub>
                    <m:r>
                      <w:rPr>
                        <w:rFonts w:ascii="Cambria Math" w:hAnsi="Cambria Math" w:cs="Times New Roman"/>
                        <w:sz w:val="24"/>
                        <w:szCs w:val="24"/>
                      </w:rPr>
                      <m:t>≥2048</m:t>
                    </m:r>
                  </m:e>
                </m:mr>
              </m:m>
            </m:e>
          </m:d>
        </m:oMath>
      </m:oMathPara>
    </w:p>
    <w:p w:rsidR="006F0D82" w:rsidRDefault="00B276C6">
      <w:pPr>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i/>
          <w:sz w:val="24"/>
          <w:szCs w:val="24"/>
        </w:rPr>
        <w:t>I</w:t>
      </w:r>
      <w:r>
        <w:rPr>
          <w:rFonts w:ascii="Times New Roman" w:hAnsi="Times New Roman" w:cs="Times New Roman"/>
          <w:sz w:val="24"/>
          <w:szCs w:val="24"/>
        </w:rPr>
        <w:t xml:space="preserve"> denotes an MR image of a subject and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0.85</m:t>
            </m:r>
          </m:sub>
        </m:sSub>
      </m:oMath>
      <w:r>
        <w:rPr>
          <w:rFonts w:ascii="Times New Roman" w:hAnsi="Times New Roman" w:cs="Times New Roman"/>
          <w:sz w:val="24"/>
          <w:szCs w:val="24"/>
        </w:rPr>
        <w:t xml:space="preserve"> denotes the value of the first 85% of </w:t>
      </w:r>
      <w:r>
        <w:rPr>
          <w:rFonts w:ascii="Times New Roman" w:hAnsi="Times New Roman" w:cs="Times New Roman"/>
          <w:i/>
          <w:sz w:val="24"/>
          <w:szCs w:val="24"/>
        </w:rPr>
        <w:t>I</w:t>
      </w:r>
      <w:r>
        <w:rPr>
          <w:rFonts w:ascii="Times New Roman" w:hAnsi="Times New Roman" w:cs="Times New Roman"/>
          <w:sz w:val="24"/>
          <w:szCs w:val="24"/>
        </w:rPr>
        <w:t>.</w:t>
      </w:r>
    </w:p>
    <w:p w:rsidR="006F0D82" w:rsidRDefault="00B276C6" w:rsidP="00E93698">
      <w:pPr>
        <w:pStyle w:val="ab"/>
        <w:numPr>
          <w:ilvl w:val="0"/>
          <w:numId w:val="1"/>
        </w:numPr>
        <w:ind w:firstLineChars="0"/>
        <w:rPr>
          <w:rFonts w:ascii="Times New Roman" w:hAnsi="Times New Roman" w:cs="Times New Roman"/>
          <w:b/>
          <w:sz w:val="24"/>
          <w:szCs w:val="24"/>
        </w:rPr>
      </w:pPr>
      <w:r>
        <w:rPr>
          <w:rFonts w:ascii="Times New Roman" w:hAnsi="Times New Roman" w:cs="Times New Roman" w:hint="eastAsia"/>
          <w:b/>
          <w:sz w:val="24"/>
          <w:szCs w:val="24"/>
        </w:rPr>
        <w:t>I</w:t>
      </w:r>
      <w:r>
        <w:rPr>
          <w:rFonts w:ascii="Times New Roman" w:hAnsi="Times New Roman" w:cs="Times New Roman"/>
          <w:b/>
          <w:sz w:val="24"/>
          <w:szCs w:val="24"/>
        </w:rPr>
        <w:t>mage filtering</w:t>
      </w:r>
    </w:p>
    <w:p w:rsidR="006F0D82" w:rsidRPr="00E93698" w:rsidRDefault="00B276C6">
      <w:pPr>
        <w:rPr>
          <w:rFonts w:ascii="Times New Roman" w:hAnsi="Times New Roman" w:cs="Times New Roman"/>
          <w:sz w:val="24"/>
          <w:szCs w:val="24"/>
        </w:rPr>
      </w:pPr>
      <w:r>
        <w:rPr>
          <w:rFonts w:ascii="Times New Roman" w:hAnsi="Times New Roman" w:cs="Times New Roman"/>
          <w:sz w:val="24"/>
          <w:szCs w:val="24"/>
        </w:rPr>
        <w:t xml:space="preserve">Wavelet filtering is performed in each image to extract radiomic features different frequency domains. </w:t>
      </w:r>
      <w:r w:rsidRPr="00E93698">
        <w:rPr>
          <w:rFonts w:ascii="Times New Roman" w:hAnsi="Times New Roman" w:cs="Times New Roman"/>
          <w:sz w:val="24"/>
          <w:szCs w:val="24"/>
        </w:rPr>
        <w:t>Separable filtering was used to avoid the multi-dimensional convolution. The convolution was performed with a low-/high-pass “Coiflet 1” wavelet filter along the x-/y-direction, separately. L and H denote low-pass and high-pass function, respectively, while X denotes the original image. The wavelet decompositions of X are labeled as XLL, XLH, XHL, and XHH.</w:t>
      </w:r>
    </w:p>
    <w:p w:rsidR="006F0D82" w:rsidRDefault="00B276C6">
      <w:pPr>
        <w:rPr>
          <w:rFonts w:ascii="Times New Roman" w:hAnsi="Times New Roman" w:cs="Times New Roman"/>
          <w:sz w:val="24"/>
          <w:szCs w:val="24"/>
        </w:rPr>
      </w:pPr>
      <w:r>
        <w:rPr>
          <w:rFonts w:ascii="Times New Roman" w:hAnsi="Times New Roman" w:cs="Times New Roman"/>
          <w:b/>
          <w:sz w:val="24"/>
          <w:szCs w:val="24"/>
        </w:rPr>
        <w:t>Radiomic features extraction</w:t>
      </w:r>
    </w:p>
    <w:p w:rsidR="006F0D82" w:rsidRDefault="00B276C6">
      <w:pPr>
        <w:pStyle w:val="Default"/>
        <w:jc w:val="both"/>
        <w:rPr>
          <w:color w:val="auto"/>
        </w:rPr>
      </w:pPr>
      <w:r w:rsidRPr="00BA5265">
        <w:rPr>
          <w:bCs/>
          <w:color w:val="auto"/>
        </w:rPr>
        <w:t>The design of radiomic features referred to the image biomarker standardisation initiative (IBSI) [</w:t>
      </w:r>
      <w:r w:rsidR="00522669" w:rsidRPr="00BA5265">
        <w:rPr>
          <w:bCs/>
          <w:color w:val="auto"/>
        </w:rPr>
        <w:t>6</w:t>
      </w:r>
      <w:r w:rsidRPr="00BA5265">
        <w:rPr>
          <w:bCs/>
          <w:color w:val="auto"/>
        </w:rPr>
        <w:t>] and features proposed by Aerts et al. 2014 [</w:t>
      </w:r>
      <w:r w:rsidR="00522669" w:rsidRPr="00BA5265">
        <w:rPr>
          <w:bCs/>
          <w:color w:val="auto"/>
        </w:rPr>
        <w:t>7</w:t>
      </w:r>
      <w:r w:rsidRPr="00BA5265">
        <w:rPr>
          <w:bCs/>
          <w:color w:val="auto"/>
        </w:rPr>
        <w:t xml:space="preserve">]. </w:t>
      </w:r>
      <w:r w:rsidRPr="00BA5265">
        <w:rPr>
          <w:color w:val="auto"/>
        </w:rPr>
        <w:t>T</w:t>
      </w:r>
      <w:r>
        <w:rPr>
          <w:color w:val="auto"/>
        </w:rPr>
        <w:t xml:space="preserve">he extracted radiomic features can be divided into four groups: first order statistics, shape and </w:t>
      </w:r>
      <w:r>
        <w:rPr>
          <w:color w:val="auto"/>
        </w:rPr>
        <w:lastRenderedPageBreak/>
        <w:t xml:space="preserve">size-based features, textural features, and wavelet features. All feature extraction methods were implemented using MatLab 2017b (Mathworks, Natick, MA, USA). </w:t>
      </w:r>
    </w:p>
    <w:p w:rsidR="006F0D82" w:rsidRDefault="00B276C6">
      <w:pPr>
        <w:pStyle w:val="Default"/>
        <w:jc w:val="both"/>
        <w:rPr>
          <w:color w:val="auto"/>
        </w:rPr>
      </w:pPr>
      <w:r>
        <w:rPr>
          <w:color w:val="auto"/>
        </w:rPr>
        <w:t xml:space="preserve">First-order statistics characterized the distribution of intensity values, according to commonly used and basic metrics. Seventeen first-order statistics were adopted, such as energy, entropy, skewness, kurtosis, mean, maximum, and minimum. </w:t>
      </w:r>
    </w:p>
    <w:p w:rsidR="006F0D82" w:rsidRDefault="00B276C6">
      <w:pPr>
        <w:pStyle w:val="Default"/>
        <w:jc w:val="both"/>
        <w:rPr>
          <w:color w:val="auto"/>
        </w:rPr>
      </w:pPr>
      <w:r>
        <w:rPr>
          <w:color w:val="auto"/>
        </w:rPr>
        <w:t xml:space="preserve">Eight descriptors of the two-dimensional size and shape of the tumor region were contained in shape-and-size-based features. This type of feature consists of maximum two-dimensional diameter, circular disproportion, circularity, perimeter, perimeter to area ratio, area compactness1, and compactness2. </w:t>
      </w:r>
    </w:p>
    <w:p w:rsidR="006F0D82" w:rsidRDefault="00B276C6">
      <w:pPr>
        <w:pStyle w:val="Default"/>
        <w:jc w:val="both"/>
        <w:rPr>
          <w:color w:val="auto"/>
        </w:rPr>
      </w:pPr>
      <w:r>
        <w:rPr>
          <w:bCs/>
        </w:rPr>
        <w:t>The extraction of 3D textural features requires the same voxel size in the three directions (x</w:t>
      </w:r>
      <w:r>
        <w:rPr>
          <w:rFonts w:hint="eastAsia"/>
          <w:bCs/>
        </w:rPr>
        <w:t>,</w:t>
      </w:r>
      <w:r>
        <w:rPr>
          <w:bCs/>
        </w:rPr>
        <w:t xml:space="preserve"> y, and z direction). However, the image thickness in z direction (</w:t>
      </w:r>
      <w:r w:rsidRPr="00E93698">
        <w:rPr>
          <w:bCs/>
        </w:rPr>
        <w:t>5.11 ± 0.234 mm</w:t>
      </w:r>
      <w:r>
        <w:rPr>
          <w:bCs/>
        </w:rPr>
        <w:t xml:space="preserve">) was much larger than the in-plane voxel size in x and y direction (0.5mm after normalization). Therefore, </w:t>
      </w:r>
      <w:r>
        <w:rPr>
          <w:color w:val="auto"/>
        </w:rPr>
        <w:t xml:space="preserve">texture matrices were determined considering transverse 8-connected voxels. </w:t>
      </w:r>
      <w:r w:rsidR="00BA5265">
        <w:rPr>
          <w:bCs/>
        </w:rPr>
        <w:t>M</w:t>
      </w:r>
      <w:r w:rsidR="00BA5265" w:rsidRPr="00784F7D">
        <w:rPr>
          <w:bCs/>
        </w:rPr>
        <w:t>ulti-slice 2D</w:t>
      </w:r>
      <w:r w:rsidR="00BA5265">
        <w:rPr>
          <w:color w:val="auto"/>
        </w:rPr>
        <w:t xml:space="preserve"> t</w:t>
      </w:r>
      <w:r>
        <w:rPr>
          <w:color w:val="auto"/>
        </w:rPr>
        <w:t>extural features comprise two typical matrices: the gray-level co-occurrence matrix (GLCM) and the</w:t>
      </w:r>
      <w:bookmarkStart w:id="0" w:name="OLE_LINK24"/>
      <w:bookmarkStart w:id="1" w:name="OLE_LINK23"/>
      <w:r>
        <w:rPr>
          <w:color w:val="auto"/>
        </w:rPr>
        <w:t xml:space="preserve"> gray-level run-length texture matrix</w:t>
      </w:r>
      <w:bookmarkEnd w:id="0"/>
      <w:bookmarkEnd w:id="1"/>
      <w:r>
        <w:rPr>
          <w:color w:val="auto"/>
        </w:rPr>
        <w:t xml:space="preserve"> (GLRLM). GLCM describes the distribution of co-occurring pixel values of an image region at a given offset while gray GLRLM represents patterns or the spatial distribution of voxel intensities. </w:t>
      </w:r>
    </w:p>
    <w:p w:rsidR="006F0D82" w:rsidRDefault="00B276C6">
      <w:pPr>
        <w:pStyle w:val="Default"/>
        <w:jc w:val="both"/>
        <w:rPr>
          <w:color w:val="auto"/>
        </w:rPr>
      </w:pPr>
      <w:r>
        <w:t>We performed “Coiflet 1” wavelet filtering on each MR image and re-extracted the above first order statistics and textural features on each decomposition.</w:t>
      </w:r>
    </w:p>
    <w:p w:rsidR="006F0D82" w:rsidRDefault="00B276C6">
      <w:pPr>
        <w:pStyle w:val="Default"/>
        <w:jc w:val="both"/>
        <w:rPr>
          <w:color w:val="auto"/>
        </w:rPr>
      </w:pPr>
      <w:r>
        <w:rPr>
          <w:color w:val="auto"/>
        </w:rPr>
        <w:t xml:space="preserve">Note that, during the feature extraction, a </w:t>
      </w:r>
      <w:r>
        <w:rPr>
          <w:bCs/>
        </w:rPr>
        <w:t xml:space="preserve">fixed bin number discretization method with </w:t>
      </w:r>
      <w:r>
        <w:rPr>
          <w:bCs/>
        </w:rPr>
        <w:lastRenderedPageBreak/>
        <w:t>a bin size of 25 was used [</w:t>
      </w:r>
      <w:r w:rsidR="0029515C">
        <w:rPr>
          <w:bCs/>
        </w:rPr>
        <w:t>6</w:t>
      </w:r>
      <w:r>
        <w:rPr>
          <w:bCs/>
        </w:rPr>
        <w:t xml:space="preserve">, </w:t>
      </w:r>
      <w:r w:rsidR="0029515C">
        <w:rPr>
          <w:bCs/>
        </w:rPr>
        <w:t>7</w:t>
      </w:r>
      <w:r>
        <w:rPr>
          <w:bCs/>
        </w:rPr>
        <w:t>].</w:t>
      </w:r>
    </w:p>
    <w:p w:rsidR="006F0D82" w:rsidRDefault="006F0D82">
      <w:pPr>
        <w:rPr>
          <w:rFonts w:ascii="Times New Roman" w:hAnsi="Times New Roman" w:cs="Times New Roman"/>
          <w:b/>
          <w:sz w:val="24"/>
          <w:szCs w:val="24"/>
        </w:rPr>
      </w:pPr>
    </w:p>
    <w:p w:rsidR="006F0D82" w:rsidRDefault="00B276C6">
      <w:pPr>
        <w:rPr>
          <w:rFonts w:ascii="Times New Roman" w:hAnsi="Times New Roman" w:cs="Times New Roman"/>
          <w:b/>
          <w:sz w:val="24"/>
          <w:szCs w:val="24"/>
        </w:rPr>
      </w:pPr>
      <w:r>
        <w:rPr>
          <w:rFonts w:ascii="Times New Roman" w:hAnsi="Times New Roman" w:cs="Times New Roman"/>
          <w:b/>
          <w:sz w:val="24"/>
          <w:szCs w:val="24"/>
        </w:rPr>
        <w:t>The modified covariate method</w:t>
      </w:r>
    </w:p>
    <w:p w:rsidR="006F0D82" w:rsidRDefault="00B276C6">
      <w:pPr>
        <w:rPr>
          <w:rFonts w:ascii="Times New Roman" w:hAnsi="Times New Roman" w:cs="Times New Roman"/>
          <w:sz w:val="24"/>
          <w:szCs w:val="24"/>
        </w:rPr>
      </w:pPr>
      <w:r>
        <w:rPr>
          <w:rFonts w:ascii="Times New Roman" w:hAnsi="Times New Roman" w:cs="Times New Roman"/>
          <w:sz w:val="24"/>
          <w:szCs w:val="24"/>
        </w:rPr>
        <w:t>Let T = ±1 be the binary treatment indicator and Y</w:t>
      </w:r>
      <w:r>
        <w:rPr>
          <w:rFonts w:ascii="Times New Roman" w:hAnsi="Times New Roman" w:cs="Times New Roman"/>
          <w:sz w:val="24"/>
          <w:szCs w:val="24"/>
          <w:vertAlign w:val="superscript"/>
        </w:rPr>
        <w:t>(1)</w:t>
      </w:r>
      <w:r>
        <w:rPr>
          <w:rFonts w:ascii="Times New Roman" w:hAnsi="Times New Roman" w:cs="Times New Roman"/>
          <w:sz w:val="24"/>
          <w:szCs w:val="24"/>
        </w:rPr>
        <w:t xml:space="preserve"> and Y</w:t>
      </w:r>
      <w:r>
        <w:rPr>
          <w:rFonts w:ascii="Times New Roman" w:hAnsi="Times New Roman" w:cs="Times New Roman"/>
          <w:sz w:val="24"/>
          <w:szCs w:val="24"/>
          <w:vertAlign w:val="superscript"/>
        </w:rPr>
        <w:t>(−1)</w:t>
      </w:r>
      <w:r>
        <w:rPr>
          <w:rFonts w:ascii="Times New Roman" w:hAnsi="Times New Roman" w:cs="Times New Roman"/>
          <w:sz w:val="24"/>
          <w:szCs w:val="24"/>
        </w:rPr>
        <w:t xml:space="preserve"> be the potential outcome if the patient received treatment T = 1 and −1, respectively. P(T = 1) = P(T = −1) = 1/2 without the effects of observed confounding. Fit the following Cox regression model with modified covariates:</w:t>
      </w:r>
    </w:p>
    <w:p w:rsidR="006F0D82" w:rsidRDefault="00B276C6">
      <w:pPr>
        <w:rPr>
          <w:rFonts w:ascii="Times New Roman" w:hAnsi="Times New Roman" w:cs="Times New Roman"/>
          <w:sz w:val="24"/>
          <w:szCs w:val="24"/>
        </w:rPr>
      </w:pPr>
      <m:oMathPara>
        <m:oMath>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t|</m:t>
              </m:r>
              <m:r>
                <m:rPr>
                  <m:sty m:val="bi"/>
                </m:rPr>
                <w:rPr>
                  <w:rFonts w:ascii="Cambria Math" w:hAnsi="Cambria Math" w:cs="Times New Roman"/>
                  <w:sz w:val="24"/>
                  <w:szCs w:val="24"/>
                </w:rPr>
                <m:t>Z</m:t>
              </m:r>
              <m:r>
                <w:rPr>
                  <w:rFonts w:ascii="Cambria Math" w:hAnsi="Cambria Math" w:cs="Times New Roman"/>
                  <w:sz w:val="24"/>
                  <w:szCs w:val="24"/>
                </w:rPr>
                <m:t>,T</m:t>
              </m:r>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γ</m:t>
              </m:r>
              <m:sSup>
                <m:sSupPr>
                  <m:ctrlPr>
                    <w:rPr>
                      <w:rFonts w:ascii="Cambria Math" w:hAnsi="Cambria Math" w:cs="Times New Roman"/>
                      <w:i/>
                      <w:sz w:val="24"/>
                      <w:szCs w:val="24"/>
                    </w:rPr>
                  </m:ctrlPr>
                </m:sSupPr>
                <m:e>
                  <m:r>
                    <m:rPr>
                      <m:sty m:val="bi"/>
                    </m:rPr>
                    <w:rPr>
                      <w:rFonts w:ascii="Cambria Math" w:hAnsi="Cambria Math" w:cs="Times New Roman"/>
                      <w:sz w:val="24"/>
                      <w:szCs w:val="24"/>
                    </w:rPr>
                    <m:t>W</m:t>
                  </m:r>
                </m:e>
                <m:sup>
                  <m:r>
                    <w:rPr>
                      <w:rFonts w:ascii="Cambria Math" w:hAnsi="Cambria Math" w:cs="Times New Roman"/>
                      <w:sz w:val="24"/>
                      <w:szCs w:val="24"/>
                    </w:rPr>
                    <m:t>*</m:t>
                  </m:r>
                </m:sup>
              </m:sSup>
            </m:sup>
          </m:sSup>
        </m:oMath>
      </m:oMathPara>
    </w:p>
    <w:p w:rsidR="006F0D82" w:rsidRDefault="00B276C6">
      <w:pPr>
        <w:pStyle w:val="Default"/>
        <w:rPr>
          <w:color w:val="auto"/>
        </w:rPr>
      </w:pPr>
      <w:r>
        <w:rPr>
          <w:color w:val="auto"/>
        </w:rPr>
        <w:t>where</w:t>
      </w:r>
      <m:oMath>
        <m:r>
          <m:rPr>
            <m:sty m:val="p"/>
          </m:rPr>
          <w:rPr>
            <w:rFonts w:ascii="Cambria Math" w:hAnsi="Cambria Math"/>
            <w:color w:val="auto"/>
          </w:rPr>
          <m:t xml:space="preserve"> </m:t>
        </m:r>
        <m:r>
          <w:rPr>
            <w:rFonts w:ascii="Cambria Math" w:hAnsi="Cambria Math"/>
            <w:color w:val="auto"/>
          </w:rPr>
          <m:t>h(t|∙)</m:t>
        </m:r>
      </m:oMath>
      <w:r>
        <w:rPr>
          <w:color w:val="auto"/>
        </w:rPr>
        <w:t xml:space="preserve"> is the hazard function for survival time </w:t>
      </w:r>
      <m:oMath>
        <m:acc>
          <m:accPr>
            <m:chr m:val="̌"/>
            <m:ctrlPr>
              <w:rPr>
                <w:rFonts w:ascii="Cambria Math" w:hAnsi="Cambria Math"/>
                <w:i/>
                <w:color w:val="auto"/>
              </w:rPr>
            </m:ctrlPr>
          </m:accPr>
          <m:e>
            <m:r>
              <w:rPr>
                <w:rFonts w:ascii="Cambria Math" w:hAnsi="Cambria Math"/>
                <w:color w:val="auto"/>
              </w:rPr>
              <m:t>X</m:t>
            </m:r>
          </m:e>
        </m:acc>
        <m:r>
          <w:rPr>
            <w:rFonts w:ascii="Cambria Math" w:hAnsi="Cambria Math"/>
            <w:color w:val="auto"/>
          </w:rPr>
          <m:t xml:space="preserve"> </m:t>
        </m:r>
      </m:oMath>
      <w:r>
        <w:rPr>
          <w:color w:val="auto"/>
        </w:rPr>
        <w:t xml:space="preserve">while </w:t>
      </w:r>
      <w:r>
        <w:rPr>
          <w:i/>
          <w:color w:val="auto"/>
        </w:rPr>
        <w:t>h</w:t>
      </w:r>
      <w:r>
        <w:rPr>
          <w:color w:val="auto"/>
          <w:vertAlign w:val="subscript"/>
        </w:rPr>
        <w:t>0</w:t>
      </w:r>
      <w:r>
        <w:rPr>
          <w:color w:val="auto"/>
        </w:rPr>
        <w:t xml:space="preserve">(.) is a baseline hazard function free of covariates </w:t>
      </w:r>
      <w:r>
        <w:rPr>
          <w:b/>
          <w:bCs/>
          <w:i/>
          <w:color w:val="auto"/>
        </w:rPr>
        <w:t>Z</w:t>
      </w:r>
      <w:r>
        <w:rPr>
          <w:b/>
          <w:bCs/>
          <w:color w:val="auto"/>
        </w:rPr>
        <w:t xml:space="preserve"> </w:t>
      </w:r>
      <w:r>
        <w:rPr>
          <w:color w:val="auto"/>
        </w:rPr>
        <w:t xml:space="preserve">and </w:t>
      </w:r>
      <w:r>
        <w:rPr>
          <w:i/>
          <w:iCs/>
          <w:color w:val="auto"/>
        </w:rPr>
        <w:t>T</w:t>
      </w:r>
      <w:r>
        <w:rPr>
          <w:iCs/>
          <w:color w:val="auto"/>
        </w:rPr>
        <w:t>,</w:t>
      </w:r>
      <w:r>
        <w:rPr>
          <w:i/>
          <w:iCs/>
          <w:color w:val="auto"/>
        </w:rPr>
        <w:t xml:space="preserve"> </w:t>
      </w:r>
      <m:oMath>
        <m:sSup>
          <m:sSupPr>
            <m:ctrlPr>
              <w:rPr>
                <w:rFonts w:ascii="Cambria Math" w:hAnsi="Cambria Math"/>
                <w:iCs/>
                <w:color w:val="auto"/>
              </w:rPr>
            </m:ctrlPr>
          </m:sSupPr>
          <m:e>
            <m:r>
              <m:rPr>
                <m:sty m:val="bi"/>
              </m:rPr>
              <w:rPr>
                <w:rFonts w:ascii="Cambria Math" w:hAnsi="Cambria Math"/>
                <w:color w:val="auto"/>
              </w:rPr>
              <m:t>W</m:t>
            </m:r>
          </m:e>
          <m:sup>
            <m:r>
              <w:rPr>
                <w:rFonts w:ascii="Cambria Math" w:hAnsi="Cambria Math"/>
                <w:color w:val="auto"/>
              </w:rPr>
              <m:t>*</m:t>
            </m:r>
          </m:sup>
        </m:sSup>
        <m:r>
          <w:rPr>
            <w:rFonts w:ascii="Cambria Math" w:hAnsi="Cambria Math"/>
            <w:color w:val="auto"/>
          </w:rPr>
          <m:t>=</m:t>
        </m:r>
        <m:r>
          <m:rPr>
            <m:sty m:val="bi"/>
          </m:rPr>
          <w:rPr>
            <w:rFonts w:ascii="Cambria Math" w:hAnsi="Cambria Math"/>
            <w:color w:val="auto"/>
          </w:rPr>
          <m:t>W</m:t>
        </m:r>
        <m:r>
          <w:rPr>
            <w:rFonts w:ascii="Cambria Math" w:hAnsi="Cambria Math"/>
            <w:color w:val="auto"/>
          </w:rPr>
          <m:t>*T/2</m:t>
        </m:r>
      </m:oMath>
      <w:r>
        <w:rPr>
          <w:color w:val="auto"/>
        </w:rPr>
        <w:t>. If above formula is correctly specified, then</w:t>
      </w:r>
    </w:p>
    <w:p w:rsidR="006F0D82" w:rsidRDefault="00B276C6">
      <w:pPr>
        <w:pStyle w:val="Default"/>
        <w:rPr>
          <w:color w:val="auto"/>
        </w:rPr>
      </w:pPr>
      <m:oMathPara>
        <m:oMath>
          <m:r>
            <m:rPr>
              <m:sty m:val="p"/>
            </m:rPr>
            <w:rPr>
              <w:rFonts w:ascii="Cambria Math" w:hAnsi="Cambria Math"/>
              <w:color w:val="auto"/>
            </w:rPr>
            <m:t>∆</m:t>
          </m:r>
          <m:d>
            <m:dPr>
              <m:ctrlPr>
                <w:rPr>
                  <w:rFonts w:ascii="Cambria Math" w:hAnsi="Cambria Math"/>
                  <w:color w:val="auto"/>
                </w:rPr>
              </m:ctrlPr>
            </m:dPr>
            <m:e>
              <m:r>
                <m:rPr>
                  <m:sty m:val="p"/>
                </m:rPr>
                <w:rPr>
                  <w:rFonts w:ascii="Cambria Math" w:hAnsi="Cambria Math"/>
                  <w:color w:val="auto"/>
                </w:rPr>
                <m:t>z</m:t>
              </m:r>
            </m:e>
          </m:d>
          <m:r>
            <m:rPr>
              <m:sty m:val="p"/>
            </m:rPr>
            <w:rPr>
              <w:rFonts w:ascii="Cambria Math" w:hAnsi="Cambria Math"/>
              <w:color w:val="auto"/>
            </w:rPr>
            <m:t>=</m:t>
          </m:r>
          <m:f>
            <m:fPr>
              <m:ctrlPr>
                <w:rPr>
                  <w:rFonts w:ascii="Cambria Math" w:hAnsi="Cambria Math"/>
                  <w:color w:val="auto"/>
                </w:rPr>
              </m:ctrlPr>
            </m:fPr>
            <m:num>
              <m:r>
                <w:rPr>
                  <w:rFonts w:ascii="Cambria Math" w:hAnsi="Cambria Math"/>
                  <w:color w:val="auto"/>
                </w:rPr>
                <m:t>E{</m:t>
              </m:r>
              <m:sSub>
                <m:sSubPr>
                  <m:ctrlPr>
                    <w:rPr>
                      <w:rFonts w:ascii="Cambria Math" w:hAnsi="Cambria Math"/>
                      <w:i/>
                      <w:color w:val="auto"/>
                    </w:rPr>
                  </m:ctrlPr>
                </m:sSubPr>
                <m:e>
                  <m:r>
                    <w:rPr>
                      <w:rFonts w:ascii="Cambria Math" w:hAnsi="Cambria Math"/>
                      <w:color w:val="auto"/>
                    </w:rPr>
                    <m:t>I</m:t>
                  </m:r>
                </m:e>
                <m:sub>
                  <m:r>
                    <w:rPr>
                      <w:rFonts w:ascii="Cambria Math" w:hAnsi="Cambria Math"/>
                      <w:color w:val="auto"/>
                    </w:rPr>
                    <m:t>0</m:t>
                  </m:r>
                </m:sub>
              </m:sSub>
              <m:r>
                <w:rPr>
                  <w:rFonts w:ascii="Cambria Math" w:hAnsi="Cambria Math"/>
                  <w:color w:val="auto"/>
                </w:rPr>
                <m:t>(</m:t>
              </m:r>
              <m:sSup>
                <m:sSupPr>
                  <m:ctrlPr>
                    <w:rPr>
                      <w:rFonts w:ascii="Cambria Math" w:hAnsi="Cambria Math"/>
                      <w:i/>
                      <w:color w:val="auto"/>
                    </w:rPr>
                  </m:ctrlPr>
                </m:sSupPr>
                <m:e>
                  <m:acc>
                    <m:accPr>
                      <m:chr m:val="̌"/>
                      <m:ctrlPr>
                        <w:rPr>
                          <w:rFonts w:ascii="Cambria Math" w:hAnsi="Cambria Math"/>
                          <w:i/>
                          <w:color w:val="auto"/>
                        </w:rPr>
                      </m:ctrlPr>
                    </m:accPr>
                    <m:e>
                      <m:r>
                        <w:rPr>
                          <w:rFonts w:ascii="Cambria Math" w:hAnsi="Cambria Math"/>
                          <w:color w:val="auto"/>
                        </w:rPr>
                        <m:t>X</m:t>
                      </m:r>
                    </m:e>
                  </m:acc>
                </m:e>
                <m:sup>
                  <m:r>
                    <w:rPr>
                      <w:rFonts w:ascii="Cambria Math" w:hAnsi="Cambria Math"/>
                      <w:color w:val="auto"/>
                    </w:rPr>
                    <m:t>(1)</m:t>
                  </m:r>
                </m:sup>
              </m:sSup>
              <m:r>
                <w:rPr>
                  <w:rFonts w:ascii="Cambria Math" w:hAnsi="Cambria Math"/>
                  <w:color w:val="auto"/>
                </w:rPr>
                <m:t>)|</m:t>
              </m:r>
              <m:r>
                <m:rPr>
                  <m:sty m:val="bi"/>
                </m:rPr>
                <w:rPr>
                  <w:rFonts w:ascii="Cambria Math" w:hAnsi="Cambria Math"/>
                  <w:color w:val="auto"/>
                </w:rPr>
                <m:t>Z=z</m:t>
              </m:r>
              <m:r>
                <w:rPr>
                  <w:rFonts w:ascii="Cambria Math" w:hAnsi="Cambria Math"/>
                  <w:color w:val="auto"/>
                </w:rPr>
                <m:t>}</m:t>
              </m:r>
            </m:num>
            <m:den>
              <w:bookmarkStart w:id="2" w:name="OLE_LINK3"/>
              <w:bookmarkStart w:id="3" w:name="OLE_LINK2"/>
              <w:bookmarkStart w:id="4" w:name="OLE_LINK1"/>
              <m:r>
                <w:rPr>
                  <w:rFonts w:ascii="Cambria Math" w:hAnsi="Cambria Math"/>
                  <w:color w:val="auto"/>
                </w:rPr>
                <m:t>E{</m:t>
              </m:r>
              <m:sSub>
                <m:sSubPr>
                  <m:ctrlPr>
                    <w:rPr>
                      <w:rFonts w:ascii="Cambria Math" w:hAnsi="Cambria Math"/>
                      <w:i/>
                      <w:color w:val="auto"/>
                    </w:rPr>
                  </m:ctrlPr>
                </m:sSubPr>
                <m:e>
                  <m:r>
                    <w:rPr>
                      <w:rFonts w:ascii="Cambria Math" w:hAnsi="Cambria Math"/>
                      <w:color w:val="auto"/>
                    </w:rPr>
                    <m:t>I</m:t>
                  </m:r>
                </m:e>
                <m:sub>
                  <m:r>
                    <w:rPr>
                      <w:rFonts w:ascii="Cambria Math" w:hAnsi="Cambria Math"/>
                      <w:color w:val="auto"/>
                    </w:rPr>
                    <m:t>0</m:t>
                  </m:r>
                </m:sub>
              </m:sSub>
              <m:r>
                <w:rPr>
                  <w:rFonts w:ascii="Cambria Math" w:hAnsi="Cambria Math"/>
                  <w:color w:val="auto"/>
                </w:rPr>
                <m:t>(</m:t>
              </m:r>
              <m:sSup>
                <m:sSupPr>
                  <m:ctrlPr>
                    <w:rPr>
                      <w:rFonts w:ascii="Cambria Math" w:hAnsi="Cambria Math"/>
                      <w:i/>
                      <w:color w:val="auto"/>
                    </w:rPr>
                  </m:ctrlPr>
                </m:sSupPr>
                <m:e>
                  <m:acc>
                    <m:accPr>
                      <m:chr m:val="̌"/>
                      <m:ctrlPr>
                        <w:rPr>
                          <w:rFonts w:ascii="Cambria Math" w:hAnsi="Cambria Math"/>
                          <w:i/>
                          <w:color w:val="auto"/>
                        </w:rPr>
                      </m:ctrlPr>
                    </m:accPr>
                    <m:e>
                      <m:r>
                        <w:rPr>
                          <w:rFonts w:ascii="Cambria Math" w:hAnsi="Cambria Math"/>
                          <w:color w:val="auto"/>
                        </w:rPr>
                        <m:t>X</m:t>
                      </m:r>
                    </m:e>
                  </m:acc>
                </m:e>
                <m:sup>
                  <m:r>
                    <w:rPr>
                      <w:rFonts w:ascii="Cambria Math" w:hAnsi="Cambria Math"/>
                      <w:color w:val="auto"/>
                    </w:rPr>
                    <m:t>(-1)</m:t>
                  </m:r>
                </m:sup>
              </m:sSup>
              <m:r>
                <w:rPr>
                  <w:rFonts w:ascii="Cambria Math" w:hAnsi="Cambria Math"/>
                  <w:color w:val="auto"/>
                </w:rPr>
                <m:t>)|</m:t>
              </m:r>
              <m:r>
                <m:rPr>
                  <m:sty m:val="bi"/>
                </m:rPr>
                <w:rPr>
                  <w:rFonts w:ascii="Cambria Math" w:hAnsi="Cambria Math"/>
                  <w:color w:val="auto"/>
                </w:rPr>
                <m:t>Z=z</m:t>
              </m:r>
              <m:r>
                <w:rPr>
                  <w:rFonts w:ascii="Cambria Math" w:hAnsi="Cambria Math"/>
                  <w:color w:val="auto"/>
                </w:rPr>
                <m:t>}</m:t>
              </m:r>
              <w:bookmarkEnd w:id="2"/>
              <w:bookmarkEnd w:id="3"/>
              <w:bookmarkEnd w:id="4"/>
            </m:den>
          </m:f>
          <m:r>
            <w:rPr>
              <w:rFonts w:ascii="Cambria Math" w:hAnsi="Cambria Math"/>
              <w:color w:val="auto"/>
            </w:rPr>
            <m:t>=</m:t>
          </m:r>
          <m:r>
            <m:rPr>
              <m:sty m:val="p"/>
            </m:rPr>
            <w:rPr>
              <w:rFonts w:ascii="Cambria Math" w:hAnsi="Cambria Math"/>
              <w:color w:val="auto"/>
            </w:rPr>
            <m:t>exp⁡</m:t>
          </m:r>
          <m:r>
            <w:rPr>
              <w:rFonts w:ascii="Cambria Math" w:hAnsi="Cambria Math"/>
              <w:color w:val="auto"/>
            </w:rPr>
            <m:t>{γ</m:t>
          </m:r>
          <m:r>
            <m:rPr>
              <m:sty m:val="bi"/>
            </m:rPr>
            <w:rPr>
              <w:rFonts w:ascii="Cambria Math" w:hAnsi="Cambria Math"/>
              <w:color w:val="auto"/>
            </w:rPr>
            <m:t>W(z)</m:t>
          </m:r>
          <m:r>
            <w:rPr>
              <w:rFonts w:ascii="Cambria Math" w:hAnsi="Cambria Math"/>
              <w:color w:val="auto"/>
            </w:rPr>
            <m:t>}</m:t>
          </m:r>
        </m:oMath>
      </m:oMathPara>
    </w:p>
    <w:p w:rsidR="006F0D82" w:rsidRDefault="00B276C6">
      <w:pPr>
        <w:pStyle w:val="Default"/>
        <w:rPr>
          <w:color w:val="auto"/>
        </w:rPr>
      </w:pPr>
      <m:oMath>
        <m:r>
          <w:rPr>
            <w:rFonts w:ascii="Cambria Math" w:hAnsi="Cambria Math"/>
            <w:color w:val="auto"/>
          </w:rPr>
          <m:t>γ</m:t>
        </m:r>
        <m:r>
          <m:rPr>
            <m:sty m:val="bi"/>
          </m:rPr>
          <w:rPr>
            <w:rFonts w:ascii="Cambria Math" w:hAnsi="Cambria Math"/>
            <w:color w:val="auto"/>
          </w:rPr>
          <m:t>W(z)</m:t>
        </m:r>
      </m:oMath>
      <w:r>
        <w:rPr>
          <w:b/>
          <w:color w:val="auto"/>
        </w:rPr>
        <w:t xml:space="preserve"> </w:t>
      </w:r>
      <w:r>
        <w:rPr>
          <w:color w:val="auto"/>
        </w:rPr>
        <w:t xml:space="preserve">can be used to stratify the patient population according to </w:t>
      </w:r>
      <m:oMath>
        <m:r>
          <m:rPr>
            <m:sty m:val="p"/>
          </m:rPr>
          <w:rPr>
            <w:rFonts w:ascii="Cambria Math" w:hAnsi="Cambria Math"/>
            <w:color w:val="auto"/>
          </w:rPr>
          <m:t>∆</m:t>
        </m:r>
        <m:d>
          <m:dPr>
            <m:ctrlPr>
              <w:rPr>
                <w:rFonts w:ascii="Cambria Math" w:hAnsi="Cambria Math"/>
                <w:color w:val="auto"/>
              </w:rPr>
            </m:ctrlPr>
          </m:dPr>
          <m:e>
            <m:r>
              <m:rPr>
                <m:sty m:val="p"/>
              </m:rPr>
              <w:rPr>
                <w:rFonts w:ascii="Cambria Math" w:hAnsi="Cambria Math"/>
                <w:color w:val="auto"/>
              </w:rPr>
              <m:t>z</m:t>
            </m:r>
          </m:e>
        </m:d>
      </m:oMath>
      <w:r>
        <w:rPr>
          <w:color w:val="auto"/>
        </w:rPr>
        <w:t xml:space="preserve">, where </w:t>
      </w:r>
      <m:oMath>
        <m:sSub>
          <m:sSubPr>
            <m:ctrlPr>
              <w:rPr>
                <w:rFonts w:ascii="Cambria Math" w:hAnsi="Cambria Math"/>
                <w:i/>
                <w:color w:val="auto"/>
              </w:rPr>
            </m:ctrlPr>
          </m:sSubPr>
          <m:e>
            <m:r>
              <w:rPr>
                <w:rFonts w:ascii="Cambria Math" w:hAnsi="Cambria Math"/>
                <w:color w:val="auto"/>
              </w:rPr>
              <m:t>I</m:t>
            </m:r>
          </m:e>
          <m:sub>
            <m:r>
              <w:rPr>
                <w:rFonts w:ascii="Cambria Math" w:hAnsi="Cambria Math"/>
                <w:color w:val="auto"/>
              </w:rPr>
              <m:t>0</m:t>
            </m:r>
          </m:sub>
        </m:sSub>
        <m:d>
          <m:dPr>
            <m:ctrlPr>
              <w:rPr>
                <w:rFonts w:ascii="Cambria Math" w:hAnsi="Cambria Math"/>
                <w:i/>
                <w:color w:val="auto"/>
              </w:rPr>
            </m:ctrlPr>
          </m:dPr>
          <m:e>
            <m:r>
              <w:rPr>
                <w:rFonts w:ascii="Cambria Math" w:hAnsi="Cambria Math"/>
                <w:color w:val="auto"/>
              </w:rPr>
              <m:t>t</m:t>
            </m:r>
          </m:e>
        </m:d>
        <m:r>
          <w:rPr>
            <w:rFonts w:ascii="Cambria Math" w:hAnsi="Cambria Math"/>
            <w:color w:val="auto"/>
          </w:rPr>
          <m:t>=</m:t>
        </m:r>
        <m:nary>
          <m:naryPr>
            <m:limLoc m:val="subSup"/>
            <m:ctrlPr>
              <w:rPr>
                <w:rFonts w:ascii="Cambria Math" w:hAnsi="Cambria Math"/>
                <w:i/>
                <w:color w:val="auto"/>
              </w:rPr>
            </m:ctrlPr>
          </m:naryPr>
          <m:sub>
            <m:r>
              <w:rPr>
                <w:rFonts w:ascii="Cambria Math" w:hAnsi="Cambria Math"/>
                <w:color w:val="auto"/>
              </w:rPr>
              <m:t>0</m:t>
            </m:r>
          </m:sub>
          <m:sup>
            <m:r>
              <w:rPr>
                <w:rFonts w:ascii="Cambria Math" w:hAnsi="Cambria Math"/>
                <w:color w:val="auto"/>
              </w:rPr>
              <m:t>t</m:t>
            </m:r>
          </m:sup>
          <m:e>
            <m:sSub>
              <m:sSubPr>
                <m:ctrlPr>
                  <w:rPr>
                    <w:rFonts w:ascii="Cambria Math" w:hAnsi="Cambria Math"/>
                    <w:i/>
                    <w:color w:val="auto"/>
                  </w:rPr>
                </m:ctrlPr>
              </m:sSubPr>
              <m:e>
                <m:r>
                  <w:rPr>
                    <w:rFonts w:ascii="Cambria Math" w:hAnsi="Cambria Math"/>
                    <w:color w:val="auto"/>
                  </w:rPr>
                  <m:t>h</m:t>
                </m:r>
              </m:e>
              <m:sub>
                <m:r>
                  <w:rPr>
                    <w:rFonts w:ascii="Cambria Math" w:hAnsi="Cambria Math"/>
                    <w:color w:val="auto"/>
                  </w:rPr>
                  <m:t>0</m:t>
                </m:r>
              </m:sub>
            </m:sSub>
            <m:r>
              <w:rPr>
                <w:rFonts w:ascii="Cambria Math" w:hAnsi="Cambria Math"/>
                <w:color w:val="auto"/>
              </w:rPr>
              <m:t>(u)du</m:t>
            </m:r>
          </m:e>
        </m:nary>
      </m:oMath>
      <w:r>
        <w:rPr>
          <w:color w:val="auto"/>
        </w:rPr>
        <w:t xml:space="preserve"> is a monotone increasing function.</w:t>
      </w:r>
    </w:p>
    <w:p w:rsidR="006F0D82" w:rsidRDefault="006F0D82">
      <w:pPr>
        <w:rPr>
          <w:rFonts w:ascii="Times New Roman" w:hAnsi="Times New Roman" w:cs="Times New Roman"/>
          <w:b/>
          <w:sz w:val="24"/>
          <w:szCs w:val="24"/>
        </w:rPr>
      </w:pPr>
    </w:p>
    <w:p w:rsidR="006F0D82" w:rsidRDefault="00B276C6">
      <w:pPr>
        <w:rPr>
          <w:rFonts w:ascii="Times New Roman" w:hAnsi="Times New Roman" w:cs="Times New Roman"/>
          <w:b/>
          <w:sz w:val="24"/>
          <w:szCs w:val="24"/>
        </w:rPr>
      </w:pPr>
      <w:r>
        <w:rPr>
          <w:rFonts w:ascii="Times New Roman" w:hAnsi="Times New Roman" w:cs="Times New Roman"/>
          <w:b/>
          <w:sz w:val="24"/>
          <w:szCs w:val="24"/>
        </w:rPr>
        <w:t>R packages for data analysis</w:t>
      </w:r>
    </w:p>
    <w:p w:rsidR="006F0D82" w:rsidRDefault="00B276C6">
      <w:pPr>
        <w:pStyle w:val="Default"/>
        <w:jc w:val="both"/>
        <w:rPr>
          <w:color w:val="auto"/>
        </w:rPr>
      </w:pPr>
      <w:r>
        <w:rPr>
          <w:color w:val="auto"/>
        </w:rPr>
        <w:t xml:space="preserve">“psych” package was used to calculate inter-class correlation coefficients (ICCs) between features and “glm” function was used to get the propensity score of each patient. Survival analysis was conducted by “prodlim,” “prodlim,” and “survcomp” </w:t>
      </w:r>
      <w:r>
        <w:rPr>
          <w:color w:val="auto"/>
        </w:rPr>
        <w:lastRenderedPageBreak/>
        <w:t>packages.</w:t>
      </w:r>
    </w:p>
    <w:p w:rsidR="006F0D82" w:rsidRDefault="006F0D82">
      <w:pPr>
        <w:tabs>
          <w:tab w:val="left" w:pos="2055"/>
        </w:tabs>
        <w:rPr>
          <w:rFonts w:ascii="Times New Roman" w:hAnsi="Times New Roman" w:cs="Times New Roman"/>
          <w:b/>
          <w:kern w:val="0"/>
          <w:sz w:val="24"/>
          <w:szCs w:val="24"/>
        </w:rPr>
      </w:pPr>
    </w:p>
    <w:p w:rsidR="006F0D82" w:rsidRDefault="006F0D82">
      <w:pPr>
        <w:tabs>
          <w:tab w:val="left" w:pos="2055"/>
        </w:tabs>
        <w:rPr>
          <w:rFonts w:ascii="Times New Roman" w:hAnsi="Times New Roman" w:cs="Times New Roman"/>
          <w:b/>
          <w:kern w:val="0"/>
          <w:sz w:val="24"/>
          <w:szCs w:val="24"/>
        </w:rPr>
      </w:pPr>
    </w:p>
    <w:p w:rsidR="006F0D82" w:rsidRDefault="006F0D82">
      <w:pPr>
        <w:tabs>
          <w:tab w:val="left" w:pos="2055"/>
        </w:tabs>
        <w:rPr>
          <w:rFonts w:ascii="Times New Roman" w:hAnsi="Times New Roman" w:cs="Times New Roman"/>
          <w:b/>
          <w:kern w:val="0"/>
          <w:sz w:val="24"/>
          <w:szCs w:val="24"/>
        </w:rPr>
      </w:pPr>
    </w:p>
    <w:p w:rsidR="006F0D82" w:rsidRDefault="00B276C6">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6F0D82" w:rsidRDefault="00B276C6">
      <w:pPr>
        <w:widowControl/>
        <w:jc w:val="left"/>
        <w:rPr>
          <w:rFonts w:ascii="Times New Roman" w:hAnsi="Times New Roman" w:cs="Times New Roman"/>
          <w:b/>
          <w:sz w:val="24"/>
          <w:szCs w:val="24"/>
        </w:rPr>
      </w:pPr>
      <w:r>
        <w:rPr>
          <w:rFonts w:ascii="Times New Roman" w:hAnsi="Times New Roman" w:cs="Times New Roman" w:hint="eastAsia"/>
          <w:b/>
          <w:sz w:val="24"/>
          <w:szCs w:val="24"/>
        </w:rPr>
        <w:lastRenderedPageBreak/>
        <w:t>R</w:t>
      </w:r>
      <w:r>
        <w:rPr>
          <w:rFonts w:ascii="Times New Roman" w:hAnsi="Times New Roman" w:cs="Times New Roman"/>
          <w:b/>
          <w:sz w:val="24"/>
          <w:szCs w:val="24"/>
        </w:rPr>
        <w:t>eference</w:t>
      </w:r>
    </w:p>
    <w:p w:rsidR="006F0D82" w:rsidRDefault="00B276C6">
      <w:pP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 Austin PC and Stuart EA. Moving towards best practice when using inverse probability of treatment weighting (IPTW) using the propensity score to estimate causal treatment effects in observational studies. Stat Med 2015; 34: 3661–3679.</w:t>
      </w:r>
    </w:p>
    <w:p w:rsidR="006F0D82" w:rsidRDefault="00B276C6">
      <w:pP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 Normand ST, Landrum MB, Guadagnoli E, Ayanian JZ, Ryan Tl, Cleary PD, McNeil BJ. Validating recommendations for coronary angiography following acute myocardial infarction in the elderly: a matched analysis using propensity scores. Journal of Clinical Epidemiology 2001; 54(4):387-398.</w:t>
      </w:r>
    </w:p>
    <w:p w:rsidR="006F0D82" w:rsidRDefault="00B276C6">
      <w:pPr>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 Mamdani M, Sykora K, Li P, Normand SL, Streiner DL, Austin PC, Rochon PA, Anderson GM. Reader’s guide to critical appraisal of cohort studies: 2. Assessing potential for confounding. British Medical Journal 2005; 330(7497):960-962.</w:t>
      </w:r>
    </w:p>
    <w:p w:rsidR="006F0D82" w:rsidRDefault="00B276C6">
      <w:pPr>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sz w:val="24"/>
          <w:szCs w:val="24"/>
        </w:rPr>
        <w:t>. Limkin, E. J., - Limkin, Elaine Johanna</w:t>
      </w:r>
      <w:r>
        <w:rPr>
          <w:rFonts w:ascii="Times New Roman" w:hAnsi="Times New Roman" w:cs="Times New Roman" w:hint="eastAsia"/>
          <w:sz w:val="24"/>
          <w:szCs w:val="24"/>
        </w:rPr>
        <w:t>,</w:t>
      </w:r>
      <w:r>
        <w:rPr>
          <w:rFonts w:ascii="Times New Roman" w:hAnsi="Times New Roman" w:cs="Times New Roman"/>
          <w:sz w:val="24"/>
          <w:szCs w:val="24"/>
        </w:rPr>
        <w:t xml:space="preserve"> Reuzé, Sylvain</w:t>
      </w:r>
      <w:r>
        <w:rPr>
          <w:rFonts w:ascii="Times New Roman" w:hAnsi="Times New Roman" w:cs="Times New Roman" w:hint="eastAsia"/>
          <w:sz w:val="24"/>
          <w:szCs w:val="24"/>
        </w:rPr>
        <w:t>,</w:t>
      </w:r>
      <w:r w:rsidR="009C2F2E">
        <w:rPr>
          <w:rFonts w:ascii="Times New Roman" w:hAnsi="Times New Roman" w:cs="Times New Roman"/>
          <w:sz w:val="24"/>
          <w:szCs w:val="24"/>
        </w:rPr>
        <w:t xml:space="preserve"> Carré, Alexandre and et al</w:t>
      </w:r>
      <w:bookmarkStart w:id="5" w:name="_GoBack"/>
      <w:bookmarkEnd w:id="5"/>
      <w:r>
        <w:rPr>
          <w:rFonts w:ascii="Times New Roman" w:hAnsi="Times New Roman" w:cs="Times New Roman"/>
          <w:sz w:val="24"/>
          <w:szCs w:val="24"/>
        </w:rPr>
        <w:t>. "The complexity of tumor shape, spiculatedness, correlates with tumor radiomic shape features." Scientific Reports 2019; 9(1): 4329.</w:t>
      </w:r>
    </w:p>
    <w:p w:rsidR="00522669" w:rsidRDefault="00522669">
      <w:pPr>
        <w:rPr>
          <w:rFonts w:ascii="Times New Roman" w:hAnsi="Times New Roman" w:cs="Times New Roman"/>
          <w:sz w:val="24"/>
          <w:szCs w:val="24"/>
        </w:rPr>
      </w:pPr>
      <w:r>
        <w:rPr>
          <w:rFonts w:ascii="Times New Roman" w:hAnsi="Times New Roman" w:cs="Times New Roman"/>
          <w:sz w:val="24"/>
          <w:szCs w:val="24"/>
        </w:rPr>
        <w:t>5. Nyul L G, Udupa J K, Zhang X</w:t>
      </w:r>
      <w:r w:rsidRPr="00522669">
        <w:rPr>
          <w:rFonts w:ascii="Times New Roman" w:hAnsi="Times New Roman" w:cs="Times New Roman"/>
          <w:sz w:val="24"/>
          <w:szCs w:val="24"/>
        </w:rPr>
        <w:t>. New variants of a method</w:t>
      </w:r>
      <w:r>
        <w:rPr>
          <w:rFonts w:ascii="Times New Roman" w:hAnsi="Times New Roman" w:cs="Times New Roman"/>
          <w:sz w:val="24"/>
          <w:szCs w:val="24"/>
        </w:rPr>
        <w:t xml:space="preserve"> of MRI scale standardization</w:t>
      </w:r>
      <w:r w:rsidRPr="00522669">
        <w:rPr>
          <w:rFonts w:ascii="Times New Roman" w:hAnsi="Times New Roman" w:cs="Times New Roman"/>
          <w:sz w:val="24"/>
          <w:szCs w:val="24"/>
        </w:rPr>
        <w:t>. IEEE Transactions on Medical Imaging, 2000, 19(2):143-150.</w:t>
      </w:r>
    </w:p>
    <w:p w:rsidR="006F0D82" w:rsidRDefault="00522669">
      <w:pPr>
        <w:rPr>
          <w:rFonts w:ascii="Times New Roman" w:hAnsi="Times New Roman" w:cs="Times New Roman"/>
          <w:sz w:val="24"/>
          <w:szCs w:val="24"/>
        </w:rPr>
      </w:pPr>
      <w:bookmarkStart w:id="6" w:name="OLE_LINK16"/>
      <w:bookmarkStart w:id="7" w:name="OLE_LINK15"/>
      <w:r>
        <w:rPr>
          <w:rFonts w:ascii="Times New Roman" w:hAnsi="Times New Roman" w:cs="Times New Roman"/>
          <w:sz w:val="24"/>
          <w:szCs w:val="24"/>
        </w:rPr>
        <w:t>6</w:t>
      </w:r>
      <w:r w:rsidR="00B276C6">
        <w:rPr>
          <w:rFonts w:ascii="Times New Roman" w:hAnsi="Times New Roman" w:cs="Times New Roman"/>
          <w:sz w:val="24"/>
          <w:szCs w:val="24"/>
        </w:rPr>
        <w:t>. Zwanenburg A, Leger S, Vallières M, et al. Image biomarker standardisation initiative. arXiv preprint arXiv:1612.07003, 2016.</w:t>
      </w:r>
    </w:p>
    <w:p w:rsidR="006F0D82" w:rsidRDefault="00522669">
      <w:pPr>
        <w:rPr>
          <w:rFonts w:ascii="Times New Roman" w:hAnsi="Times New Roman" w:cs="Times New Roman"/>
          <w:sz w:val="24"/>
          <w:szCs w:val="24"/>
        </w:rPr>
      </w:pPr>
      <w:r>
        <w:rPr>
          <w:rFonts w:ascii="Times New Roman" w:hAnsi="Times New Roman" w:cs="Times New Roman"/>
          <w:sz w:val="24"/>
          <w:szCs w:val="24"/>
        </w:rPr>
        <w:t>7</w:t>
      </w:r>
      <w:r w:rsidR="00B276C6">
        <w:rPr>
          <w:rFonts w:ascii="Times New Roman" w:hAnsi="Times New Roman" w:cs="Times New Roman"/>
          <w:sz w:val="24"/>
          <w:szCs w:val="24"/>
        </w:rPr>
        <w:t>.</w:t>
      </w:r>
      <w:r w:rsidR="00B276C6">
        <w:t xml:space="preserve"> </w:t>
      </w:r>
      <w:r w:rsidR="00B276C6">
        <w:rPr>
          <w:rFonts w:ascii="Times New Roman" w:hAnsi="Times New Roman" w:cs="Times New Roman"/>
          <w:sz w:val="24"/>
          <w:szCs w:val="24"/>
        </w:rPr>
        <w:t xml:space="preserve">Aerts HJ, Velazquez ER, Leijenaar RT, Parmar C, Grossmann P, Carvalho S, Bussink J, Monshouwer R, Haibe-Kains B, Rietveld D et al: Decoding tumour </w:t>
      </w:r>
      <w:r w:rsidR="00B276C6">
        <w:rPr>
          <w:rFonts w:ascii="Times New Roman" w:hAnsi="Times New Roman" w:cs="Times New Roman"/>
          <w:sz w:val="24"/>
          <w:szCs w:val="24"/>
        </w:rPr>
        <w:lastRenderedPageBreak/>
        <w:t>phenotype by noninvasive imaging using a quantitative radiomics approach. Nature communications 2014, 5:4006.</w:t>
      </w:r>
    </w:p>
    <w:bookmarkEnd w:id="6"/>
    <w:bookmarkEnd w:id="7"/>
    <w:p w:rsidR="006F0D82" w:rsidRDefault="006F0D82"/>
    <w:sectPr w:rsidR="006F0D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E22" w:rsidRDefault="008D6E22" w:rsidP="00E93698">
      <w:pPr>
        <w:spacing w:after="0" w:line="240" w:lineRule="auto"/>
      </w:pPr>
      <w:r>
        <w:separator/>
      </w:r>
    </w:p>
  </w:endnote>
  <w:endnote w:type="continuationSeparator" w:id="0">
    <w:p w:rsidR="008D6E22" w:rsidRDefault="008D6E22" w:rsidP="00E9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E22" w:rsidRDefault="008D6E22" w:rsidP="00E93698">
      <w:pPr>
        <w:spacing w:after="0" w:line="240" w:lineRule="auto"/>
      </w:pPr>
      <w:r>
        <w:separator/>
      </w:r>
    </w:p>
  </w:footnote>
  <w:footnote w:type="continuationSeparator" w:id="0">
    <w:p w:rsidR="008D6E22" w:rsidRDefault="008D6E22" w:rsidP="00E93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B4160"/>
    <w:multiLevelType w:val="multilevel"/>
    <w:tmpl w:val="46BB4160"/>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EA"/>
    <w:rsid w:val="000072D9"/>
    <w:rsid w:val="000110C4"/>
    <w:rsid w:val="000B5173"/>
    <w:rsid w:val="000E4924"/>
    <w:rsid w:val="0018002E"/>
    <w:rsid w:val="00203ACC"/>
    <w:rsid w:val="00271E26"/>
    <w:rsid w:val="0029515C"/>
    <w:rsid w:val="00297547"/>
    <w:rsid w:val="002A1FE4"/>
    <w:rsid w:val="002C0431"/>
    <w:rsid w:val="002C5AAF"/>
    <w:rsid w:val="00314449"/>
    <w:rsid w:val="00381118"/>
    <w:rsid w:val="003C5E13"/>
    <w:rsid w:val="003D762D"/>
    <w:rsid w:val="003E5B87"/>
    <w:rsid w:val="00430E64"/>
    <w:rsid w:val="00485C9E"/>
    <w:rsid w:val="004A7BF4"/>
    <w:rsid w:val="004C106E"/>
    <w:rsid w:val="0051149B"/>
    <w:rsid w:val="00514E32"/>
    <w:rsid w:val="00522669"/>
    <w:rsid w:val="00547574"/>
    <w:rsid w:val="005814E0"/>
    <w:rsid w:val="005C0199"/>
    <w:rsid w:val="005C1D53"/>
    <w:rsid w:val="005E796D"/>
    <w:rsid w:val="005F574C"/>
    <w:rsid w:val="00623931"/>
    <w:rsid w:val="00663111"/>
    <w:rsid w:val="0069054B"/>
    <w:rsid w:val="00690571"/>
    <w:rsid w:val="006D6745"/>
    <w:rsid w:val="006F0D82"/>
    <w:rsid w:val="00752462"/>
    <w:rsid w:val="007524B7"/>
    <w:rsid w:val="00777D05"/>
    <w:rsid w:val="007A33F5"/>
    <w:rsid w:val="00824E1F"/>
    <w:rsid w:val="00833BA6"/>
    <w:rsid w:val="00864358"/>
    <w:rsid w:val="008C29DF"/>
    <w:rsid w:val="008D6E22"/>
    <w:rsid w:val="00974A10"/>
    <w:rsid w:val="00975D7C"/>
    <w:rsid w:val="00985A3E"/>
    <w:rsid w:val="009A30FE"/>
    <w:rsid w:val="009C2F2E"/>
    <w:rsid w:val="009E2990"/>
    <w:rsid w:val="00A55C0F"/>
    <w:rsid w:val="00A826E7"/>
    <w:rsid w:val="00A91799"/>
    <w:rsid w:val="00A93C92"/>
    <w:rsid w:val="00B276C6"/>
    <w:rsid w:val="00B3782B"/>
    <w:rsid w:val="00B433A8"/>
    <w:rsid w:val="00B52BEC"/>
    <w:rsid w:val="00B8497D"/>
    <w:rsid w:val="00BA5265"/>
    <w:rsid w:val="00BE22B8"/>
    <w:rsid w:val="00BF4A86"/>
    <w:rsid w:val="00C440FB"/>
    <w:rsid w:val="00C500FF"/>
    <w:rsid w:val="00CA6390"/>
    <w:rsid w:val="00D5477E"/>
    <w:rsid w:val="00DF5DA0"/>
    <w:rsid w:val="00E03C90"/>
    <w:rsid w:val="00E24DAA"/>
    <w:rsid w:val="00E85787"/>
    <w:rsid w:val="00E93698"/>
    <w:rsid w:val="00EA3A83"/>
    <w:rsid w:val="00EC18B9"/>
    <w:rsid w:val="00F275EA"/>
    <w:rsid w:val="00F42478"/>
    <w:rsid w:val="00FD66B3"/>
    <w:rsid w:val="1C8666BF"/>
    <w:rsid w:val="1EBD6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BB226"/>
  <w15:docId w15:val="{0AD41C16-6BE0-4C93-9E65-0613985F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160" w:line="48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Cambria" w:eastAsia="黑体" w:hAnsi="Cambria" w:cs="Cambria"/>
      <w:kern w:val="0"/>
      <w:sz w:val="20"/>
      <w:szCs w:val="20"/>
      <w:lang w:eastAsia="en-US"/>
    </w:rPr>
  </w:style>
  <w:style w:type="paragraph" w:styleId="a4">
    <w:name w:val="Balloon Text"/>
    <w:basedOn w:val="a"/>
    <w:link w:val="a5"/>
    <w:uiPriority w:val="99"/>
    <w:semiHidden/>
    <w:unhideWhenUsed/>
    <w:pPr>
      <w:spacing w:after="0" w:line="240" w:lineRule="auto"/>
    </w:pPr>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firstLineChars="200" w:firstLine="420"/>
    </w:pPr>
  </w:style>
  <w:style w:type="paragraph" w:customStyle="1" w:styleId="Default">
    <w:name w:val="Default"/>
    <w:pPr>
      <w:widowControl w:val="0"/>
      <w:autoSpaceDE w:val="0"/>
      <w:autoSpaceDN w:val="0"/>
      <w:adjustRightInd w:val="0"/>
      <w:spacing w:after="160" w:line="480" w:lineRule="auto"/>
    </w:pPr>
    <w:rPr>
      <w:rFonts w:ascii="Times New Roman" w:hAnsi="Times New Roman" w:cs="Times New Roman"/>
      <w:color w:val="000000"/>
      <w:sz w:val="24"/>
      <w:szCs w:val="24"/>
    </w:rPr>
  </w:style>
  <w:style w:type="table" w:customStyle="1" w:styleId="1">
    <w:name w:val="网格型1"/>
    <w:basedOn w:val="a1"/>
    <w:uiPriority w:val="39"/>
    <w:rPr>
      <w:rFonts w:ascii="Times New Roman" w:eastAsia="宋体" w:hAnsi="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页眉 字符"/>
    <w:basedOn w:val="a0"/>
    <w:link w:val="a8"/>
    <w:uiPriority w:val="99"/>
    <w:rPr>
      <w:sz w:val="18"/>
      <w:szCs w:val="18"/>
    </w:rPr>
  </w:style>
  <w:style w:type="character" w:customStyle="1" w:styleId="a7">
    <w:name w:val="页脚 字符"/>
    <w:basedOn w:val="a0"/>
    <w:link w:val="a6"/>
    <w:uiPriority w:val="99"/>
    <w:rPr>
      <w:sz w:val="18"/>
      <w:szCs w:val="18"/>
    </w:rPr>
  </w:style>
  <w:style w:type="paragraph" w:customStyle="1" w:styleId="EndNoteBibliography">
    <w:name w:val="EndNote Bibliography"/>
    <w:basedOn w:val="a"/>
    <w:link w:val="EndNoteBibliographyChar"/>
    <w:pPr>
      <w:spacing w:line="240" w:lineRule="auto"/>
    </w:pPr>
    <w:rPr>
      <w:rFonts w:ascii="等线" w:eastAsia="等线" w:hAnsi="等线" w:cs="Calibri"/>
      <w:sz w:val="20"/>
    </w:rPr>
  </w:style>
  <w:style w:type="character" w:customStyle="1" w:styleId="EndNoteBibliographyChar">
    <w:name w:val="EndNote Bibliography Char"/>
    <w:basedOn w:val="a0"/>
    <w:link w:val="EndNoteBibliography"/>
    <w:rPr>
      <w:rFonts w:ascii="等线" w:eastAsia="等线" w:hAnsi="等线" w:cs="Calibri"/>
      <w:sz w:val="20"/>
    </w:rPr>
  </w:style>
  <w:style w:type="character" w:customStyle="1" w:styleId="a5">
    <w:name w:val="批注框文本 字符"/>
    <w:basedOn w:val="a0"/>
    <w:link w:val="a4"/>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7</Pages>
  <Words>1025</Words>
  <Characters>5843</Characters>
  <Application>Microsoft Office Word</Application>
  <DocSecurity>0</DocSecurity>
  <Lines>48</Lines>
  <Paragraphs>13</Paragraphs>
  <ScaleCrop>false</ScaleCrop>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 duang</dc:creator>
  <cp:lastModifiedBy>钟 连珍</cp:lastModifiedBy>
  <cp:revision>11</cp:revision>
  <dcterms:created xsi:type="dcterms:W3CDTF">2019-05-19T04:08:00Z</dcterms:created>
  <dcterms:modified xsi:type="dcterms:W3CDTF">2019-07-16T11:19:00Z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