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7D" w:rsidRDefault="00417B7D" w:rsidP="00BD28F1">
      <w:pPr>
        <w:widowControl/>
        <w:spacing w:line="480" w:lineRule="auto"/>
        <w:rPr>
          <w:rFonts w:cs="Times New Roman"/>
          <w:b/>
          <w:kern w:val="0"/>
          <w:sz w:val="24"/>
          <w:szCs w:val="24"/>
        </w:rPr>
      </w:pPr>
      <w:r w:rsidRPr="00062275">
        <w:rPr>
          <w:rFonts w:cs="Times New Roman"/>
          <w:b/>
          <w:kern w:val="0"/>
          <w:sz w:val="24"/>
          <w:szCs w:val="24"/>
        </w:rPr>
        <w:t>Methods</w:t>
      </w:r>
    </w:p>
    <w:p w:rsidR="00417B7D" w:rsidRDefault="00417B7D" w:rsidP="004516F4">
      <w:pPr>
        <w:spacing w:line="480" w:lineRule="auto"/>
        <w:rPr>
          <w:sz w:val="24"/>
          <w:szCs w:val="24"/>
        </w:rPr>
      </w:pPr>
      <w:r>
        <w:rPr>
          <w:b/>
          <w:sz w:val="24"/>
          <w:szCs w:val="24"/>
        </w:rPr>
        <w:t>Participants</w:t>
      </w:r>
    </w:p>
    <w:p w:rsidR="00417B7D" w:rsidRPr="003B6C34" w:rsidRDefault="00417B7D" w:rsidP="004516F4">
      <w:pPr>
        <w:spacing w:line="480" w:lineRule="auto"/>
        <w:rPr>
          <w:sz w:val="24"/>
          <w:szCs w:val="24"/>
        </w:rPr>
      </w:pPr>
      <w:r>
        <w:rPr>
          <w:sz w:val="24"/>
          <w:szCs w:val="24"/>
        </w:rPr>
        <w:t xml:space="preserve">A total of 30 patients with </w:t>
      </w:r>
      <w:r w:rsidRPr="00CC79D3">
        <w:rPr>
          <w:sz w:val="24"/>
          <w:szCs w:val="24"/>
        </w:rPr>
        <w:t>ASD were recruited from the Department of Psychiatry at Kyoto University Hospital</w:t>
      </w:r>
      <w:r>
        <w:rPr>
          <w:sz w:val="24"/>
          <w:szCs w:val="24"/>
        </w:rPr>
        <w:t xml:space="preserve"> along with 30 age- and gender- matched healthy individuals from among</w:t>
      </w:r>
      <w:r>
        <w:rPr>
          <w:rFonts w:hint="eastAsia"/>
          <w:sz w:val="24"/>
          <w:szCs w:val="24"/>
        </w:rPr>
        <w:t xml:space="preserve"> </w:t>
      </w:r>
      <w:r>
        <w:rPr>
          <w:sz w:val="24"/>
          <w:szCs w:val="24"/>
        </w:rPr>
        <w:t xml:space="preserve">community </w:t>
      </w:r>
      <w:r w:rsidRPr="006041CA">
        <w:rPr>
          <w:sz w:val="24"/>
          <w:szCs w:val="24"/>
        </w:rPr>
        <w:t>volunteer</w:t>
      </w:r>
      <w:r>
        <w:rPr>
          <w:sz w:val="24"/>
          <w:szCs w:val="24"/>
        </w:rPr>
        <w:t xml:space="preserve">s. </w:t>
      </w:r>
      <w:r>
        <w:rPr>
          <w:rFonts w:hint="eastAsia"/>
          <w:sz w:val="24"/>
          <w:szCs w:val="24"/>
        </w:rPr>
        <w:t>I</w:t>
      </w:r>
      <w:r>
        <w:rPr>
          <w:sz w:val="24"/>
          <w:szCs w:val="24"/>
        </w:rPr>
        <w:t xml:space="preserve">n addition to the </w:t>
      </w:r>
      <w:r w:rsidRPr="00454A43">
        <w:rPr>
          <w:sz w:val="24"/>
          <w:szCs w:val="24"/>
        </w:rPr>
        <w:t>Diagnostic and Statistical Manual of Mental Disorders, Fifth Edition (DSM-</w:t>
      </w:r>
      <w:r>
        <w:rPr>
          <w:sz w:val="24"/>
          <w:szCs w:val="24"/>
        </w:rPr>
        <w:t>5</w:t>
      </w:r>
      <w:r w:rsidRPr="00454A43">
        <w:rPr>
          <w:sz w:val="24"/>
          <w:szCs w:val="24"/>
        </w:rPr>
        <w:t>)</w:t>
      </w:r>
      <w:r>
        <w:rPr>
          <w:sz w:val="24"/>
          <w:szCs w:val="24"/>
        </w:rPr>
        <w:t xml:space="preserve"> criteria, all participants were assessed using </w:t>
      </w:r>
      <w:r w:rsidRPr="00454A43">
        <w:rPr>
          <w:sz w:val="24"/>
          <w:szCs w:val="24"/>
        </w:rPr>
        <w:t>the Wechsler Adul</w:t>
      </w:r>
      <w:r>
        <w:rPr>
          <w:sz w:val="24"/>
          <w:szCs w:val="24"/>
        </w:rPr>
        <w:t xml:space="preserve">t Intelligence Scale </w:t>
      </w:r>
      <w:r>
        <w:rPr>
          <w:noProof/>
          <w:sz w:val="24"/>
          <w:szCs w:val="24"/>
        </w:rPr>
        <w:t>[1]</w:t>
      </w:r>
      <w:r>
        <w:rPr>
          <w:sz w:val="24"/>
          <w:szCs w:val="24"/>
        </w:rPr>
        <w:t xml:space="preserve">, the </w:t>
      </w:r>
      <w:r w:rsidRPr="00454A43">
        <w:rPr>
          <w:sz w:val="24"/>
          <w:szCs w:val="24"/>
        </w:rPr>
        <w:t xml:space="preserve">Autism Diagnostic Observation Scale </w:t>
      </w:r>
      <w:r>
        <w:rPr>
          <w:noProof/>
          <w:sz w:val="24"/>
          <w:szCs w:val="24"/>
        </w:rPr>
        <w:t>[2]</w:t>
      </w:r>
      <w:r>
        <w:rPr>
          <w:sz w:val="24"/>
          <w:szCs w:val="24"/>
        </w:rPr>
        <w:t xml:space="preserve">, and the Social Responsiveness Scale </w:t>
      </w:r>
      <w:r>
        <w:rPr>
          <w:noProof/>
          <w:sz w:val="24"/>
          <w:szCs w:val="24"/>
        </w:rPr>
        <w:t>[3]</w:t>
      </w:r>
      <w:r>
        <w:rPr>
          <w:sz w:val="24"/>
          <w:szCs w:val="24"/>
        </w:rPr>
        <w:t xml:space="preserve">. </w:t>
      </w:r>
      <w:r w:rsidRPr="00CC79D3">
        <w:rPr>
          <w:sz w:val="24"/>
          <w:szCs w:val="24"/>
        </w:rPr>
        <w:t>All participants were Japanese and took no medication</w:t>
      </w:r>
      <w:r>
        <w:rPr>
          <w:sz w:val="24"/>
          <w:szCs w:val="24"/>
        </w:rPr>
        <w:t xml:space="preserve"> </w:t>
      </w:r>
      <w:r w:rsidRPr="006041CA">
        <w:rPr>
          <w:sz w:val="24"/>
          <w:szCs w:val="24"/>
        </w:rPr>
        <w:t xml:space="preserve">at least three months </w:t>
      </w:r>
      <w:r>
        <w:rPr>
          <w:sz w:val="24"/>
          <w:szCs w:val="24"/>
        </w:rPr>
        <w:t>prior to</w:t>
      </w:r>
      <w:r w:rsidRPr="006041CA">
        <w:rPr>
          <w:sz w:val="24"/>
          <w:szCs w:val="24"/>
        </w:rPr>
        <w:t xml:space="preserve"> the collection of blood samples</w:t>
      </w:r>
      <w:r w:rsidRPr="00CC79D3">
        <w:rPr>
          <w:sz w:val="24"/>
          <w:szCs w:val="24"/>
        </w:rPr>
        <w:t>.</w:t>
      </w:r>
      <w:r>
        <w:rPr>
          <w:sz w:val="24"/>
          <w:szCs w:val="24"/>
        </w:rPr>
        <w:t xml:space="preserve"> </w:t>
      </w:r>
      <w:r>
        <w:rPr>
          <w:sz w:val="24"/>
        </w:rPr>
        <w:t xml:space="preserve">This study was approved by the </w:t>
      </w:r>
      <w:r>
        <w:rPr>
          <w:bCs/>
          <w:sz w:val="24"/>
        </w:rPr>
        <w:t>ethics</w:t>
      </w:r>
      <w:r>
        <w:rPr>
          <w:sz w:val="24"/>
        </w:rPr>
        <w:t xml:space="preserve"> committee of our institution, and written informed consent was obtained from all participants.</w:t>
      </w:r>
    </w:p>
    <w:p w:rsidR="00417B7D" w:rsidRDefault="00417B7D" w:rsidP="004516F4">
      <w:pPr>
        <w:spacing w:line="480" w:lineRule="auto"/>
        <w:rPr>
          <w:sz w:val="24"/>
          <w:szCs w:val="24"/>
        </w:rPr>
      </w:pPr>
    </w:p>
    <w:p w:rsidR="00417B7D" w:rsidRDefault="00417B7D" w:rsidP="004516F4">
      <w:pPr>
        <w:spacing w:line="480" w:lineRule="auto"/>
        <w:rPr>
          <w:b/>
          <w:sz w:val="24"/>
          <w:szCs w:val="24"/>
        </w:rPr>
      </w:pPr>
      <w:r>
        <w:rPr>
          <w:b/>
          <w:sz w:val="24"/>
          <w:szCs w:val="24"/>
        </w:rPr>
        <w:t>Blood miRNA extraction</w:t>
      </w:r>
    </w:p>
    <w:p w:rsidR="00417B7D" w:rsidRDefault="00417B7D" w:rsidP="004516F4">
      <w:pPr>
        <w:spacing w:line="480" w:lineRule="auto"/>
        <w:rPr>
          <w:sz w:val="24"/>
          <w:szCs w:val="24"/>
        </w:rPr>
      </w:pPr>
      <w:r>
        <w:rPr>
          <w:sz w:val="24"/>
          <w:szCs w:val="24"/>
        </w:rPr>
        <w:t>M</w:t>
      </w:r>
      <w:r w:rsidRPr="0097025F">
        <w:rPr>
          <w:sz w:val="24"/>
          <w:szCs w:val="24"/>
        </w:rPr>
        <w:t>iRN</w:t>
      </w:r>
      <w:r>
        <w:rPr>
          <w:sz w:val="24"/>
          <w:szCs w:val="24"/>
        </w:rPr>
        <w:t>As were</w:t>
      </w:r>
      <w:r w:rsidRPr="0097025F">
        <w:rPr>
          <w:sz w:val="24"/>
          <w:szCs w:val="24"/>
        </w:rPr>
        <w:t xml:space="preserve"> extracted from </w:t>
      </w:r>
      <w:r>
        <w:rPr>
          <w:sz w:val="24"/>
          <w:szCs w:val="24"/>
        </w:rPr>
        <w:t xml:space="preserve">the peripheral </w:t>
      </w:r>
      <w:r w:rsidRPr="0097025F">
        <w:rPr>
          <w:sz w:val="24"/>
          <w:szCs w:val="24"/>
        </w:rPr>
        <w:t xml:space="preserve">blood of participants </w:t>
      </w:r>
      <w:r>
        <w:rPr>
          <w:sz w:val="24"/>
          <w:szCs w:val="24"/>
        </w:rPr>
        <w:t>using</w:t>
      </w:r>
      <w:r w:rsidRPr="0097025F">
        <w:rPr>
          <w:sz w:val="24"/>
          <w:szCs w:val="24"/>
        </w:rPr>
        <w:t xml:space="preserve"> </w:t>
      </w:r>
      <w:r>
        <w:rPr>
          <w:sz w:val="24"/>
          <w:szCs w:val="24"/>
        </w:rPr>
        <w:t xml:space="preserve">a </w:t>
      </w:r>
      <w:r w:rsidRPr="0097025F">
        <w:rPr>
          <w:sz w:val="24"/>
          <w:szCs w:val="24"/>
        </w:rPr>
        <w:t>P</w:t>
      </w:r>
      <w:r>
        <w:rPr>
          <w:sz w:val="24"/>
          <w:szCs w:val="24"/>
        </w:rPr>
        <w:t>ax</w:t>
      </w:r>
      <w:r w:rsidRPr="0097025F">
        <w:rPr>
          <w:sz w:val="24"/>
          <w:szCs w:val="24"/>
        </w:rPr>
        <w:t xml:space="preserve">gene Blood miRNA </w:t>
      </w:r>
      <w:r>
        <w:rPr>
          <w:sz w:val="24"/>
          <w:szCs w:val="24"/>
        </w:rPr>
        <w:t>system</w:t>
      </w:r>
      <w:r w:rsidRPr="0097025F">
        <w:rPr>
          <w:sz w:val="24"/>
          <w:szCs w:val="24"/>
        </w:rPr>
        <w:t xml:space="preserve"> (</w:t>
      </w:r>
      <w:r>
        <w:rPr>
          <w:sz w:val="24"/>
          <w:szCs w:val="24"/>
        </w:rPr>
        <w:t>Qiagen, Tokyo, Japan</w:t>
      </w:r>
      <w:r w:rsidRPr="0097025F">
        <w:rPr>
          <w:sz w:val="24"/>
          <w:szCs w:val="24"/>
        </w:rPr>
        <w:t xml:space="preserve">). </w:t>
      </w:r>
      <w:r w:rsidRPr="008C5B4D">
        <w:rPr>
          <w:sz w:val="24"/>
          <w:szCs w:val="24"/>
        </w:rPr>
        <w:t>RNA quality and the presence of miRNA were confirmed using an Agilent 2100 Bioanalyzer</w:t>
      </w:r>
      <w:r w:rsidRPr="000E3A78">
        <w:rPr>
          <w:sz w:val="24"/>
          <w:szCs w:val="24"/>
        </w:rPr>
        <w:t xml:space="preserve"> (</w:t>
      </w:r>
      <w:r>
        <w:rPr>
          <w:sz w:val="24"/>
          <w:szCs w:val="24"/>
        </w:rPr>
        <w:t xml:space="preserve">Agilent </w:t>
      </w:r>
      <w:r w:rsidRPr="00B578A1">
        <w:rPr>
          <w:sz w:val="24"/>
          <w:szCs w:val="24"/>
        </w:rPr>
        <w:t>Technologies</w:t>
      </w:r>
      <w:r w:rsidRPr="000E3A78">
        <w:rPr>
          <w:sz w:val="24"/>
          <w:szCs w:val="24"/>
        </w:rPr>
        <w:t>, Tokyo, Japan).</w:t>
      </w:r>
    </w:p>
    <w:p w:rsidR="00417B7D" w:rsidRPr="00B46A37" w:rsidRDefault="00417B7D" w:rsidP="004516F4">
      <w:pPr>
        <w:spacing w:line="480" w:lineRule="auto"/>
        <w:rPr>
          <w:sz w:val="24"/>
          <w:szCs w:val="24"/>
        </w:rPr>
      </w:pPr>
    </w:p>
    <w:p w:rsidR="00417B7D" w:rsidRDefault="00417B7D" w:rsidP="004516F4">
      <w:pPr>
        <w:spacing w:line="480" w:lineRule="auto"/>
        <w:rPr>
          <w:b/>
          <w:sz w:val="24"/>
          <w:szCs w:val="24"/>
        </w:rPr>
      </w:pPr>
      <w:r>
        <w:rPr>
          <w:b/>
          <w:sz w:val="24"/>
          <w:szCs w:val="24"/>
        </w:rPr>
        <w:t>MiRNA microarray</w:t>
      </w:r>
    </w:p>
    <w:p w:rsidR="00417B7D" w:rsidRDefault="00417B7D" w:rsidP="004516F4">
      <w:pPr>
        <w:spacing w:line="480" w:lineRule="auto"/>
        <w:rPr>
          <w:sz w:val="24"/>
          <w:szCs w:val="24"/>
        </w:rPr>
      </w:pPr>
      <w:r w:rsidRPr="00D433FF">
        <w:rPr>
          <w:sz w:val="24"/>
          <w:szCs w:val="24"/>
        </w:rPr>
        <w:t xml:space="preserve">Profiling of microRNA expression </w:t>
      </w:r>
      <w:r>
        <w:rPr>
          <w:sz w:val="24"/>
          <w:szCs w:val="24"/>
        </w:rPr>
        <w:t xml:space="preserve">was performed using </w:t>
      </w:r>
      <w:r w:rsidRPr="00D433FF">
        <w:rPr>
          <w:sz w:val="24"/>
          <w:szCs w:val="24"/>
        </w:rPr>
        <w:t xml:space="preserve">the </w:t>
      </w:r>
      <w:proofErr w:type="spellStart"/>
      <w:r w:rsidRPr="00D433FF">
        <w:rPr>
          <w:sz w:val="24"/>
          <w:szCs w:val="24"/>
        </w:rPr>
        <w:t>SurePrint</w:t>
      </w:r>
      <w:proofErr w:type="spellEnd"/>
      <w:r w:rsidRPr="00D433FF">
        <w:rPr>
          <w:sz w:val="24"/>
          <w:szCs w:val="24"/>
        </w:rPr>
        <w:t xml:space="preserve"> G3 Human miRNA 8x60K Microarray (G4870C) (</w:t>
      </w:r>
      <w:r>
        <w:rPr>
          <w:sz w:val="24"/>
          <w:szCs w:val="24"/>
        </w:rPr>
        <w:t>Agilent Technologies</w:t>
      </w:r>
      <w:r w:rsidRPr="00D433FF">
        <w:rPr>
          <w:sz w:val="24"/>
          <w:szCs w:val="24"/>
        </w:rPr>
        <w:t>)</w:t>
      </w:r>
      <w:r>
        <w:rPr>
          <w:sz w:val="24"/>
          <w:szCs w:val="24"/>
        </w:rPr>
        <w:t xml:space="preserve"> as previously described </w:t>
      </w:r>
      <w:r>
        <w:rPr>
          <w:noProof/>
          <w:sz w:val="24"/>
          <w:szCs w:val="24"/>
        </w:rPr>
        <w:t>[4]</w:t>
      </w:r>
      <w:r>
        <w:rPr>
          <w:sz w:val="24"/>
          <w:szCs w:val="24"/>
        </w:rPr>
        <w:t xml:space="preserve">. </w:t>
      </w:r>
      <w:r w:rsidRPr="00FE1028">
        <w:rPr>
          <w:sz w:val="24"/>
          <w:szCs w:val="24"/>
        </w:rPr>
        <w:t>This microarray was designed to provide probes with both sequence and size discrimination, and to yield highly specific detection of closely related mature miRNAs</w:t>
      </w:r>
      <w:r w:rsidRPr="00FE1028">
        <w:t xml:space="preserve"> </w:t>
      </w:r>
      <w:r>
        <w:rPr>
          <w:noProof/>
          <w:sz w:val="24"/>
          <w:szCs w:val="24"/>
        </w:rPr>
        <w:t>[5]</w:t>
      </w:r>
      <w:r>
        <w:rPr>
          <w:sz w:val="24"/>
          <w:szCs w:val="24"/>
        </w:rPr>
        <w:t>.</w:t>
      </w:r>
      <w:r>
        <w:rPr>
          <w:rFonts w:hint="eastAsia"/>
          <w:sz w:val="24"/>
          <w:szCs w:val="24"/>
        </w:rPr>
        <w:t xml:space="preserve"> </w:t>
      </w:r>
      <w:r>
        <w:rPr>
          <w:sz w:val="24"/>
          <w:szCs w:val="24"/>
        </w:rPr>
        <w:t>Briefly, 100</w:t>
      </w:r>
      <w:r w:rsidRPr="00D353B3">
        <w:rPr>
          <w:sz w:val="24"/>
          <w:szCs w:val="24"/>
        </w:rPr>
        <w:t xml:space="preserve"> ng </w:t>
      </w:r>
      <w:r>
        <w:rPr>
          <w:sz w:val="24"/>
          <w:szCs w:val="24"/>
        </w:rPr>
        <w:t>of t</w:t>
      </w:r>
      <w:r w:rsidRPr="00D433FF">
        <w:rPr>
          <w:sz w:val="24"/>
          <w:szCs w:val="24"/>
        </w:rPr>
        <w:t>otal RNA w</w:t>
      </w:r>
      <w:r>
        <w:rPr>
          <w:sz w:val="24"/>
          <w:szCs w:val="24"/>
        </w:rPr>
        <w:t>as</w:t>
      </w:r>
      <w:r w:rsidRPr="00D433FF">
        <w:rPr>
          <w:sz w:val="24"/>
          <w:szCs w:val="24"/>
        </w:rPr>
        <w:t xml:space="preserve"> labeled</w:t>
      </w:r>
      <w:r>
        <w:rPr>
          <w:sz w:val="24"/>
          <w:szCs w:val="24"/>
        </w:rPr>
        <w:t xml:space="preserve">, </w:t>
      </w:r>
      <w:r w:rsidRPr="00D433FF">
        <w:rPr>
          <w:sz w:val="24"/>
          <w:szCs w:val="24"/>
        </w:rPr>
        <w:t>hybridized</w:t>
      </w:r>
      <w:r>
        <w:rPr>
          <w:sz w:val="24"/>
          <w:szCs w:val="24"/>
        </w:rPr>
        <w:t xml:space="preserve">, and </w:t>
      </w:r>
      <w:r w:rsidRPr="00D433FF">
        <w:rPr>
          <w:sz w:val="24"/>
          <w:szCs w:val="24"/>
        </w:rPr>
        <w:t>scanned.</w:t>
      </w:r>
      <w:r>
        <w:rPr>
          <w:sz w:val="24"/>
          <w:szCs w:val="24"/>
        </w:rPr>
        <w:t xml:space="preserve"> </w:t>
      </w:r>
      <w:r w:rsidRPr="00D433FF">
        <w:rPr>
          <w:sz w:val="24"/>
          <w:szCs w:val="24"/>
        </w:rPr>
        <w:t>The array platform contains 25</w:t>
      </w:r>
      <w:r>
        <w:rPr>
          <w:sz w:val="24"/>
          <w:szCs w:val="24"/>
        </w:rPr>
        <w:t>49</w:t>
      </w:r>
      <w:r w:rsidRPr="00D433FF">
        <w:rPr>
          <w:sz w:val="24"/>
          <w:szCs w:val="24"/>
        </w:rPr>
        <w:t xml:space="preserve"> human miRNAs based on </w:t>
      </w:r>
      <w:proofErr w:type="spellStart"/>
      <w:r w:rsidRPr="00D433FF">
        <w:rPr>
          <w:sz w:val="24"/>
          <w:szCs w:val="24"/>
        </w:rPr>
        <w:t>miRBase</w:t>
      </w:r>
      <w:proofErr w:type="spellEnd"/>
      <w:r w:rsidRPr="00D433FF">
        <w:rPr>
          <w:sz w:val="24"/>
          <w:szCs w:val="24"/>
        </w:rPr>
        <w:t xml:space="preserve"> 21.0.</w:t>
      </w:r>
      <w:r>
        <w:rPr>
          <w:rFonts w:hint="eastAsia"/>
          <w:sz w:val="24"/>
          <w:szCs w:val="24"/>
        </w:rPr>
        <w:t xml:space="preserve"> </w:t>
      </w:r>
      <w:r w:rsidRPr="00A8276C">
        <w:rPr>
          <w:sz w:val="24"/>
          <w:szCs w:val="24"/>
        </w:rPr>
        <w:t>The data w</w:t>
      </w:r>
      <w:r>
        <w:rPr>
          <w:sz w:val="24"/>
          <w:szCs w:val="24"/>
        </w:rPr>
        <w:t>ere</w:t>
      </w:r>
      <w:r w:rsidRPr="00A8276C">
        <w:rPr>
          <w:sz w:val="24"/>
          <w:szCs w:val="24"/>
        </w:rPr>
        <w:t xml:space="preserve"> processed and analyzed using the </w:t>
      </w:r>
      <w:proofErr w:type="spellStart"/>
      <w:r w:rsidRPr="00A8276C">
        <w:rPr>
          <w:sz w:val="24"/>
          <w:szCs w:val="24"/>
        </w:rPr>
        <w:t>AgiMicroRna</w:t>
      </w:r>
      <w:proofErr w:type="spellEnd"/>
      <w:r>
        <w:rPr>
          <w:sz w:val="24"/>
          <w:szCs w:val="24"/>
        </w:rPr>
        <w:t xml:space="preserve"> R-package </w:t>
      </w:r>
      <w:r>
        <w:rPr>
          <w:noProof/>
          <w:sz w:val="24"/>
          <w:szCs w:val="24"/>
        </w:rPr>
        <w:t>[6]</w:t>
      </w:r>
      <w:r w:rsidRPr="00A8276C">
        <w:rPr>
          <w:sz w:val="24"/>
          <w:szCs w:val="24"/>
        </w:rPr>
        <w:t>.</w:t>
      </w:r>
      <w:r>
        <w:rPr>
          <w:sz w:val="24"/>
          <w:szCs w:val="24"/>
        </w:rPr>
        <w:t xml:space="preserve"> A</w:t>
      </w:r>
      <w:r w:rsidRPr="007740B4">
        <w:rPr>
          <w:sz w:val="24"/>
          <w:szCs w:val="24"/>
        </w:rPr>
        <w:t>fter normalization and filtering out</w:t>
      </w:r>
      <w:r>
        <w:rPr>
          <w:sz w:val="24"/>
          <w:szCs w:val="24"/>
        </w:rPr>
        <w:t xml:space="preserve"> of </w:t>
      </w:r>
      <w:r w:rsidRPr="00A8276C">
        <w:rPr>
          <w:sz w:val="24"/>
          <w:szCs w:val="24"/>
        </w:rPr>
        <w:t>poor-quality pro</w:t>
      </w:r>
      <w:r>
        <w:rPr>
          <w:sz w:val="24"/>
          <w:szCs w:val="24"/>
        </w:rPr>
        <w:t>bes, 404 miRNAs were used in further</w:t>
      </w:r>
      <w:r w:rsidRPr="00A8276C">
        <w:rPr>
          <w:sz w:val="24"/>
          <w:szCs w:val="24"/>
        </w:rPr>
        <w:t xml:space="preserve"> analysis.</w:t>
      </w:r>
      <w:r>
        <w:rPr>
          <w:rFonts w:hint="eastAsia"/>
          <w:sz w:val="24"/>
          <w:szCs w:val="24"/>
        </w:rPr>
        <w:t xml:space="preserve"> </w:t>
      </w:r>
      <w:r w:rsidRPr="00A8276C">
        <w:rPr>
          <w:sz w:val="24"/>
          <w:szCs w:val="24"/>
        </w:rPr>
        <w:t>A linear model was fitted to each miRNA</w:t>
      </w:r>
      <w:r>
        <w:rPr>
          <w:sz w:val="24"/>
          <w:szCs w:val="24"/>
        </w:rPr>
        <w:t>, and d</w:t>
      </w:r>
      <w:r w:rsidRPr="00A8276C">
        <w:rPr>
          <w:sz w:val="24"/>
          <w:szCs w:val="24"/>
        </w:rPr>
        <w:t xml:space="preserve">ifferentially expressed miRNAs were considered </w:t>
      </w:r>
      <w:r>
        <w:rPr>
          <w:sz w:val="24"/>
          <w:szCs w:val="24"/>
        </w:rPr>
        <w:t>as those with</w:t>
      </w:r>
      <w:r w:rsidRPr="00A8276C">
        <w:rPr>
          <w:sz w:val="24"/>
          <w:szCs w:val="24"/>
        </w:rPr>
        <w:t xml:space="preserve"> a </w:t>
      </w:r>
      <w:r w:rsidRPr="0095714F">
        <w:rPr>
          <w:i/>
          <w:iCs/>
          <w:sz w:val="24"/>
          <w:szCs w:val="24"/>
        </w:rPr>
        <w:t>p</w:t>
      </w:r>
      <w:r>
        <w:rPr>
          <w:sz w:val="24"/>
          <w:szCs w:val="24"/>
        </w:rPr>
        <w:t>-</w:t>
      </w:r>
      <w:r w:rsidRPr="00A8276C">
        <w:rPr>
          <w:sz w:val="24"/>
          <w:szCs w:val="24"/>
        </w:rPr>
        <w:t xml:space="preserve">value &lt;0.01 and </w:t>
      </w:r>
      <w:r>
        <w:rPr>
          <w:sz w:val="24"/>
          <w:szCs w:val="24"/>
        </w:rPr>
        <w:lastRenderedPageBreak/>
        <w:t xml:space="preserve">|fold change| </w:t>
      </w:r>
      <w:r w:rsidRPr="00A8276C">
        <w:rPr>
          <w:sz w:val="24"/>
          <w:szCs w:val="24"/>
        </w:rPr>
        <w:t>&gt;</w:t>
      </w:r>
      <w:r>
        <w:rPr>
          <w:sz w:val="24"/>
          <w:szCs w:val="24"/>
        </w:rPr>
        <w:t xml:space="preserve"> </w:t>
      </w:r>
      <w:r w:rsidRPr="00A8276C">
        <w:rPr>
          <w:sz w:val="24"/>
          <w:szCs w:val="24"/>
        </w:rPr>
        <w:t>1.5.</w:t>
      </w:r>
      <w:r>
        <w:rPr>
          <w:sz w:val="24"/>
          <w:szCs w:val="24"/>
        </w:rPr>
        <w:t xml:space="preserve"> </w:t>
      </w:r>
      <w:r w:rsidRPr="00384BF1">
        <w:rPr>
          <w:sz w:val="24"/>
          <w:szCs w:val="24"/>
        </w:rPr>
        <w:t xml:space="preserve">Multiple testing correction based on the false discovery rate was also obtained by using the </w:t>
      </w:r>
      <w:proofErr w:type="spellStart"/>
      <w:r w:rsidRPr="00384BF1">
        <w:rPr>
          <w:sz w:val="24"/>
          <w:szCs w:val="24"/>
        </w:rPr>
        <w:t>Benjamini</w:t>
      </w:r>
      <w:proofErr w:type="spellEnd"/>
      <w:r w:rsidRPr="00384BF1">
        <w:rPr>
          <w:sz w:val="24"/>
          <w:szCs w:val="24"/>
        </w:rPr>
        <w:t>-Hochberg procedure</w:t>
      </w:r>
      <w:r>
        <w:rPr>
          <w:sz w:val="24"/>
          <w:szCs w:val="24"/>
        </w:rPr>
        <w:t xml:space="preserve"> </w:t>
      </w:r>
      <w:r>
        <w:rPr>
          <w:noProof/>
          <w:sz w:val="24"/>
          <w:szCs w:val="24"/>
        </w:rPr>
        <w:t>[7]</w:t>
      </w:r>
      <w:r>
        <w:rPr>
          <w:sz w:val="24"/>
          <w:szCs w:val="24"/>
        </w:rPr>
        <w:t>.</w:t>
      </w:r>
    </w:p>
    <w:p w:rsidR="00417B7D" w:rsidRPr="004B630E" w:rsidRDefault="00417B7D" w:rsidP="004516F4">
      <w:pPr>
        <w:spacing w:line="480" w:lineRule="auto"/>
        <w:rPr>
          <w:sz w:val="24"/>
          <w:szCs w:val="24"/>
        </w:rPr>
      </w:pPr>
    </w:p>
    <w:p w:rsidR="00417B7D" w:rsidRDefault="00417B7D" w:rsidP="004516F4">
      <w:pPr>
        <w:spacing w:line="480" w:lineRule="auto"/>
        <w:rPr>
          <w:sz w:val="24"/>
          <w:szCs w:val="24"/>
        </w:rPr>
      </w:pPr>
      <w:r>
        <w:rPr>
          <w:b/>
          <w:sz w:val="24"/>
          <w:szCs w:val="24"/>
        </w:rPr>
        <w:t>MiRNA quantitative reverse transcription-polymerase chain reaction (</w:t>
      </w:r>
      <w:proofErr w:type="spellStart"/>
      <w:r>
        <w:rPr>
          <w:b/>
          <w:sz w:val="24"/>
          <w:szCs w:val="24"/>
        </w:rPr>
        <w:t>qRT</w:t>
      </w:r>
      <w:proofErr w:type="spellEnd"/>
      <w:r>
        <w:rPr>
          <w:b/>
          <w:sz w:val="24"/>
          <w:szCs w:val="24"/>
        </w:rPr>
        <w:t>-PCR)</w:t>
      </w:r>
      <w:r>
        <w:rPr>
          <w:rFonts w:hint="eastAsia"/>
          <w:b/>
          <w:sz w:val="24"/>
          <w:szCs w:val="24"/>
        </w:rPr>
        <w:t xml:space="preserve"> </w:t>
      </w:r>
      <w:r>
        <w:rPr>
          <w:b/>
          <w:sz w:val="24"/>
          <w:szCs w:val="24"/>
        </w:rPr>
        <w:t>analysis</w:t>
      </w:r>
      <w:r w:rsidRPr="005F7919">
        <w:rPr>
          <w:sz w:val="24"/>
          <w:szCs w:val="24"/>
        </w:rPr>
        <w:t xml:space="preserve"> </w:t>
      </w:r>
    </w:p>
    <w:p w:rsidR="00417B7D" w:rsidRPr="00D45965" w:rsidRDefault="00417B7D" w:rsidP="004516F4">
      <w:pPr>
        <w:spacing w:line="480" w:lineRule="auto"/>
        <w:rPr>
          <w:sz w:val="24"/>
          <w:szCs w:val="24"/>
        </w:rPr>
      </w:pPr>
      <w:r>
        <w:rPr>
          <w:bCs/>
          <w:sz w:val="24"/>
          <w:szCs w:val="24"/>
        </w:rPr>
        <w:t xml:space="preserve">Total miRNAs from human </w:t>
      </w:r>
      <w:proofErr w:type="spellStart"/>
      <w:r>
        <w:rPr>
          <w:bCs/>
          <w:sz w:val="24"/>
          <w:szCs w:val="24"/>
        </w:rPr>
        <w:t>bqrain</w:t>
      </w:r>
      <w:proofErr w:type="spellEnd"/>
      <w:r>
        <w:rPr>
          <w:bCs/>
          <w:sz w:val="24"/>
          <w:szCs w:val="24"/>
        </w:rPr>
        <w:t xml:space="preserve">, heart, kidney, liver, lung and spleen </w:t>
      </w:r>
      <w:r w:rsidRPr="00971A70">
        <w:rPr>
          <w:bCs/>
          <w:sz w:val="24"/>
          <w:szCs w:val="24"/>
        </w:rPr>
        <w:t xml:space="preserve">were purchased from </w:t>
      </w:r>
      <w:proofErr w:type="spellStart"/>
      <w:r w:rsidRPr="00971A70">
        <w:rPr>
          <w:bCs/>
          <w:sz w:val="24"/>
          <w:szCs w:val="24"/>
        </w:rPr>
        <w:t>BioChain</w:t>
      </w:r>
      <w:proofErr w:type="spellEnd"/>
      <w:r w:rsidRPr="00971A70">
        <w:rPr>
          <w:bCs/>
          <w:sz w:val="24"/>
          <w:szCs w:val="24"/>
        </w:rPr>
        <w:t xml:space="preserve"> (Newark, CA</w:t>
      </w:r>
      <w:r>
        <w:rPr>
          <w:bCs/>
          <w:sz w:val="24"/>
          <w:szCs w:val="24"/>
        </w:rPr>
        <w:t>, USA</w:t>
      </w:r>
      <w:r w:rsidRPr="00971A70">
        <w:rPr>
          <w:bCs/>
          <w:sz w:val="24"/>
          <w:szCs w:val="24"/>
        </w:rPr>
        <w:t>).</w:t>
      </w:r>
      <w:r>
        <w:rPr>
          <w:rFonts w:hint="eastAsia"/>
          <w:bCs/>
          <w:sz w:val="24"/>
          <w:szCs w:val="24"/>
        </w:rPr>
        <w:t xml:space="preserve"> </w:t>
      </w:r>
      <w:r w:rsidRPr="00F70D45">
        <w:rPr>
          <w:sz w:val="24"/>
          <w:szCs w:val="24"/>
        </w:rPr>
        <w:t>TaqMan MicroRNA Assays</w:t>
      </w:r>
      <w:r>
        <w:rPr>
          <w:sz w:val="24"/>
          <w:szCs w:val="24"/>
        </w:rPr>
        <w:t xml:space="preserve"> </w:t>
      </w:r>
      <w:r w:rsidRPr="00F70D45">
        <w:rPr>
          <w:sz w:val="24"/>
          <w:szCs w:val="24"/>
        </w:rPr>
        <w:t>(</w:t>
      </w:r>
      <w:r w:rsidRPr="00792CD2">
        <w:rPr>
          <w:sz w:val="24"/>
          <w:szCs w:val="24"/>
        </w:rPr>
        <w:t xml:space="preserve">Thermo Fisher Scientific, </w:t>
      </w:r>
      <w:r w:rsidRPr="00B578A1">
        <w:rPr>
          <w:sz w:val="24"/>
          <w:szCs w:val="24"/>
        </w:rPr>
        <w:t>Yokohama, Japan</w:t>
      </w:r>
      <w:r w:rsidRPr="00F70D45">
        <w:rPr>
          <w:sz w:val="24"/>
          <w:szCs w:val="24"/>
        </w:rPr>
        <w:t>)</w:t>
      </w:r>
      <w:r>
        <w:rPr>
          <w:sz w:val="24"/>
          <w:szCs w:val="24"/>
        </w:rPr>
        <w:t xml:space="preserve"> were used: has-miR-6126</w:t>
      </w:r>
      <w:r w:rsidRPr="009E3EFA">
        <w:t xml:space="preserve"> </w:t>
      </w:r>
      <w:r w:rsidRPr="009E3EFA">
        <w:rPr>
          <w:sz w:val="24"/>
          <w:szCs w:val="24"/>
        </w:rPr>
        <w:t xml:space="preserve">(TaqMan Assay ID: </w:t>
      </w:r>
      <w:r>
        <w:rPr>
          <w:sz w:val="24"/>
          <w:szCs w:val="24"/>
        </w:rPr>
        <w:t>475618</w:t>
      </w:r>
      <w:r w:rsidRPr="009E3EFA">
        <w:rPr>
          <w:sz w:val="24"/>
          <w:szCs w:val="24"/>
        </w:rPr>
        <w:t>_</w:t>
      </w:r>
      <w:r>
        <w:rPr>
          <w:sz w:val="24"/>
          <w:szCs w:val="24"/>
        </w:rPr>
        <w:t>mat, miRbase accession ID</w:t>
      </w:r>
      <w:r w:rsidRPr="009E3EFA">
        <w:rPr>
          <w:sz w:val="24"/>
          <w:szCs w:val="24"/>
        </w:rPr>
        <w:t xml:space="preserve">: </w:t>
      </w:r>
      <w:r>
        <w:rPr>
          <w:sz w:val="24"/>
          <w:szCs w:val="24"/>
        </w:rPr>
        <w:t>MIMAT0024599</w:t>
      </w:r>
      <w:r w:rsidRPr="009E3EFA">
        <w:rPr>
          <w:sz w:val="24"/>
          <w:szCs w:val="24"/>
        </w:rPr>
        <w:t>)</w:t>
      </w:r>
      <w:r>
        <w:rPr>
          <w:sz w:val="24"/>
          <w:szCs w:val="24"/>
        </w:rPr>
        <w:t xml:space="preserve"> and U6 snRNA</w:t>
      </w:r>
      <w:r w:rsidRPr="009E3EFA">
        <w:t xml:space="preserve"> </w:t>
      </w:r>
      <w:r w:rsidRPr="009E3EFA">
        <w:rPr>
          <w:sz w:val="24"/>
          <w:szCs w:val="24"/>
        </w:rPr>
        <w:t xml:space="preserve">(TaqMan Assay ID: </w:t>
      </w:r>
      <w:r>
        <w:rPr>
          <w:sz w:val="24"/>
          <w:szCs w:val="24"/>
        </w:rPr>
        <w:t>0001973, miRbase accession ID</w:t>
      </w:r>
      <w:r w:rsidRPr="009E3EFA">
        <w:rPr>
          <w:sz w:val="24"/>
          <w:szCs w:val="24"/>
        </w:rPr>
        <w:t xml:space="preserve">: </w:t>
      </w:r>
      <w:r>
        <w:rPr>
          <w:sz w:val="24"/>
          <w:szCs w:val="24"/>
        </w:rPr>
        <w:t>NR_004394</w:t>
      </w:r>
      <w:r w:rsidRPr="009E3EFA">
        <w:rPr>
          <w:sz w:val="24"/>
          <w:szCs w:val="24"/>
        </w:rPr>
        <w:t>)</w:t>
      </w:r>
      <w:r>
        <w:rPr>
          <w:sz w:val="24"/>
          <w:szCs w:val="24"/>
        </w:rPr>
        <w:t>.</w:t>
      </w:r>
      <w:r>
        <w:rPr>
          <w:rFonts w:hint="eastAsia"/>
          <w:sz w:val="24"/>
          <w:szCs w:val="24"/>
        </w:rPr>
        <w:t xml:space="preserve"> </w:t>
      </w:r>
      <w:r>
        <w:rPr>
          <w:sz w:val="24"/>
          <w:szCs w:val="24"/>
        </w:rPr>
        <w:t xml:space="preserve">Briefly, </w:t>
      </w:r>
      <w:r w:rsidRPr="00F70D45">
        <w:rPr>
          <w:sz w:val="24"/>
          <w:szCs w:val="24"/>
        </w:rPr>
        <w:t>50 ng of total RNA</w:t>
      </w:r>
      <w:r>
        <w:rPr>
          <w:sz w:val="24"/>
          <w:szCs w:val="24"/>
        </w:rPr>
        <w:t xml:space="preserve"> was </w:t>
      </w:r>
      <w:r w:rsidRPr="00836317">
        <w:rPr>
          <w:rFonts w:hint="eastAsia"/>
          <w:sz w:val="24"/>
          <w:szCs w:val="24"/>
        </w:rPr>
        <w:t>reverse</w:t>
      </w:r>
      <w:r>
        <w:rPr>
          <w:rFonts w:hint="eastAsia"/>
          <w:sz w:val="24"/>
          <w:szCs w:val="24"/>
        </w:rPr>
        <w:t xml:space="preserve"> </w:t>
      </w:r>
      <w:r w:rsidRPr="00836317">
        <w:rPr>
          <w:rFonts w:hint="eastAsia"/>
          <w:sz w:val="24"/>
          <w:szCs w:val="24"/>
        </w:rPr>
        <w:t>transcribed</w:t>
      </w:r>
      <w:r>
        <w:rPr>
          <w:sz w:val="24"/>
          <w:szCs w:val="24"/>
        </w:rPr>
        <w:t xml:space="preserve">, followed by </w:t>
      </w:r>
      <w:r w:rsidRPr="00836317">
        <w:rPr>
          <w:rFonts w:hint="eastAsia"/>
          <w:sz w:val="24"/>
          <w:szCs w:val="24"/>
        </w:rPr>
        <w:t>pre</w:t>
      </w:r>
      <w:r>
        <w:rPr>
          <w:rFonts w:hint="eastAsia"/>
          <w:sz w:val="24"/>
          <w:szCs w:val="24"/>
        </w:rPr>
        <w:t>-</w:t>
      </w:r>
      <w:r w:rsidRPr="00836317">
        <w:rPr>
          <w:rFonts w:hint="eastAsia"/>
          <w:sz w:val="24"/>
          <w:szCs w:val="24"/>
        </w:rPr>
        <w:t xml:space="preserve">amplification with </w:t>
      </w:r>
      <w:r>
        <w:rPr>
          <w:rFonts w:hint="eastAsia"/>
          <w:sz w:val="24"/>
          <w:szCs w:val="24"/>
        </w:rPr>
        <w:t>t</w:t>
      </w:r>
      <w:r>
        <w:rPr>
          <w:sz w:val="24"/>
          <w:szCs w:val="24"/>
        </w:rPr>
        <w:t xml:space="preserve">he </w:t>
      </w:r>
      <w:r w:rsidRPr="00836317">
        <w:rPr>
          <w:rFonts w:hint="eastAsia"/>
          <w:sz w:val="24"/>
          <w:szCs w:val="24"/>
        </w:rPr>
        <w:t xml:space="preserve">TaqMan </w:t>
      </w:r>
      <w:proofErr w:type="spellStart"/>
      <w:r w:rsidRPr="00836317">
        <w:rPr>
          <w:rFonts w:hint="eastAsia"/>
          <w:sz w:val="24"/>
          <w:szCs w:val="24"/>
        </w:rPr>
        <w:t>PreAmp</w:t>
      </w:r>
      <w:proofErr w:type="spellEnd"/>
      <w:r w:rsidRPr="00836317">
        <w:rPr>
          <w:rFonts w:hint="eastAsia"/>
          <w:sz w:val="24"/>
          <w:szCs w:val="24"/>
        </w:rPr>
        <w:t xml:space="preserve"> Master Mix</w:t>
      </w:r>
      <w:r>
        <w:rPr>
          <w:sz w:val="24"/>
          <w:szCs w:val="24"/>
        </w:rPr>
        <w:t xml:space="preserve"> (</w:t>
      </w:r>
      <w:r w:rsidRPr="00F70D45">
        <w:rPr>
          <w:sz w:val="24"/>
          <w:szCs w:val="24"/>
        </w:rPr>
        <w:t>Thermo Fisher Scientific</w:t>
      </w:r>
      <w:r>
        <w:rPr>
          <w:sz w:val="24"/>
          <w:szCs w:val="24"/>
        </w:rPr>
        <w:t>)</w:t>
      </w:r>
      <w:r w:rsidRPr="00836317">
        <w:rPr>
          <w:rFonts w:hint="eastAsia"/>
          <w:sz w:val="24"/>
          <w:szCs w:val="24"/>
        </w:rPr>
        <w:t>.</w:t>
      </w:r>
      <w:r>
        <w:rPr>
          <w:sz w:val="24"/>
          <w:szCs w:val="24"/>
        </w:rPr>
        <w:t xml:space="preserve"> </w:t>
      </w:r>
      <w:r w:rsidRPr="00F70D45">
        <w:rPr>
          <w:sz w:val="24"/>
          <w:szCs w:val="24"/>
        </w:rPr>
        <w:t xml:space="preserve">Real-time PCR reactions were run in duplicates </w:t>
      </w:r>
      <w:r>
        <w:rPr>
          <w:sz w:val="24"/>
          <w:szCs w:val="24"/>
        </w:rPr>
        <w:t>on an</w:t>
      </w:r>
      <w:r w:rsidRPr="00F70D45">
        <w:rPr>
          <w:sz w:val="24"/>
          <w:szCs w:val="24"/>
        </w:rPr>
        <w:t xml:space="preserve"> ABI 7900HT Fast Real-Time PCR System (Thermo Fisher Scientific)</w:t>
      </w:r>
      <w:r>
        <w:rPr>
          <w:sz w:val="24"/>
          <w:szCs w:val="24"/>
        </w:rPr>
        <w:t xml:space="preserve"> and </w:t>
      </w:r>
      <w:r w:rsidRPr="00F70D45">
        <w:rPr>
          <w:sz w:val="24"/>
          <w:szCs w:val="24"/>
        </w:rPr>
        <w:t xml:space="preserve">expression </w:t>
      </w:r>
      <w:r>
        <w:rPr>
          <w:sz w:val="24"/>
          <w:szCs w:val="24"/>
        </w:rPr>
        <w:t>level</w:t>
      </w:r>
      <w:r w:rsidRPr="00F70D45">
        <w:rPr>
          <w:sz w:val="24"/>
          <w:szCs w:val="24"/>
        </w:rPr>
        <w:t xml:space="preserve"> was normalized</w:t>
      </w:r>
      <w:r>
        <w:rPr>
          <w:sz w:val="24"/>
          <w:szCs w:val="24"/>
        </w:rPr>
        <w:t xml:space="preserve"> to</w:t>
      </w:r>
      <w:r w:rsidRPr="00F70D45">
        <w:rPr>
          <w:sz w:val="24"/>
          <w:szCs w:val="24"/>
        </w:rPr>
        <w:t xml:space="preserve"> </w:t>
      </w:r>
      <w:r>
        <w:rPr>
          <w:sz w:val="24"/>
          <w:szCs w:val="24"/>
        </w:rPr>
        <w:t>that of U6 snRNA</w:t>
      </w:r>
      <w:r w:rsidRPr="00853312">
        <w:rPr>
          <w:sz w:val="24"/>
          <w:szCs w:val="24"/>
        </w:rPr>
        <w:t>.</w:t>
      </w:r>
    </w:p>
    <w:p w:rsidR="00417B7D" w:rsidRDefault="00417B7D" w:rsidP="004516F4">
      <w:pPr>
        <w:spacing w:line="480" w:lineRule="auto"/>
        <w:rPr>
          <w:sz w:val="24"/>
          <w:szCs w:val="24"/>
        </w:rPr>
      </w:pPr>
    </w:p>
    <w:p w:rsidR="00417B7D" w:rsidRDefault="00417B7D" w:rsidP="004516F4">
      <w:pPr>
        <w:spacing w:line="480" w:lineRule="auto"/>
        <w:rPr>
          <w:b/>
          <w:sz w:val="24"/>
          <w:szCs w:val="24"/>
        </w:rPr>
      </w:pPr>
      <w:r>
        <w:rPr>
          <w:b/>
          <w:sz w:val="24"/>
          <w:szCs w:val="24"/>
        </w:rPr>
        <w:t>Machine learning analysis</w:t>
      </w:r>
    </w:p>
    <w:p w:rsidR="00417B7D" w:rsidRPr="000D115C" w:rsidRDefault="00417B7D" w:rsidP="004516F4">
      <w:pPr>
        <w:spacing w:line="480" w:lineRule="auto"/>
        <w:rPr>
          <w:bCs/>
          <w:sz w:val="24"/>
        </w:rPr>
      </w:pPr>
      <w:r>
        <w:rPr>
          <w:sz w:val="24"/>
          <w:szCs w:val="24"/>
        </w:rPr>
        <w:t xml:space="preserve">We employed </w:t>
      </w:r>
      <w:r>
        <w:rPr>
          <w:bCs/>
          <w:sz w:val="24"/>
        </w:rPr>
        <w:t xml:space="preserve">a </w:t>
      </w:r>
      <w:r w:rsidRPr="003F784E">
        <w:rPr>
          <w:sz w:val="24"/>
          <w:szCs w:val="24"/>
        </w:rPr>
        <w:t>greedy algorithm, the Coarse Approximation Linear Function (</w:t>
      </w:r>
      <w:r>
        <w:rPr>
          <w:sz w:val="24"/>
          <w:szCs w:val="24"/>
        </w:rPr>
        <w:t>CALF</w:t>
      </w:r>
      <w:r w:rsidRPr="003F784E">
        <w:rPr>
          <w:sz w:val="24"/>
          <w:szCs w:val="24"/>
        </w:rPr>
        <w:t>)</w:t>
      </w:r>
      <w:r>
        <w:rPr>
          <w:sz w:val="24"/>
          <w:szCs w:val="24"/>
        </w:rPr>
        <w:t xml:space="preserve">, to select potential miRNA biomarker candidates </w:t>
      </w:r>
      <w:r w:rsidRPr="009E32A6">
        <w:rPr>
          <w:sz w:val="24"/>
          <w:szCs w:val="24"/>
        </w:rPr>
        <w:t>as previously described</w:t>
      </w:r>
      <w:r>
        <w:rPr>
          <w:rFonts w:hint="eastAsia"/>
          <w:bCs/>
          <w:sz w:val="24"/>
        </w:rPr>
        <w:t xml:space="preserve"> </w:t>
      </w:r>
      <w:r>
        <w:rPr>
          <w:noProof/>
          <w:sz w:val="24"/>
          <w:szCs w:val="24"/>
        </w:rPr>
        <w:t>[8]</w:t>
      </w:r>
      <w:r>
        <w:rPr>
          <w:sz w:val="24"/>
          <w:szCs w:val="24"/>
        </w:rPr>
        <w:t>. Briefly, t</w:t>
      </w:r>
      <w:r w:rsidRPr="003F784E">
        <w:rPr>
          <w:sz w:val="24"/>
          <w:szCs w:val="24"/>
        </w:rPr>
        <w:t>his algorithm selected the one miRNA that best distinguished</w:t>
      </w:r>
      <w:r>
        <w:rPr>
          <w:sz w:val="24"/>
          <w:szCs w:val="24"/>
        </w:rPr>
        <w:t xml:space="preserve"> ASD from controls, based on</w:t>
      </w:r>
      <w:r w:rsidRPr="003F784E">
        <w:rPr>
          <w:sz w:val="24"/>
          <w:szCs w:val="24"/>
        </w:rPr>
        <w:t xml:space="preserve"> </w:t>
      </w:r>
      <w:r>
        <w:rPr>
          <w:sz w:val="24"/>
          <w:szCs w:val="24"/>
        </w:rPr>
        <w:t xml:space="preserve">the </w:t>
      </w:r>
      <w:r w:rsidRPr="00F641D9">
        <w:rPr>
          <w:iCs/>
          <w:sz w:val="24"/>
          <w:szCs w:val="24"/>
        </w:rPr>
        <w:t>p</w:t>
      </w:r>
      <w:r>
        <w:rPr>
          <w:sz w:val="24"/>
          <w:szCs w:val="24"/>
        </w:rPr>
        <w:t>-</w:t>
      </w:r>
      <w:r w:rsidRPr="003F784E">
        <w:rPr>
          <w:sz w:val="24"/>
          <w:szCs w:val="24"/>
        </w:rPr>
        <w:t xml:space="preserve">value, then added another miRNA that improved the overall </w:t>
      </w:r>
      <w:r>
        <w:rPr>
          <w:iCs/>
          <w:sz w:val="24"/>
          <w:szCs w:val="24"/>
        </w:rPr>
        <w:t>p</w:t>
      </w:r>
      <w:r>
        <w:rPr>
          <w:sz w:val="24"/>
          <w:szCs w:val="24"/>
        </w:rPr>
        <w:t>-</w:t>
      </w:r>
      <w:r w:rsidRPr="003F784E">
        <w:rPr>
          <w:sz w:val="24"/>
          <w:szCs w:val="24"/>
        </w:rPr>
        <w:t xml:space="preserve">value. </w:t>
      </w:r>
      <w:r>
        <w:rPr>
          <w:sz w:val="24"/>
          <w:szCs w:val="24"/>
        </w:rPr>
        <w:t xml:space="preserve">The </w:t>
      </w:r>
      <w:r w:rsidRPr="003F784E">
        <w:rPr>
          <w:sz w:val="24"/>
          <w:szCs w:val="24"/>
        </w:rPr>
        <w:t xml:space="preserve">weights of selected miRNAs were either +1 or </w:t>
      </w:r>
      <w:r>
        <w:rPr>
          <w:sz w:val="24"/>
          <w:szCs w:val="24"/>
        </w:rPr>
        <w:t>−</w:t>
      </w:r>
      <w:r w:rsidRPr="003F784E">
        <w:rPr>
          <w:sz w:val="24"/>
          <w:szCs w:val="24"/>
        </w:rPr>
        <w:t>1.</w:t>
      </w:r>
      <w:r>
        <w:rPr>
          <w:sz w:val="24"/>
          <w:szCs w:val="24"/>
        </w:rPr>
        <w:t xml:space="preserve"> </w:t>
      </w:r>
      <w:r w:rsidRPr="003F784E">
        <w:rPr>
          <w:sz w:val="24"/>
          <w:szCs w:val="24"/>
        </w:rPr>
        <w:t>Th</w:t>
      </w:r>
      <w:r>
        <w:rPr>
          <w:sz w:val="24"/>
          <w:szCs w:val="24"/>
        </w:rPr>
        <w:t>is</w:t>
      </w:r>
      <w:r w:rsidRPr="003F784E">
        <w:rPr>
          <w:sz w:val="24"/>
          <w:szCs w:val="24"/>
        </w:rPr>
        <w:t xml:space="preserve"> algorithm sought to add miRNAs until no </w:t>
      </w:r>
      <w:r>
        <w:rPr>
          <w:sz w:val="24"/>
          <w:szCs w:val="24"/>
        </w:rPr>
        <w:t xml:space="preserve">further </w:t>
      </w:r>
      <w:r w:rsidRPr="003F784E">
        <w:rPr>
          <w:sz w:val="24"/>
          <w:szCs w:val="24"/>
        </w:rPr>
        <w:t xml:space="preserve">improvement in </w:t>
      </w:r>
      <w:r>
        <w:rPr>
          <w:sz w:val="24"/>
          <w:szCs w:val="24"/>
        </w:rPr>
        <w:t xml:space="preserve">the </w:t>
      </w:r>
      <w:r w:rsidRPr="0095714F">
        <w:rPr>
          <w:i/>
          <w:iCs/>
          <w:sz w:val="24"/>
          <w:szCs w:val="24"/>
        </w:rPr>
        <w:t>p</w:t>
      </w:r>
      <w:r>
        <w:rPr>
          <w:sz w:val="24"/>
          <w:szCs w:val="24"/>
        </w:rPr>
        <w:t>-value could be obtained. Then</w:t>
      </w:r>
      <w:r w:rsidRPr="00EE511B">
        <w:rPr>
          <w:rFonts w:hint="eastAsia"/>
          <w:sz w:val="24"/>
          <w:szCs w:val="24"/>
        </w:rPr>
        <w:t>,</w:t>
      </w:r>
      <w:r w:rsidRPr="00EE511B">
        <w:rPr>
          <w:sz w:val="24"/>
          <w:szCs w:val="24"/>
        </w:rPr>
        <w:t xml:space="preserve"> to validate the statistical significance of selected miRNAs, th</w:t>
      </w:r>
      <w:r>
        <w:rPr>
          <w:sz w:val="24"/>
          <w:szCs w:val="24"/>
        </w:rPr>
        <w:t>is</w:t>
      </w:r>
      <w:r w:rsidRPr="00EE511B">
        <w:rPr>
          <w:sz w:val="24"/>
          <w:szCs w:val="24"/>
        </w:rPr>
        <w:t xml:space="preserve"> </w:t>
      </w:r>
      <w:r>
        <w:rPr>
          <w:sz w:val="24"/>
          <w:szCs w:val="24"/>
        </w:rPr>
        <w:t xml:space="preserve">process </w:t>
      </w:r>
      <w:r w:rsidRPr="00EE511B">
        <w:rPr>
          <w:sz w:val="24"/>
          <w:szCs w:val="24"/>
        </w:rPr>
        <w:t>was applied 2000 times to randomized data (randomly permuted ASD/control labels).</w:t>
      </w:r>
    </w:p>
    <w:p w:rsidR="00417B7D" w:rsidRDefault="00417B7D" w:rsidP="004516F4">
      <w:pPr>
        <w:spacing w:line="480" w:lineRule="auto"/>
        <w:rPr>
          <w:sz w:val="24"/>
          <w:szCs w:val="24"/>
        </w:rPr>
      </w:pPr>
    </w:p>
    <w:p w:rsidR="00417B7D" w:rsidRDefault="00417B7D" w:rsidP="004516F4">
      <w:pPr>
        <w:spacing w:line="480" w:lineRule="auto"/>
        <w:rPr>
          <w:b/>
          <w:sz w:val="24"/>
          <w:szCs w:val="24"/>
        </w:rPr>
      </w:pPr>
      <w:r>
        <w:rPr>
          <w:b/>
          <w:bCs/>
          <w:sz w:val="24"/>
          <w:szCs w:val="24"/>
        </w:rPr>
        <w:t>T</w:t>
      </w:r>
      <w:r w:rsidRPr="00E5092D">
        <w:rPr>
          <w:b/>
          <w:bCs/>
          <w:sz w:val="24"/>
          <w:szCs w:val="24"/>
        </w:rPr>
        <w:t>arget</w:t>
      </w:r>
      <w:r>
        <w:rPr>
          <w:b/>
          <w:sz w:val="24"/>
          <w:szCs w:val="24"/>
        </w:rPr>
        <w:t xml:space="preserve"> Gene </w:t>
      </w:r>
      <w:r>
        <w:rPr>
          <w:b/>
          <w:bCs/>
          <w:sz w:val="24"/>
          <w:szCs w:val="24"/>
        </w:rPr>
        <w:t>P</w:t>
      </w:r>
      <w:r w:rsidRPr="00E5092D">
        <w:rPr>
          <w:b/>
          <w:bCs/>
          <w:sz w:val="24"/>
          <w:szCs w:val="24"/>
        </w:rPr>
        <w:t>rediction</w:t>
      </w:r>
      <w:r w:rsidRPr="00E5092D">
        <w:rPr>
          <w:b/>
          <w:sz w:val="24"/>
          <w:szCs w:val="24"/>
        </w:rPr>
        <w:t xml:space="preserve"> and </w:t>
      </w:r>
      <w:r>
        <w:rPr>
          <w:b/>
          <w:bCs/>
          <w:sz w:val="24"/>
          <w:szCs w:val="24"/>
        </w:rPr>
        <w:t>Enrichment Analysis</w:t>
      </w:r>
    </w:p>
    <w:p w:rsidR="00417B7D" w:rsidRPr="00205AA5" w:rsidRDefault="00417B7D" w:rsidP="004516F4">
      <w:pPr>
        <w:spacing w:line="480" w:lineRule="auto"/>
        <w:rPr>
          <w:sz w:val="24"/>
          <w:szCs w:val="24"/>
        </w:rPr>
      </w:pPr>
      <w:r>
        <w:rPr>
          <w:sz w:val="24"/>
          <w:szCs w:val="24"/>
        </w:rPr>
        <w:t>We searched t</w:t>
      </w:r>
      <w:r w:rsidRPr="0025737B">
        <w:rPr>
          <w:sz w:val="24"/>
          <w:szCs w:val="24"/>
        </w:rPr>
        <w:t xml:space="preserve">he </w:t>
      </w:r>
      <w:r>
        <w:rPr>
          <w:sz w:val="24"/>
          <w:szCs w:val="24"/>
        </w:rPr>
        <w:t>target genes</w:t>
      </w:r>
      <w:r w:rsidRPr="0025737B">
        <w:rPr>
          <w:sz w:val="24"/>
          <w:szCs w:val="24"/>
        </w:rPr>
        <w:t xml:space="preserve"> of miR</w:t>
      </w:r>
      <w:r>
        <w:rPr>
          <w:sz w:val="24"/>
          <w:szCs w:val="24"/>
        </w:rPr>
        <w:t>-6126</w:t>
      </w:r>
      <w:r w:rsidRPr="0025737B">
        <w:rPr>
          <w:sz w:val="24"/>
          <w:szCs w:val="24"/>
        </w:rPr>
        <w:t xml:space="preserve"> using </w:t>
      </w:r>
      <w:proofErr w:type="spellStart"/>
      <w:r w:rsidRPr="0025737B">
        <w:rPr>
          <w:sz w:val="24"/>
          <w:szCs w:val="24"/>
        </w:rPr>
        <w:t>miRWalk</w:t>
      </w:r>
      <w:proofErr w:type="spellEnd"/>
      <w:r w:rsidRPr="0025737B">
        <w:rPr>
          <w:sz w:val="24"/>
          <w:szCs w:val="24"/>
        </w:rPr>
        <w:t xml:space="preserve"> 2.0</w:t>
      </w:r>
      <w:r>
        <w:rPr>
          <w:sz w:val="24"/>
          <w:szCs w:val="24"/>
        </w:rPr>
        <w:t xml:space="preserve">, which integrates multiple established </w:t>
      </w:r>
      <w:r w:rsidRPr="0025737B">
        <w:rPr>
          <w:sz w:val="24"/>
          <w:szCs w:val="24"/>
        </w:rPr>
        <w:t xml:space="preserve">target prediction </w:t>
      </w:r>
      <w:r>
        <w:rPr>
          <w:sz w:val="24"/>
          <w:szCs w:val="24"/>
        </w:rPr>
        <w:t>tool</w:t>
      </w:r>
      <w:r w:rsidRPr="0025737B">
        <w:rPr>
          <w:sz w:val="24"/>
          <w:szCs w:val="24"/>
        </w:rPr>
        <w:t>s</w:t>
      </w:r>
      <w:r>
        <w:rPr>
          <w:rFonts w:hint="eastAsia"/>
          <w:sz w:val="24"/>
          <w:szCs w:val="24"/>
        </w:rPr>
        <w:t xml:space="preserve"> </w:t>
      </w:r>
      <w:r>
        <w:rPr>
          <w:noProof/>
          <w:sz w:val="24"/>
          <w:szCs w:val="24"/>
        </w:rPr>
        <w:t>[9]</w:t>
      </w:r>
      <w:r>
        <w:rPr>
          <w:sz w:val="24"/>
          <w:szCs w:val="24"/>
        </w:rPr>
        <w:t>.</w:t>
      </w:r>
      <w:r>
        <w:rPr>
          <w:rFonts w:hint="eastAsia"/>
          <w:sz w:val="24"/>
          <w:szCs w:val="24"/>
        </w:rPr>
        <w:t xml:space="preserve"> </w:t>
      </w:r>
      <w:r>
        <w:rPr>
          <w:sz w:val="24"/>
          <w:szCs w:val="24"/>
        </w:rPr>
        <w:t>The genes</w:t>
      </w:r>
      <w:r w:rsidRPr="0025737B">
        <w:rPr>
          <w:sz w:val="24"/>
          <w:szCs w:val="24"/>
        </w:rPr>
        <w:t xml:space="preserve"> predicted by at least four algorithms </w:t>
      </w:r>
      <w:r>
        <w:rPr>
          <w:sz w:val="24"/>
          <w:szCs w:val="24"/>
        </w:rPr>
        <w:t>(</w:t>
      </w:r>
      <w:proofErr w:type="spellStart"/>
      <w:r w:rsidRPr="0025737B">
        <w:rPr>
          <w:sz w:val="24"/>
          <w:szCs w:val="24"/>
        </w:rPr>
        <w:t>miRWalk</w:t>
      </w:r>
      <w:proofErr w:type="spellEnd"/>
      <w:r w:rsidRPr="0025737B">
        <w:rPr>
          <w:sz w:val="24"/>
          <w:szCs w:val="24"/>
        </w:rPr>
        <w:t xml:space="preserve">, </w:t>
      </w:r>
      <w:proofErr w:type="spellStart"/>
      <w:r w:rsidRPr="0025737B">
        <w:rPr>
          <w:sz w:val="24"/>
          <w:szCs w:val="24"/>
        </w:rPr>
        <w:t>miRanda</w:t>
      </w:r>
      <w:proofErr w:type="spellEnd"/>
      <w:r w:rsidRPr="0025737B">
        <w:rPr>
          <w:sz w:val="24"/>
          <w:szCs w:val="24"/>
        </w:rPr>
        <w:t xml:space="preserve">, </w:t>
      </w:r>
      <w:proofErr w:type="spellStart"/>
      <w:r w:rsidRPr="0025737B">
        <w:rPr>
          <w:sz w:val="24"/>
          <w:szCs w:val="24"/>
        </w:rPr>
        <w:lastRenderedPageBreak/>
        <w:t>RNAhybrid</w:t>
      </w:r>
      <w:proofErr w:type="spellEnd"/>
      <w:r w:rsidRPr="0025737B">
        <w:rPr>
          <w:sz w:val="24"/>
          <w:szCs w:val="24"/>
        </w:rPr>
        <w:t xml:space="preserve"> and </w:t>
      </w:r>
      <w:proofErr w:type="spellStart"/>
      <w:r w:rsidRPr="0025737B">
        <w:rPr>
          <w:sz w:val="24"/>
          <w:szCs w:val="24"/>
        </w:rPr>
        <w:t>TargetScan</w:t>
      </w:r>
      <w:proofErr w:type="spellEnd"/>
      <w:r>
        <w:rPr>
          <w:sz w:val="24"/>
          <w:szCs w:val="24"/>
        </w:rPr>
        <w:t xml:space="preserve">) </w:t>
      </w:r>
      <w:r w:rsidRPr="0025737B">
        <w:rPr>
          <w:sz w:val="24"/>
          <w:szCs w:val="24"/>
        </w:rPr>
        <w:t>were considered as reliable miRNA target genes.</w:t>
      </w:r>
      <w:r>
        <w:rPr>
          <w:sz w:val="24"/>
          <w:szCs w:val="24"/>
        </w:rPr>
        <w:t xml:space="preserve"> </w:t>
      </w:r>
      <w:r w:rsidRPr="00205AA5">
        <w:rPr>
          <w:sz w:val="24"/>
          <w:szCs w:val="24"/>
        </w:rPr>
        <w:t>Gene ontology</w:t>
      </w:r>
      <w:r>
        <w:rPr>
          <w:sz w:val="24"/>
          <w:szCs w:val="24"/>
        </w:rPr>
        <w:t xml:space="preserve"> (GO)</w:t>
      </w:r>
      <w:r w:rsidRPr="00205AA5">
        <w:rPr>
          <w:sz w:val="24"/>
          <w:szCs w:val="24"/>
        </w:rPr>
        <w:t xml:space="preserve"> </w:t>
      </w:r>
      <w:r>
        <w:rPr>
          <w:sz w:val="24"/>
          <w:szCs w:val="24"/>
        </w:rPr>
        <w:t xml:space="preserve">and </w:t>
      </w:r>
      <w:r w:rsidRPr="00E63F36">
        <w:rPr>
          <w:sz w:val="24"/>
          <w:szCs w:val="24"/>
        </w:rPr>
        <w:t>Kyoto Encyclopedia of Genes</w:t>
      </w:r>
      <w:r>
        <w:rPr>
          <w:sz w:val="24"/>
          <w:szCs w:val="24"/>
        </w:rPr>
        <w:t xml:space="preserve"> </w:t>
      </w:r>
      <w:r w:rsidRPr="00E63F36">
        <w:rPr>
          <w:sz w:val="24"/>
          <w:szCs w:val="24"/>
        </w:rPr>
        <w:t>and Genomes (KEGG)</w:t>
      </w:r>
      <w:r>
        <w:rPr>
          <w:sz w:val="24"/>
          <w:szCs w:val="24"/>
        </w:rPr>
        <w:t xml:space="preserve"> </w:t>
      </w:r>
      <w:r w:rsidRPr="00205AA5">
        <w:rPr>
          <w:sz w:val="24"/>
          <w:szCs w:val="24"/>
        </w:rPr>
        <w:t xml:space="preserve">pathway analysis of target genes </w:t>
      </w:r>
      <w:r>
        <w:rPr>
          <w:sz w:val="24"/>
          <w:szCs w:val="24"/>
        </w:rPr>
        <w:t xml:space="preserve">were performed using Enrichr </w:t>
      </w:r>
      <w:r>
        <w:rPr>
          <w:noProof/>
          <w:sz w:val="24"/>
          <w:szCs w:val="24"/>
        </w:rPr>
        <w:t>[10]</w:t>
      </w:r>
      <w:r>
        <w:rPr>
          <w:sz w:val="24"/>
          <w:szCs w:val="24"/>
        </w:rPr>
        <w:t>.</w:t>
      </w:r>
      <w:r w:rsidRPr="00FE1028">
        <w:t xml:space="preserve"> </w:t>
      </w:r>
      <w:r w:rsidRPr="00FE1028">
        <w:rPr>
          <w:sz w:val="24"/>
          <w:szCs w:val="24"/>
        </w:rPr>
        <w:t xml:space="preserve">To explore the relationship of target genes with ASD, we performed gene set enrichment analyses using two-sided Fisher's exact tests. The ASD Simons Foundation Autism Research Initiative (SFARI) genes were selected from the SFARI gene database (updated June, 2016) and filtered according to category S (syndromic) or evidence levels 1–4 </w:t>
      </w:r>
      <w:r>
        <w:rPr>
          <w:noProof/>
          <w:sz w:val="24"/>
          <w:szCs w:val="24"/>
        </w:rPr>
        <w:t>[11]</w:t>
      </w:r>
      <w:r w:rsidRPr="00497FFA">
        <w:rPr>
          <w:sz w:val="24"/>
          <w:szCs w:val="24"/>
        </w:rPr>
        <w:t>. Genes with protein-disrupting or missense rare de novo variants in ASD cases (de novo variants in ASD) were those compiled by Werling et al</w:t>
      </w:r>
      <w:r>
        <w:rPr>
          <w:sz w:val="24"/>
          <w:szCs w:val="24"/>
        </w:rPr>
        <w:t>.</w:t>
      </w:r>
      <w:r w:rsidRPr="00497FFA">
        <w:rPr>
          <w:sz w:val="24"/>
          <w:szCs w:val="24"/>
        </w:rPr>
        <w:t xml:space="preserve"> </w:t>
      </w:r>
      <w:r>
        <w:rPr>
          <w:noProof/>
          <w:sz w:val="24"/>
          <w:szCs w:val="24"/>
        </w:rPr>
        <w:t>[12]</w:t>
      </w:r>
      <w:r>
        <w:rPr>
          <w:sz w:val="24"/>
          <w:szCs w:val="24"/>
        </w:rPr>
        <w:t>.</w:t>
      </w:r>
    </w:p>
    <w:p w:rsidR="00417B7D" w:rsidRPr="004516F4" w:rsidRDefault="00417B7D" w:rsidP="00BD28F1">
      <w:pPr>
        <w:widowControl/>
        <w:spacing w:line="480" w:lineRule="auto"/>
        <w:rPr>
          <w:rFonts w:cs="Times New Roman"/>
          <w:b/>
          <w:kern w:val="0"/>
          <w:sz w:val="24"/>
          <w:szCs w:val="24"/>
        </w:rPr>
      </w:pPr>
    </w:p>
    <w:p w:rsidR="00417B7D" w:rsidRPr="00D06B36" w:rsidRDefault="00417B7D" w:rsidP="00BD28F1">
      <w:pPr>
        <w:widowControl/>
        <w:spacing w:line="480" w:lineRule="auto"/>
        <w:rPr>
          <w:rFonts w:cs="Times New Roman"/>
          <w:b/>
          <w:kern w:val="0"/>
          <w:sz w:val="24"/>
          <w:szCs w:val="24"/>
        </w:rPr>
      </w:pPr>
      <w:r>
        <w:rPr>
          <w:rFonts w:cs="Times New Roman"/>
          <w:b/>
          <w:kern w:val="0"/>
          <w:sz w:val="24"/>
          <w:szCs w:val="24"/>
        </w:rPr>
        <w:t>Estimation of White B</w:t>
      </w:r>
      <w:r w:rsidRPr="00D06B36">
        <w:rPr>
          <w:rFonts w:cs="Times New Roman"/>
          <w:b/>
          <w:kern w:val="0"/>
          <w:sz w:val="24"/>
          <w:szCs w:val="24"/>
        </w:rPr>
        <w:t xml:space="preserve">lood </w:t>
      </w:r>
      <w:r>
        <w:rPr>
          <w:rFonts w:cs="Times New Roman"/>
          <w:b/>
          <w:kern w:val="0"/>
          <w:sz w:val="24"/>
          <w:szCs w:val="24"/>
        </w:rPr>
        <w:t>C</w:t>
      </w:r>
      <w:r w:rsidRPr="00D06B36">
        <w:rPr>
          <w:rFonts w:cs="Times New Roman"/>
          <w:b/>
          <w:kern w:val="0"/>
          <w:sz w:val="24"/>
          <w:szCs w:val="24"/>
        </w:rPr>
        <w:t xml:space="preserve">ell </w:t>
      </w:r>
      <w:r>
        <w:rPr>
          <w:rFonts w:cs="Times New Roman"/>
          <w:b/>
          <w:kern w:val="0"/>
          <w:sz w:val="24"/>
          <w:szCs w:val="24"/>
        </w:rPr>
        <w:t>Composition</w:t>
      </w:r>
    </w:p>
    <w:p w:rsidR="00417B7D" w:rsidRDefault="00417B7D" w:rsidP="00DF5C72">
      <w:pPr>
        <w:widowControl/>
        <w:spacing w:line="480" w:lineRule="auto"/>
        <w:rPr>
          <w:rFonts w:cs="Times New Roman"/>
          <w:kern w:val="0"/>
          <w:sz w:val="24"/>
          <w:szCs w:val="24"/>
        </w:rPr>
      </w:pPr>
      <w:r w:rsidRPr="00F60CED">
        <w:rPr>
          <w:rFonts w:cs="Times New Roman" w:hint="eastAsia"/>
          <w:kern w:val="0"/>
          <w:sz w:val="24"/>
          <w:szCs w:val="24"/>
        </w:rPr>
        <w:t>T</w:t>
      </w:r>
      <w:r w:rsidRPr="00F60CED">
        <w:rPr>
          <w:rFonts w:cs="Times New Roman"/>
          <w:kern w:val="0"/>
          <w:sz w:val="24"/>
          <w:szCs w:val="24"/>
        </w:rPr>
        <w:t xml:space="preserve">o estimate blood cell composition, we used data from the Illumina Infinium HumanMethylation450 </w:t>
      </w:r>
      <w:proofErr w:type="spellStart"/>
      <w:r w:rsidRPr="00F60CED">
        <w:rPr>
          <w:rFonts w:cs="Times New Roman"/>
          <w:kern w:val="0"/>
          <w:sz w:val="24"/>
          <w:szCs w:val="24"/>
        </w:rPr>
        <w:t>BeadChip</w:t>
      </w:r>
      <w:proofErr w:type="spellEnd"/>
      <w:r w:rsidRPr="00F60CED">
        <w:rPr>
          <w:rFonts w:cs="Times New Roman"/>
          <w:kern w:val="0"/>
          <w:sz w:val="24"/>
          <w:szCs w:val="24"/>
        </w:rPr>
        <w:t xml:space="preserve"> (we note that some parts of these data have been submitted elsewhere for publication).</w:t>
      </w:r>
      <w:r w:rsidRPr="00F60CED">
        <w:rPr>
          <w:rFonts w:cs="Times New Roman" w:hint="eastAsia"/>
          <w:kern w:val="0"/>
          <w:sz w:val="24"/>
          <w:szCs w:val="24"/>
        </w:rPr>
        <w:t xml:space="preserve"> </w:t>
      </w:r>
      <w:r w:rsidRPr="00F60CED">
        <w:rPr>
          <w:rFonts w:cs="Times New Roman"/>
          <w:kern w:val="0"/>
          <w:sz w:val="24"/>
          <w:szCs w:val="24"/>
        </w:rPr>
        <w:t>Briefly, we collected blood samples for DNA and miRNA at the same time points.</w:t>
      </w:r>
      <w:r w:rsidRPr="00F60CED">
        <w:rPr>
          <w:rFonts w:cs="Times New Roman" w:hint="eastAsia"/>
          <w:kern w:val="0"/>
          <w:sz w:val="24"/>
          <w:szCs w:val="24"/>
        </w:rPr>
        <w:t xml:space="preserve"> </w:t>
      </w:r>
      <w:r w:rsidRPr="00F60CED">
        <w:rPr>
          <w:rFonts w:cs="Times New Roman"/>
          <w:kern w:val="0"/>
          <w:sz w:val="24"/>
          <w:szCs w:val="24"/>
        </w:rPr>
        <w:t xml:space="preserve">For DNA, whole blood samples were collected in EDTA tubes and genomic DNA was extracted using a </w:t>
      </w:r>
      <w:proofErr w:type="spellStart"/>
      <w:r w:rsidRPr="00F60CED">
        <w:rPr>
          <w:rFonts w:cs="Times New Roman"/>
          <w:kern w:val="0"/>
          <w:sz w:val="24"/>
          <w:szCs w:val="24"/>
        </w:rPr>
        <w:t>QIAamp</w:t>
      </w:r>
      <w:proofErr w:type="spellEnd"/>
      <w:r w:rsidRPr="00F60CED">
        <w:rPr>
          <w:rFonts w:cs="Times New Roman"/>
          <w:kern w:val="0"/>
          <w:sz w:val="24"/>
          <w:szCs w:val="24"/>
        </w:rPr>
        <w:t xml:space="preserve"> DNA Blood Midi Kit (Qiagen, Tokyo, Japan); and 500 ng of isolated DNA was bisulfite converted using an EZ DNA Methylation kit (</w:t>
      </w:r>
      <w:proofErr w:type="spellStart"/>
      <w:r w:rsidRPr="00F60CED">
        <w:rPr>
          <w:rFonts w:cs="Times New Roman"/>
          <w:kern w:val="0"/>
          <w:sz w:val="24"/>
          <w:szCs w:val="24"/>
        </w:rPr>
        <w:t>Zymo</w:t>
      </w:r>
      <w:proofErr w:type="spellEnd"/>
      <w:r w:rsidRPr="00F60CED">
        <w:rPr>
          <w:rFonts w:cs="Times New Roman"/>
          <w:kern w:val="0"/>
          <w:sz w:val="24"/>
          <w:szCs w:val="24"/>
        </w:rPr>
        <w:t xml:space="preserve"> Research, Irvine, CA).</w:t>
      </w:r>
      <w:r w:rsidRPr="00F60CED">
        <w:rPr>
          <w:rFonts w:cs="Times New Roman" w:hint="eastAsia"/>
          <w:kern w:val="0"/>
          <w:sz w:val="24"/>
          <w:szCs w:val="24"/>
        </w:rPr>
        <w:t xml:space="preserve"> </w:t>
      </w:r>
      <w:r w:rsidRPr="00F60CED">
        <w:rPr>
          <w:rFonts w:cs="Times New Roman"/>
          <w:kern w:val="0"/>
          <w:sz w:val="24"/>
          <w:szCs w:val="24"/>
        </w:rPr>
        <w:t>DNA methylation analyses were performed following the manufacturer’s protocol.</w:t>
      </w:r>
      <w:r w:rsidRPr="00F60CED">
        <w:rPr>
          <w:rFonts w:cs="Times New Roman" w:hint="eastAsia"/>
          <w:kern w:val="0"/>
          <w:sz w:val="24"/>
          <w:szCs w:val="24"/>
        </w:rPr>
        <w:t xml:space="preserve"> </w:t>
      </w:r>
      <w:r w:rsidRPr="00F60CED">
        <w:rPr>
          <w:rFonts w:cs="Times New Roman"/>
          <w:kern w:val="0"/>
          <w:sz w:val="24"/>
          <w:szCs w:val="24"/>
        </w:rPr>
        <w:t xml:space="preserve">Data quality control and analysis were performed using the </w:t>
      </w:r>
      <w:proofErr w:type="spellStart"/>
      <w:r w:rsidRPr="00F60CED">
        <w:rPr>
          <w:rFonts w:cs="Times New Roman"/>
          <w:kern w:val="0"/>
          <w:sz w:val="24"/>
          <w:szCs w:val="24"/>
        </w:rPr>
        <w:t>ChAMP</w:t>
      </w:r>
      <w:proofErr w:type="spellEnd"/>
      <w:r w:rsidRPr="00F60CED">
        <w:rPr>
          <w:rFonts w:cs="Times New Roman"/>
          <w:kern w:val="0"/>
          <w:sz w:val="24"/>
          <w:szCs w:val="24"/>
        </w:rPr>
        <w:t xml:space="preserve"> R-package (version 2.6.4)</w:t>
      </w:r>
      <w:r w:rsidRPr="00F60CED">
        <w:t xml:space="preserve"> </w:t>
      </w:r>
      <w:r>
        <w:rPr>
          <w:rFonts w:cs="Times New Roman"/>
          <w:noProof/>
          <w:kern w:val="0"/>
          <w:sz w:val="24"/>
          <w:szCs w:val="24"/>
        </w:rPr>
        <w:t>[13]</w:t>
      </w:r>
      <w:r w:rsidRPr="00F60CED">
        <w:rPr>
          <w:rFonts w:cs="Times New Roman"/>
          <w:kern w:val="0"/>
          <w:sz w:val="24"/>
          <w:szCs w:val="24"/>
        </w:rPr>
        <w:t>.</w:t>
      </w:r>
      <w:r w:rsidRPr="00F60CED">
        <w:rPr>
          <w:rFonts w:cs="Times New Roman" w:hint="eastAsia"/>
          <w:kern w:val="0"/>
          <w:sz w:val="24"/>
          <w:szCs w:val="24"/>
        </w:rPr>
        <w:t xml:space="preserve"> </w:t>
      </w:r>
      <w:r w:rsidRPr="00F60CED">
        <w:rPr>
          <w:rFonts w:cs="Times New Roman"/>
          <w:kern w:val="0"/>
          <w:sz w:val="24"/>
          <w:szCs w:val="24"/>
        </w:rPr>
        <w:t>The blood cell composition was estimated using Houseman's algorithm in R</w:t>
      </w:r>
      <w:r w:rsidRPr="00F60CED">
        <w:t xml:space="preserve"> </w:t>
      </w:r>
      <w:r>
        <w:rPr>
          <w:rFonts w:cs="Times New Roman"/>
          <w:noProof/>
          <w:kern w:val="0"/>
          <w:sz w:val="24"/>
          <w:szCs w:val="24"/>
        </w:rPr>
        <w:t>[14]</w:t>
      </w:r>
      <w:r w:rsidRPr="00F60CED">
        <w:rPr>
          <w:rFonts w:cs="Times New Roman"/>
          <w:kern w:val="0"/>
          <w:sz w:val="24"/>
          <w:szCs w:val="24"/>
        </w:rPr>
        <w:t>.</w:t>
      </w:r>
      <w:r w:rsidRPr="00F60CED">
        <w:rPr>
          <w:rFonts w:cs="Times New Roman" w:hint="eastAsia"/>
          <w:kern w:val="0"/>
          <w:sz w:val="24"/>
          <w:szCs w:val="24"/>
        </w:rPr>
        <w:t xml:space="preserve"> </w:t>
      </w:r>
      <w:r w:rsidRPr="00F60CED">
        <w:rPr>
          <w:rFonts w:cs="Times New Roman"/>
          <w:kern w:val="0"/>
          <w:sz w:val="24"/>
          <w:szCs w:val="24"/>
        </w:rPr>
        <w:t>Student's t-tests or Mann–Whitney U-tests were used to assess differences among the groups</w:t>
      </w:r>
      <w:r w:rsidRPr="00062275">
        <w:rPr>
          <w:rFonts w:cs="Times New Roman"/>
          <w:kern w:val="0"/>
          <w:sz w:val="24"/>
          <w:szCs w:val="24"/>
        </w:rPr>
        <w:t>.</w:t>
      </w:r>
    </w:p>
    <w:p w:rsidR="00417B7D" w:rsidRPr="00DF5C72" w:rsidRDefault="00417B7D" w:rsidP="00DF5C72">
      <w:pPr>
        <w:widowControl/>
        <w:spacing w:line="480" w:lineRule="auto"/>
        <w:rPr>
          <w:rFonts w:cs="Times New Roman"/>
          <w:sz w:val="24"/>
          <w:szCs w:val="24"/>
        </w:rPr>
      </w:pPr>
    </w:p>
    <w:p w:rsidR="00417B7D" w:rsidRPr="00DF5C72" w:rsidRDefault="00417B7D" w:rsidP="00DF5C72">
      <w:pPr>
        <w:widowControl/>
        <w:spacing w:line="480" w:lineRule="auto"/>
        <w:rPr>
          <w:rFonts w:cs="Times New Roman"/>
          <w:kern w:val="0"/>
          <w:sz w:val="24"/>
          <w:szCs w:val="24"/>
        </w:rPr>
      </w:pPr>
      <w:r w:rsidRPr="00062275">
        <w:rPr>
          <w:rFonts w:cs="Times New Roman"/>
          <w:b/>
          <w:sz w:val="24"/>
          <w:szCs w:val="24"/>
        </w:rPr>
        <w:t>References</w:t>
      </w:r>
    </w:p>
    <w:p w:rsidR="00417B7D" w:rsidRPr="00DF5C72" w:rsidRDefault="00417B7D" w:rsidP="00DF5C72">
      <w:pPr>
        <w:pStyle w:val="EndNoteBibliography"/>
        <w:ind w:left="720" w:hanging="720"/>
        <w:rPr>
          <w:noProof/>
        </w:rPr>
      </w:pPr>
      <w:r w:rsidRPr="00DF5C72">
        <w:rPr>
          <w:noProof/>
        </w:rPr>
        <w:t>1.</w:t>
      </w:r>
      <w:r w:rsidRPr="00DF5C72">
        <w:rPr>
          <w:noProof/>
        </w:rPr>
        <w:tab/>
        <w:t>Ryan JJ, Carruthers CA, Miller LJ, Souheaver GT, Gontkovsky ST, Zehr MD. Exploratory factor analysis of the Wechsler Abbreviated Scale of Intelligence (WASI) in adult standardization and clinical samples. Appl Neuropsychol. 2003;10:252-6.</w:t>
      </w:r>
    </w:p>
    <w:p w:rsidR="00417B7D" w:rsidRPr="00DF5C72" w:rsidRDefault="00417B7D" w:rsidP="00DF5C72">
      <w:pPr>
        <w:pStyle w:val="EndNoteBibliography"/>
        <w:ind w:left="720" w:hanging="720"/>
        <w:rPr>
          <w:noProof/>
        </w:rPr>
      </w:pPr>
      <w:r w:rsidRPr="00DF5C72">
        <w:rPr>
          <w:noProof/>
        </w:rPr>
        <w:lastRenderedPageBreak/>
        <w:t>2.</w:t>
      </w:r>
      <w:r w:rsidRPr="00DF5C72">
        <w:rPr>
          <w:noProof/>
        </w:rPr>
        <w:tab/>
        <w:t>Lord C, Rutter M, Goode S, Heemsbergen J, Jordan H, Mawhood L, et al. Autism diagnostic observation schedule: a standardized observation of communicative and social behavior. J Autism Dev Disord. 1989;19:185-212.</w:t>
      </w:r>
    </w:p>
    <w:p w:rsidR="00417B7D" w:rsidRPr="00DF5C72" w:rsidRDefault="00417B7D" w:rsidP="00DF5C72">
      <w:pPr>
        <w:pStyle w:val="EndNoteBibliography"/>
        <w:ind w:left="720" w:hanging="720"/>
        <w:rPr>
          <w:noProof/>
        </w:rPr>
      </w:pPr>
      <w:r w:rsidRPr="00DF5C72">
        <w:rPr>
          <w:noProof/>
        </w:rPr>
        <w:t>3.</w:t>
      </w:r>
      <w:r w:rsidRPr="00DF5C72">
        <w:rPr>
          <w:noProof/>
        </w:rPr>
        <w:tab/>
        <w:t>Constantino JN, Davis SA, Todd RD, Schindler MK, Gross MM, Brophy SL, et al. Validation of a brief quantitative measure of autistic traits: comparison of the social responsiveness scale with the autism diagnostic interview-revised. J Autism Dev Disord. 2003;33:427-33.</w:t>
      </w:r>
    </w:p>
    <w:p w:rsidR="00417B7D" w:rsidRPr="00DF5C72" w:rsidRDefault="00417B7D" w:rsidP="00DF5C72">
      <w:pPr>
        <w:pStyle w:val="EndNoteBibliography"/>
        <w:ind w:left="720" w:hanging="720"/>
        <w:rPr>
          <w:noProof/>
        </w:rPr>
      </w:pPr>
      <w:r w:rsidRPr="00DF5C72">
        <w:rPr>
          <w:noProof/>
        </w:rPr>
        <w:t>4.</w:t>
      </w:r>
      <w:r w:rsidRPr="00DF5C72">
        <w:rPr>
          <w:noProof/>
        </w:rPr>
        <w:tab/>
        <w:t>Kimura R, Swarup V, Tomiwa K, Gandal MJ, Parikshak NN, Funabiki Y, et al. Integrative network analysis reveals biological pathways associated with Williams syndrome. J Child Psychol Psychiatry. 2019;60:585-98.</w:t>
      </w:r>
    </w:p>
    <w:p w:rsidR="00417B7D" w:rsidRPr="00DF5C72" w:rsidRDefault="00417B7D" w:rsidP="00DF5C72">
      <w:pPr>
        <w:pStyle w:val="EndNoteBibliography"/>
        <w:ind w:left="720" w:hanging="720"/>
        <w:rPr>
          <w:noProof/>
        </w:rPr>
      </w:pPr>
      <w:r w:rsidRPr="00DF5C72">
        <w:rPr>
          <w:noProof/>
        </w:rPr>
        <w:t>5.</w:t>
      </w:r>
      <w:r w:rsidRPr="00DF5C72">
        <w:rPr>
          <w:noProof/>
        </w:rPr>
        <w:tab/>
        <w:t>Wang H, Ach RA, Curry B. Direct and sensitive miRNA profiling from low-input total RNA. R</w:t>
      </w:r>
      <w:r w:rsidR="004F7AB4">
        <w:rPr>
          <w:noProof/>
        </w:rPr>
        <w:t>NA</w:t>
      </w:r>
      <w:r w:rsidRPr="00DF5C72">
        <w:rPr>
          <w:noProof/>
        </w:rPr>
        <w:t>. 2007;13:151-9.</w:t>
      </w:r>
    </w:p>
    <w:p w:rsidR="00417B7D" w:rsidRPr="00DF5C72" w:rsidRDefault="00417B7D" w:rsidP="00DF5C72">
      <w:pPr>
        <w:pStyle w:val="EndNoteBibliography"/>
        <w:ind w:left="720" w:hanging="720"/>
        <w:rPr>
          <w:noProof/>
        </w:rPr>
      </w:pPr>
      <w:r w:rsidRPr="00DF5C72">
        <w:rPr>
          <w:noProof/>
        </w:rPr>
        <w:t>6.</w:t>
      </w:r>
      <w:r w:rsidRPr="00DF5C72">
        <w:rPr>
          <w:noProof/>
        </w:rPr>
        <w:tab/>
        <w:t>L</w:t>
      </w:r>
      <w:proofErr w:type="spellStart"/>
      <w:r w:rsidR="004F7AB4">
        <w:t>ó</w:t>
      </w:r>
      <w:r w:rsidRPr="00DF5C72">
        <w:rPr>
          <w:noProof/>
        </w:rPr>
        <w:t>pez</w:t>
      </w:r>
      <w:proofErr w:type="spellEnd"/>
      <w:r w:rsidRPr="00DF5C72">
        <w:rPr>
          <w:noProof/>
        </w:rPr>
        <w:t>-Romero P. Pre-processing and differential expression analysis of Agilent microRNA arrays using the AgiMicroRna Bioconductor library. BMC Genomics. 2011;12:64.</w:t>
      </w:r>
    </w:p>
    <w:p w:rsidR="00417B7D" w:rsidRPr="00DF5C72" w:rsidRDefault="00417B7D" w:rsidP="00DF5C72">
      <w:pPr>
        <w:pStyle w:val="EndNoteBibliography"/>
        <w:ind w:left="720" w:hanging="720"/>
        <w:rPr>
          <w:noProof/>
        </w:rPr>
      </w:pPr>
      <w:r w:rsidRPr="00DF5C72">
        <w:rPr>
          <w:noProof/>
        </w:rPr>
        <w:t>7.</w:t>
      </w:r>
      <w:r w:rsidRPr="00DF5C72">
        <w:rPr>
          <w:noProof/>
        </w:rPr>
        <w:tab/>
        <w:t xml:space="preserve">Benjamini Y, Hochberg Y. Controlling the false discovery rate: a practical and powerful approach to multiple testing. </w:t>
      </w:r>
      <w:r w:rsidR="004F7AB4" w:rsidRPr="004F7AB4">
        <w:rPr>
          <w:noProof/>
        </w:rPr>
        <w:t>J Royal Stat Soc B (Methodological). 1995;57:289-30</w:t>
      </w:r>
      <w:r w:rsidRPr="00DF5C72">
        <w:rPr>
          <w:noProof/>
        </w:rPr>
        <w:t>0.</w:t>
      </w:r>
    </w:p>
    <w:p w:rsidR="00417B7D" w:rsidRPr="00DF5C72" w:rsidRDefault="00417B7D" w:rsidP="00DF5C72">
      <w:pPr>
        <w:pStyle w:val="EndNoteBibliography"/>
        <w:ind w:left="720" w:hanging="720"/>
        <w:rPr>
          <w:noProof/>
        </w:rPr>
      </w:pPr>
      <w:r w:rsidRPr="00DF5C72">
        <w:rPr>
          <w:noProof/>
        </w:rPr>
        <w:t>8.</w:t>
      </w:r>
      <w:r w:rsidRPr="00DF5C72">
        <w:rPr>
          <w:noProof/>
        </w:rPr>
        <w:tab/>
        <w:t>Jeffries CD, Perkins DO, Chandler SD, Stark T, Yeo E, Addington J, et al. Insights into psychosis risk from leukocyte microRNA expression. Transl Psychiatry. 2016;6:e981.</w:t>
      </w:r>
    </w:p>
    <w:p w:rsidR="00417B7D" w:rsidRPr="00DF5C72" w:rsidRDefault="00417B7D" w:rsidP="00DF5C72">
      <w:pPr>
        <w:pStyle w:val="EndNoteBibliography"/>
        <w:ind w:left="720" w:hanging="720"/>
        <w:rPr>
          <w:noProof/>
        </w:rPr>
      </w:pPr>
      <w:r w:rsidRPr="00DF5C72">
        <w:rPr>
          <w:noProof/>
        </w:rPr>
        <w:t>9.</w:t>
      </w:r>
      <w:r w:rsidRPr="00DF5C72">
        <w:rPr>
          <w:noProof/>
        </w:rPr>
        <w:tab/>
        <w:t>Dweep H, Gretz N. miRWalk2.0: a comprehensive atlas of microRNA-target interactions. Nat Methods. 2015;12:697.</w:t>
      </w:r>
    </w:p>
    <w:p w:rsidR="00417B7D" w:rsidRPr="00DF5C72" w:rsidRDefault="00417B7D" w:rsidP="00DF5C72">
      <w:pPr>
        <w:pStyle w:val="EndNoteBibliography"/>
        <w:ind w:left="720" w:hanging="720"/>
        <w:rPr>
          <w:noProof/>
        </w:rPr>
      </w:pPr>
      <w:r w:rsidRPr="00DF5C72">
        <w:rPr>
          <w:noProof/>
        </w:rPr>
        <w:t>10.</w:t>
      </w:r>
      <w:r w:rsidRPr="00DF5C72">
        <w:rPr>
          <w:noProof/>
        </w:rPr>
        <w:tab/>
        <w:t>Chen EY, Tan CM, Kou Y, Duan Q, Wang Z, Meirelles GV, et al. Enrichr: interactive and collaborative HTML5 gene list enrichment analysis tool. BMC Bioinformatics. 2013;14:128.</w:t>
      </w:r>
    </w:p>
    <w:p w:rsidR="00417B7D" w:rsidRPr="00DF5C72" w:rsidRDefault="00417B7D" w:rsidP="00DF5C72">
      <w:pPr>
        <w:pStyle w:val="EndNoteBibliography"/>
        <w:ind w:left="720" w:hanging="720"/>
        <w:rPr>
          <w:noProof/>
        </w:rPr>
      </w:pPr>
      <w:r w:rsidRPr="00DF5C72">
        <w:rPr>
          <w:noProof/>
        </w:rPr>
        <w:t>11.</w:t>
      </w:r>
      <w:r w:rsidRPr="00DF5C72">
        <w:rPr>
          <w:noProof/>
        </w:rPr>
        <w:tab/>
        <w:t xml:space="preserve">Banerjee-Basu S, Packer A. SFARI Gene: an evolving database for the autism research community. </w:t>
      </w:r>
      <w:r w:rsidR="004F7AB4" w:rsidRPr="004F7AB4">
        <w:rPr>
          <w:noProof/>
        </w:rPr>
        <w:t>Dis Model Mech. 2010;3:133-5</w:t>
      </w:r>
      <w:r w:rsidRPr="00DF5C72">
        <w:rPr>
          <w:noProof/>
        </w:rPr>
        <w:t>.</w:t>
      </w:r>
    </w:p>
    <w:p w:rsidR="00417B7D" w:rsidRPr="00DF5C72" w:rsidRDefault="00417B7D" w:rsidP="00DF5C72">
      <w:pPr>
        <w:pStyle w:val="EndNoteBibliography"/>
        <w:ind w:left="720" w:hanging="720"/>
        <w:rPr>
          <w:noProof/>
        </w:rPr>
      </w:pPr>
      <w:r w:rsidRPr="00DF5C72">
        <w:rPr>
          <w:noProof/>
        </w:rPr>
        <w:t>12.</w:t>
      </w:r>
      <w:r w:rsidRPr="00DF5C72">
        <w:rPr>
          <w:noProof/>
        </w:rPr>
        <w:tab/>
        <w:t xml:space="preserve">Werling DM, Parikshak NN, Geschwind DH. Gene expression in human brain implicates sexually dimorphic pathways in autism spectrum disorders. Nature </w:t>
      </w:r>
      <w:r w:rsidR="004F7AB4">
        <w:rPr>
          <w:noProof/>
        </w:rPr>
        <w:t>C</w:t>
      </w:r>
      <w:r w:rsidRPr="00DF5C72">
        <w:rPr>
          <w:noProof/>
        </w:rPr>
        <w:t>ommun. 2016;7:10717.</w:t>
      </w:r>
    </w:p>
    <w:p w:rsidR="00417B7D" w:rsidRPr="00DF5C72" w:rsidRDefault="00417B7D" w:rsidP="00DF5C72">
      <w:pPr>
        <w:pStyle w:val="EndNoteBibliography"/>
        <w:ind w:left="720" w:hanging="720"/>
        <w:rPr>
          <w:noProof/>
        </w:rPr>
      </w:pPr>
      <w:r w:rsidRPr="00DF5C72">
        <w:rPr>
          <w:noProof/>
        </w:rPr>
        <w:lastRenderedPageBreak/>
        <w:t>13.</w:t>
      </w:r>
      <w:r w:rsidRPr="00DF5C72">
        <w:rPr>
          <w:noProof/>
        </w:rPr>
        <w:tab/>
        <w:t>Tian Y, Morris TJ, Webster AP, Yang Z, Beck S, Feber A, et al. ChAMP: updated methylation analysis pipeline for Illumina BeadChips. Bioinformatics. 2017;33:3982-4.</w:t>
      </w:r>
    </w:p>
    <w:p w:rsidR="00417B7D" w:rsidRPr="00DF5C72" w:rsidRDefault="00417B7D" w:rsidP="00DF5C72">
      <w:pPr>
        <w:pStyle w:val="EndNoteBibliography"/>
        <w:ind w:left="720" w:hanging="720"/>
        <w:rPr>
          <w:noProof/>
        </w:rPr>
      </w:pPr>
      <w:r w:rsidRPr="00DF5C72">
        <w:rPr>
          <w:noProof/>
        </w:rPr>
        <w:t>14.</w:t>
      </w:r>
      <w:r w:rsidRPr="00DF5C72">
        <w:rPr>
          <w:noProof/>
        </w:rPr>
        <w:tab/>
        <w:t xml:space="preserve">Houseman EA, Accomando WP, Koestler DC, Christensen BC, Marsit CJ, Nelson HH, et al. DNA methylation arrays as surrogate measures of cell mixture distribution. BMC </w:t>
      </w:r>
      <w:r w:rsidR="004F7AB4">
        <w:rPr>
          <w:noProof/>
        </w:rPr>
        <w:t>B</w:t>
      </w:r>
      <w:r w:rsidRPr="00DF5C72">
        <w:rPr>
          <w:noProof/>
        </w:rPr>
        <w:t>ioinformatics. 2012;13</w:t>
      </w:r>
      <w:bookmarkStart w:id="0" w:name="_GoBack"/>
      <w:bookmarkEnd w:id="0"/>
      <w:r w:rsidRPr="00DF5C72">
        <w:rPr>
          <w:noProof/>
        </w:rPr>
        <w:t>:86.</w:t>
      </w:r>
    </w:p>
    <w:p w:rsidR="00417B7D" w:rsidRPr="008560AD" w:rsidRDefault="00417B7D" w:rsidP="00AC65B7">
      <w:pPr>
        <w:widowControl/>
        <w:spacing w:line="360" w:lineRule="auto"/>
        <w:jc w:val="left"/>
        <w:rPr>
          <w:rFonts w:cs="Times New Roman"/>
          <w:sz w:val="24"/>
          <w:szCs w:val="24"/>
        </w:rPr>
      </w:pPr>
    </w:p>
    <w:p w:rsidR="0026080C" w:rsidRDefault="004F7AB4"/>
    <w:sectPr w:rsidR="0026080C" w:rsidSect="00C606E3">
      <w:pgSz w:w="11900" w:h="16840"/>
      <w:pgMar w:top="1440" w:right="1080" w:bottom="1440" w:left="1080" w:header="850" w:footer="994" w:gutter="0"/>
      <w:cols w:space="425"/>
      <w:docGrid w:type="lines"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Yu Gothic"/>
    <w:panose1 w:val="020B0300000000000000"/>
    <w:charset w:val="80"/>
    <w:family w:val="swiss"/>
    <w:pitch w:val="variable"/>
    <w:sig w:usb0="00000000"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960"/>
  <w:drawingGridHorizontalSpacing w:val="100"/>
  <w:drawingGridVerticalSpacing w:val="2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17B7D"/>
    <w:rsid w:val="000148B5"/>
    <w:rsid w:val="00017E51"/>
    <w:rsid w:val="00033961"/>
    <w:rsid w:val="00034DBA"/>
    <w:rsid w:val="00040146"/>
    <w:rsid w:val="00040975"/>
    <w:rsid w:val="000463BF"/>
    <w:rsid w:val="000516FA"/>
    <w:rsid w:val="00055BAE"/>
    <w:rsid w:val="000620BA"/>
    <w:rsid w:val="00067A3A"/>
    <w:rsid w:val="00073C98"/>
    <w:rsid w:val="00084651"/>
    <w:rsid w:val="00092CFA"/>
    <w:rsid w:val="000976A5"/>
    <w:rsid w:val="000B0B59"/>
    <w:rsid w:val="000B3946"/>
    <w:rsid w:val="000B4958"/>
    <w:rsid w:val="000B4F65"/>
    <w:rsid w:val="000B4FD2"/>
    <w:rsid w:val="000B780B"/>
    <w:rsid w:val="000C3CA8"/>
    <w:rsid w:val="000D0AFA"/>
    <w:rsid w:val="000D7D53"/>
    <w:rsid w:val="000E01EB"/>
    <w:rsid w:val="000E0CE8"/>
    <w:rsid w:val="000F158E"/>
    <w:rsid w:val="001172C3"/>
    <w:rsid w:val="00127E87"/>
    <w:rsid w:val="001403E8"/>
    <w:rsid w:val="00140466"/>
    <w:rsid w:val="00140965"/>
    <w:rsid w:val="00157202"/>
    <w:rsid w:val="001572F9"/>
    <w:rsid w:val="001638C0"/>
    <w:rsid w:val="00166109"/>
    <w:rsid w:val="00171AC6"/>
    <w:rsid w:val="00171FD5"/>
    <w:rsid w:val="001722CB"/>
    <w:rsid w:val="00173926"/>
    <w:rsid w:val="00173CD0"/>
    <w:rsid w:val="00175B6E"/>
    <w:rsid w:val="00175DC0"/>
    <w:rsid w:val="00177552"/>
    <w:rsid w:val="00183B28"/>
    <w:rsid w:val="0018653D"/>
    <w:rsid w:val="00195494"/>
    <w:rsid w:val="001A60DE"/>
    <w:rsid w:val="001B0CEE"/>
    <w:rsid w:val="001B51F3"/>
    <w:rsid w:val="001B554A"/>
    <w:rsid w:val="001B63BF"/>
    <w:rsid w:val="001C3130"/>
    <w:rsid w:val="001C5C55"/>
    <w:rsid w:val="001C5D67"/>
    <w:rsid w:val="001C6926"/>
    <w:rsid w:val="001D0A6A"/>
    <w:rsid w:val="001E6EB2"/>
    <w:rsid w:val="001F0CF3"/>
    <w:rsid w:val="001F14DD"/>
    <w:rsid w:val="001F76F4"/>
    <w:rsid w:val="00213326"/>
    <w:rsid w:val="00217434"/>
    <w:rsid w:val="00217D14"/>
    <w:rsid w:val="00224174"/>
    <w:rsid w:val="0023291A"/>
    <w:rsid w:val="002349B1"/>
    <w:rsid w:val="00263D6D"/>
    <w:rsid w:val="00264F10"/>
    <w:rsid w:val="00270AA2"/>
    <w:rsid w:val="0028217D"/>
    <w:rsid w:val="00283220"/>
    <w:rsid w:val="0029610B"/>
    <w:rsid w:val="002C3CFB"/>
    <w:rsid w:val="002D2176"/>
    <w:rsid w:val="003076F0"/>
    <w:rsid w:val="00307B53"/>
    <w:rsid w:val="00321425"/>
    <w:rsid w:val="00321FFE"/>
    <w:rsid w:val="00341C0B"/>
    <w:rsid w:val="00347211"/>
    <w:rsid w:val="00347CAD"/>
    <w:rsid w:val="003524F2"/>
    <w:rsid w:val="003570B8"/>
    <w:rsid w:val="003579C9"/>
    <w:rsid w:val="00360AD1"/>
    <w:rsid w:val="003733FE"/>
    <w:rsid w:val="00382F3A"/>
    <w:rsid w:val="00384B0F"/>
    <w:rsid w:val="00386059"/>
    <w:rsid w:val="00393374"/>
    <w:rsid w:val="003A4777"/>
    <w:rsid w:val="003A6A0B"/>
    <w:rsid w:val="003A75B0"/>
    <w:rsid w:val="003B2FC8"/>
    <w:rsid w:val="003B4902"/>
    <w:rsid w:val="003C2655"/>
    <w:rsid w:val="003D7C4F"/>
    <w:rsid w:val="003D7FE9"/>
    <w:rsid w:val="003F6B1A"/>
    <w:rsid w:val="00407C85"/>
    <w:rsid w:val="00417B7D"/>
    <w:rsid w:val="00422A27"/>
    <w:rsid w:val="00424340"/>
    <w:rsid w:val="00424824"/>
    <w:rsid w:val="0043249D"/>
    <w:rsid w:val="00443C49"/>
    <w:rsid w:val="00444D63"/>
    <w:rsid w:val="00446271"/>
    <w:rsid w:val="00452553"/>
    <w:rsid w:val="0046223D"/>
    <w:rsid w:val="00471541"/>
    <w:rsid w:val="004A12AA"/>
    <w:rsid w:val="004A26B7"/>
    <w:rsid w:val="004A2D7F"/>
    <w:rsid w:val="004A320B"/>
    <w:rsid w:val="004B1A70"/>
    <w:rsid w:val="004B2DD6"/>
    <w:rsid w:val="004B6D0A"/>
    <w:rsid w:val="004C1913"/>
    <w:rsid w:val="004C7018"/>
    <w:rsid w:val="004D45D1"/>
    <w:rsid w:val="004E17CF"/>
    <w:rsid w:val="004E2EB9"/>
    <w:rsid w:val="004E79B7"/>
    <w:rsid w:val="004F0BB6"/>
    <w:rsid w:val="004F5367"/>
    <w:rsid w:val="004F7AB4"/>
    <w:rsid w:val="00503C1D"/>
    <w:rsid w:val="005128DC"/>
    <w:rsid w:val="005406E4"/>
    <w:rsid w:val="00540914"/>
    <w:rsid w:val="00550857"/>
    <w:rsid w:val="00551A55"/>
    <w:rsid w:val="00552336"/>
    <w:rsid w:val="005540F6"/>
    <w:rsid w:val="00567065"/>
    <w:rsid w:val="0057606E"/>
    <w:rsid w:val="00576FAF"/>
    <w:rsid w:val="00577100"/>
    <w:rsid w:val="00581ABE"/>
    <w:rsid w:val="00583513"/>
    <w:rsid w:val="00584E1A"/>
    <w:rsid w:val="00597FE9"/>
    <w:rsid w:val="005A74D6"/>
    <w:rsid w:val="005B01E9"/>
    <w:rsid w:val="005B5805"/>
    <w:rsid w:val="005C0EFA"/>
    <w:rsid w:val="005C4980"/>
    <w:rsid w:val="005C78DD"/>
    <w:rsid w:val="005D1B53"/>
    <w:rsid w:val="005D65A5"/>
    <w:rsid w:val="005E54EE"/>
    <w:rsid w:val="005F6FA0"/>
    <w:rsid w:val="006061EC"/>
    <w:rsid w:val="00620D22"/>
    <w:rsid w:val="00630859"/>
    <w:rsid w:val="00631821"/>
    <w:rsid w:val="0063358E"/>
    <w:rsid w:val="006345F6"/>
    <w:rsid w:val="006553A7"/>
    <w:rsid w:val="006605D6"/>
    <w:rsid w:val="00674BA1"/>
    <w:rsid w:val="00675C74"/>
    <w:rsid w:val="006802CA"/>
    <w:rsid w:val="006812F2"/>
    <w:rsid w:val="00682B80"/>
    <w:rsid w:val="006835DD"/>
    <w:rsid w:val="00683A96"/>
    <w:rsid w:val="006862C8"/>
    <w:rsid w:val="006875C1"/>
    <w:rsid w:val="00695167"/>
    <w:rsid w:val="006A0832"/>
    <w:rsid w:val="006A21A1"/>
    <w:rsid w:val="006A2484"/>
    <w:rsid w:val="006A2FA1"/>
    <w:rsid w:val="006A4370"/>
    <w:rsid w:val="006B2D65"/>
    <w:rsid w:val="006B3E6F"/>
    <w:rsid w:val="006B558C"/>
    <w:rsid w:val="006C41E3"/>
    <w:rsid w:val="006C68BC"/>
    <w:rsid w:val="006E7A12"/>
    <w:rsid w:val="006F57C0"/>
    <w:rsid w:val="0070577A"/>
    <w:rsid w:val="00707C1B"/>
    <w:rsid w:val="00713C24"/>
    <w:rsid w:val="00724276"/>
    <w:rsid w:val="00726453"/>
    <w:rsid w:val="007347DF"/>
    <w:rsid w:val="00740FEF"/>
    <w:rsid w:val="007748F1"/>
    <w:rsid w:val="00775854"/>
    <w:rsid w:val="007763C7"/>
    <w:rsid w:val="00776A83"/>
    <w:rsid w:val="00783526"/>
    <w:rsid w:val="00792EA6"/>
    <w:rsid w:val="007947C5"/>
    <w:rsid w:val="007A1DA4"/>
    <w:rsid w:val="007A5F03"/>
    <w:rsid w:val="007B0ABA"/>
    <w:rsid w:val="007B14E1"/>
    <w:rsid w:val="007B189E"/>
    <w:rsid w:val="007B32B7"/>
    <w:rsid w:val="007C21D9"/>
    <w:rsid w:val="007C4A4B"/>
    <w:rsid w:val="007C6268"/>
    <w:rsid w:val="007C70AC"/>
    <w:rsid w:val="007D0B51"/>
    <w:rsid w:val="007D183F"/>
    <w:rsid w:val="007D287C"/>
    <w:rsid w:val="007D2AB9"/>
    <w:rsid w:val="007E4F1A"/>
    <w:rsid w:val="007F0426"/>
    <w:rsid w:val="007F0C32"/>
    <w:rsid w:val="007F1053"/>
    <w:rsid w:val="007F1FD5"/>
    <w:rsid w:val="008018D2"/>
    <w:rsid w:val="008041B5"/>
    <w:rsid w:val="0080743C"/>
    <w:rsid w:val="008112FA"/>
    <w:rsid w:val="00814BBB"/>
    <w:rsid w:val="008152BB"/>
    <w:rsid w:val="0081592C"/>
    <w:rsid w:val="00817B7D"/>
    <w:rsid w:val="00817E59"/>
    <w:rsid w:val="00833572"/>
    <w:rsid w:val="008372C7"/>
    <w:rsid w:val="008542A9"/>
    <w:rsid w:val="00867704"/>
    <w:rsid w:val="00877281"/>
    <w:rsid w:val="00882E59"/>
    <w:rsid w:val="00884AE4"/>
    <w:rsid w:val="00885018"/>
    <w:rsid w:val="00890370"/>
    <w:rsid w:val="00897AD1"/>
    <w:rsid w:val="008C0B41"/>
    <w:rsid w:val="008C1D72"/>
    <w:rsid w:val="008D4F80"/>
    <w:rsid w:val="008D52D7"/>
    <w:rsid w:val="008E15E9"/>
    <w:rsid w:val="008E2370"/>
    <w:rsid w:val="008E69B5"/>
    <w:rsid w:val="008F721E"/>
    <w:rsid w:val="00911B39"/>
    <w:rsid w:val="009144F2"/>
    <w:rsid w:val="009150E2"/>
    <w:rsid w:val="00917680"/>
    <w:rsid w:val="00933475"/>
    <w:rsid w:val="009412D1"/>
    <w:rsid w:val="0094152F"/>
    <w:rsid w:val="00953373"/>
    <w:rsid w:val="0095714F"/>
    <w:rsid w:val="00967209"/>
    <w:rsid w:val="00967FB6"/>
    <w:rsid w:val="0097155B"/>
    <w:rsid w:val="00972475"/>
    <w:rsid w:val="00975F58"/>
    <w:rsid w:val="00982A30"/>
    <w:rsid w:val="009841C7"/>
    <w:rsid w:val="00995668"/>
    <w:rsid w:val="009A3B40"/>
    <w:rsid w:val="009A672C"/>
    <w:rsid w:val="009A71B8"/>
    <w:rsid w:val="009B7C22"/>
    <w:rsid w:val="009C0B2A"/>
    <w:rsid w:val="009C4131"/>
    <w:rsid w:val="009C74A1"/>
    <w:rsid w:val="009D3FF9"/>
    <w:rsid w:val="009F143D"/>
    <w:rsid w:val="009F3786"/>
    <w:rsid w:val="00A0709B"/>
    <w:rsid w:val="00A077D4"/>
    <w:rsid w:val="00A15017"/>
    <w:rsid w:val="00A22954"/>
    <w:rsid w:val="00A33F5F"/>
    <w:rsid w:val="00A365A2"/>
    <w:rsid w:val="00A367AF"/>
    <w:rsid w:val="00A410DE"/>
    <w:rsid w:val="00A43AAC"/>
    <w:rsid w:val="00A44FCC"/>
    <w:rsid w:val="00A459AE"/>
    <w:rsid w:val="00A47242"/>
    <w:rsid w:val="00A4744A"/>
    <w:rsid w:val="00A637A1"/>
    <w:rsid w:val="00A663A6"/>
    <w:rsid w:val="00A66AA9"/>
    <w:rsid w:val="00A708FA"/>
    <w:rsid w:val="00A71B7F"/>
    <w:rsid w:val="00A7318F"/>
    <w:rsid w:val="00A804DE"/>
    <w:rsid w:val="00A824D8"/>
    <w:rsid w:val="00A926AC"/>
    <w:rsid w:val="00A929EE"/>
    <w:rsid w:val="00A9478C"/>
    <w:rsid w:val="00A955C0"/>
    <w:rsid w:val="00A96BAF"/>
    <w:rsid w:val="00A97872"/>
    <w:rsid w:val="00AA5932"/>
    <w:rsid w:val="00AB0AAB"/>
    <w:rsid w:val="00AB1B94"/>
    <w:rsid w:val="00AB24B8"/>
    <w:rsid w:val="00AC2AA7"/>
    <w:rsid w:val="00AD19F7"/>
    <w:rsid w:val="00AD559A"/>
    <w:rsid w:val="00AD7F95"/>
    <w:rsid w:val="00AE5F7A"/>
    <w:rsid w:val="00AE708F"/>
    <w:rsid w:val="00AF2EEC"/>
    <w:rsid w:val="00AF54C1"/>
    <w:rsid w:val="00B01656"/>
    <w:rsid w:val="00B02120"/>
    <w:rsid w:val="00B10563"/>
    <w:rsid w:val="00B22306"/>
    <w:rsid w:val="00B43F1A"/>
    <w:rsid w:val="00B44E20"/>
    <w:rsid w:val="00B54EF7"/>
    <w:rsid w:val="00B57429"/>
    <w:rsid w:val="00B64445"/>
    <w:rsid w:val="00B65493"/>
    <w:rsid w:val="00B661CB"/>
    <w:rsid w:val="00B66572"/>
    <w:rsid w:val="00B7113B"/>
    <w:rsid w:val="00B752FC"/>
    <w:rsid w:val="00B76003"/>
    <w:rsid w:val="00B957E0"/>
    <w:rsid w:val="00B97D11"/>
    <w:rsid w:val="00B97EF8"/>
    <w:rsid w:val="00BB3DD7"/>
    <w:rsid w:val="00BC3C7D"/>
    <w:rsid w:val="00BC4269"/>
    <w:rsid w:val="00BD5A0A"/>
    <w:rsid w:val="00BD5A86"/>
    <w:rsid w:val="00BE33AE"/>
    <w:rsid w:val="00BF070C"/>
    <w:rsid w:val="00BF260B"/>
    <w:rsid w:val="00BF727D"/>
    <w:rsid w:val="00C1559A"/>
    <w:rsid w:val="00C24AF4"/>
    <w:rsid w:val="00C25667"/>
    <w:rsid w:val="00C26FC5"/>
    <w:rsid w:val="00C3590E"/>
    <w:rsid w:val="00C3766A"/>
    <w:rsid w:val="00C43FAF"/>
    <w:rsid w:val="00C44468"/>
    <w:rsid w:val="00C44B04"/>
    <w:rsid w:val="00C45627"/>
    <w:rsid w:val="00C50DB1"/>
    <w:rsid w:val="00C52E00"/>
    <w:rsid w:val="00C53AF7"/>
    <w:rsid w:val="00C552D4"/>
    <w:rsid w:val="00C576A1"/>
    <w:rsid w:val="00C606E3"/>
    <w:rsid w:val="00C84F0F"/>
    <w:rsid w:val="00CA4750"/>
    <w:rsid w:val="00CC3D46"/>
    <w:rsid w:val="00CC787D"/>
    <w:rsid w:val="00CD3948"/>
    <w:rsid w:val="00CD3F7C"/>
    <w:rsid w:val="00CE2833"/>
    <w:rsid w:val="00CE32BD"/>
    <w:rsid w:val="00CE4A1B"/>
    <w:rsid w:val="00CE58B1"/>
    <w:rsid w:val="00CF0FCE"/>
    <w:rsid w:val="00CF1F5F"/>
    <w:rsid w:val="00CF3AE5"/>
    <w:rsid w:val="00CF71C7"/>
    <w:rsid w:val="00D014FF"/>
    <w:rsid w:val="00D06695"/>
    <w:rsid w:val="00D11018"/>
    <w:rsid w:val="00D14644"/>
    <w:rsid w:val="00D15518"/>
    <w:rsid w:val="00D15859"/>
    <w:rsid w:val="00D3632F"/>
    <w:rsid w:val="00D3754A"/>
    <w:rsid w:val="00D753AF"/>
    <w:rsid w:val="00D824BA"/>
    <w:rsid w:val="00D832FA"/>
    <w:rsid w:val="00D83356"/>
    <w:rsid w:val="00D86F80"/>
    <w:rsid w:val="00D932C0"/>
    <w:rsid w:val="00D960C5"/>
    <w:rsid w:val="00DA15E4"/>
    <w:rsid w:val="00DA1F18"/>
    <w:rsid w:val="00DC6031"/>
    <w:rsid w:val="00DE0573"/>
    <w:rsid w:val="00DF4C00"/>
    <w:rsid w:val="00E02FC1"/>
    <w:rsid w:val="00E036D6"/>
    <w:rsid w:val="00E142BB"/>
    <w:rsid w:val="00E16F6E"/>
    <w:rsid w:val="00E2223A"/>
    <w:rsid w:val="00E33FBD"/>
    <w:rsid w:val="00E412D7"/>
    <w:rsid w:val="00E449CD"/>
    <w:rsid w:val="00E47258"/>
    <w:rsid w:val="00E52F28"/>
    <w:rsid w:val="00E579D0"/>
    <w:rsid w:val="00E631E5"/>
    <w:rsid w:val="00E6614E"/>
    <w:rsid w:val="00E75021"/>
    <w:rsid w:val="00E85C87"/>
    <w:rsid w:val="00E966E1"/>
    <w:rsid w:val="00E97C9A"/>
    <w:rsid w:val="00EA4951"/>
    <w:rsid w:val="00EB1A60"/>
    <w:rsid w:val="00ED3D4F"/>
    <w:rsid w:val="00EE2541"/>
    <w:rsid w:val="00EE4904"/>
    <w:rsid w:val="00EE6029"/>
    <w:rsid w:val="00EF073D"/>
    <w:rsid w:val="00EF2E8F"/>
    <w:rsid w:val="00F16F8C"/>
    <w:rsid w:val="00F300F3"/>
    <w:rsid w:val="00F329E1"/>
    <w:rsid w:val="00F3369B"/>
    <w:rsid w:val="00F41BAD"/>
    <w:rsid w:val="00F54AF6"/>
    <w:rsid w:val="00F56050"/>
    <w:rsid w:val="00F75965"/>
    <w:rsid w:val="00F75D56"/>
    <w:rsid w:val="00F76124"/>
    <w:rsid w:val="00F818A9"/>
    <w:rsid w:val="00F84AC5"/>
    <w:rsid w:val="00FB224A"/>
    <w:rsid w:val="00FB666F"/>
    <w:rsid w:val="00FC1ED9"/>
    <w:rsid w:val="00FE33A1"/>
    <w:rsid w:val="00FF384B"/>
    <w:rsid w:val="00FF4291"/>
    <w:rsid w:val="00FF5EA4"/>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A9B95B"/>
  <w14:defaultImageDpi w14:val="32767"/>
  <w15:chartTrackingRefBased/>
  <w15:docId w15:val="{83F3806A-A48E-C649-9DAD-E948DC52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17B7D"/>
    <w:pPr>
      <w:widowControl w:val="0"/>
      <w:jc w:val="both"/>
    </w:pPr>
    <w:rPr>
      <w:rFonts w:ascii="Times New Roman" w:hAnsi="Times New Roman"/>
      <w:sz w:val="20"/>
      <w:szCs w:val="20"/>
    </w:rPr>
  </w:style>
  <w:style w:type="character" w:default="1" w:styleId="a0">
    <w:name w:val="Default Paragraph Font"/>
    <w:uiPriority w:val="1"/>
    <w:semiHidden/>
    <w:unhideWhenUsed/>
    <w:rsid w:val="00417B7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17B7D"/>
  </w:style>
  <w:style w:type="character" w:styleId="a3">
    <w:name w:val="Hyperlink"/>
    <w:uiPriority w:val="99"/>
    <w:rsid w:val="00417B7D"/>
  </w:style>
  <w:style w:type="paragraph" w:customStyle="1" w:styleId="EndNoteBibliography">
    <w:name w:val="EndNote Bibliography"/>
    <w:basedOn w:val="a"/>
    <w:rsid w:val="00417B7D"/>
    <w:pPr>
      <w:widowControl/>
      <w:autoSpaceDE w:val="0"/>
      <w:autoSpaceDN w:val="0"/>
      <w:adjustRightInd w:val="0"/>
      <w:spacing w:line="480" w:lineRule="auto"/>
    </w:pPr>
    <w:rPr>
      <w:rFonts w:eastAsia="ＭＳ 明朝" w:cs="Times New Roman"/>
      <w:kern w:val="0"/>
      <w:sz w:val="24"/>
    </w:rPr>
  </w:style>
  <w:style w:type="paragraph" w:styleId="a4">
    <w:name w:val="List Paragraph"/>
    <w:basedOn w:val="a"/>
    <w:uiPriority w:val="34"/>
    <w:qFormat/>
    <w:rsid w:val="00417B7D"/>
    <w:pPr>
      <w:ind w:leftChars="400" w:left="960"/>
    </w:pPr>
  </w:style>
  <w:style w:type="character" w:styleId="a5">
    <w:name w:val="line number"/>
    <w:basedOn w:val="a0"/>
    <w:uiPriority w:val="99"/>
    <w:semiHidden/>
    <w:unhideWhenUsed/>
    <w:rsid w:val="00417B7D"/>
  </w:style>
  <w:style w:type="character" w:styleId="a6">
    <w:name w:val="FollowedHyperlink"/>
    <w:basedOn w:val="a0"/>
    <w:uiPriority w:val="99"/>
    <w:semiHidden/>
    <w:unhideWhenUsed/>
    <w:rsid w:val="00417B7D"/>
    <w:rPr>
      <w:color w:val="954F72" w:themeColor="followedHyperlink"/>
      <w:u w:val="single"/>
    </w:rPr>
  </w:style>
  <w:style w:type="paragraph" w:styleId="a7">
    <w:name w:val="Balloon Text"/>
    <w:basedOn w:val="a"/>
    <w:link w:val="a8"/>
    <w:uiPriority w:val="99"/>
    <w:semiHidden/>
    <w:unhideWhenUsed/>
    <w:rsid w:val="00417B7D"/>
    <w:rPr>
      <w:rFonts w:ascii="ヒラギノ角ゴ ProN W3" w:eastAsia="ヒラギノ角ゴ ProN W3"/>
      <w:sz w:val="18"/>
      <w:szCs w:val="18"/>
    </w:rPr>
  </w:style>
  <w:style w:type="character" w:customStyle="1" w:styleId="a8">
    <w:name w:val="吹き出し (文字)"/>
    <w:basedOn w:val="a0"/>
    <w:link w:val="a7"/>
    <w:uiPriority w:val="99"/>
    <w:semiHidden/>
    <w:rsid w:val="00417B7D"/>
    <w:rPr>
      <w:rFonts w:ascii="ヒラギノ角ゴ ProN W3" w:eastAsia="ヒラギノ角ゴ ProN W3" w:hAnsi="Times New Roman"/>
      <w:sz w:val="18"/>
      <w:szCs w:val="18"/>
    </w:rPr>
  </w:style>
  <w:style w:type="table" w:styleId="a9">
    <w:name w:val="Table Grid"/>
    <w:basedOn w:val="a1"/>
    <w:uiPriority w:val="59"/>
    <w:rsid w:val="0041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417B7D"/>
    <w:pPr>
      <w:jc w:val="center"/>
    </w:pPr>
    <w:rPr>
      <w:rFonts w:cs="Times New Roman"/>
      <w:sz w:val="24"/>
    </w:rPr>
  </w:style>
  <w:style w:type="character" w:customStyle="1" w:styleId="EndNoteBibliographyTitle0">
    <w:name w:val="EndNote Bibliography Title (文字)"/>
    <w:basedOn w:val="a0"/>
    <w:link w:val="EndNoteBibliographyTitle"/>
    <w:rsid w:val="00417B7D"/>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Kimura</dc:creator>
  <cp:keywords/>
  <dc:description/>
  <cp:lastModifiedBy>Ryo Kimura</cp:lastModifiedBy>
  <cp:revision>5</cp:revision>
  <dcterms:created xsi:type="dcterms:W3CDTF">2019-07-30T09:36:00Z</dcterms:created>
  <dcterms:modified xsi:type="dcterms:W3CDTF">2019-07-30T09:42:00Z</dcterms:modified>
</cp:coreProperties>
</file>