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1D8E9" w14:textId="0F382EC3" w:rsidR="0015091B" w:rsidRPr="0015091B" w:rsidRDefault="0015091B" w:rsidP="0015091B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15091B">
        <w:rPr>
          <w:rFonts w:ascii="Times New Roman" w:hAnsi="Times New Roman"/>
          <w:b/>
          <w:sz w:val="44"/>
          <w:szCs w:val="44"/>
        </w:rPr>
        <w:t>Supplementary Material</w:t>
      </w:r>
    </w:p>
    <w:p w14:paraId="16CBEF0E" w14:textId="1DB68FF8" w:rsidR="00142035" w:rsidRDefault="00142035">
      <w:pPr>
        <w:spacing w:line="240" w:lineRule="auto"/>
        <w:jc w:val="left"/>
      </w:pPr>
    </w:p>
    <w:p w14:paraId="737E2C05" w14:textId="77777777" w:rsidR="00142035" w:rsidRDefault="00142035">
      <w:pPr>
        <w:spacing w:line="240" w:lineRule="auto"/>
        <w:jc w:val="left"/>
      </w:pPr>
    </w:p>
    <w:p w14:paraId="26D6753C" w14:textId="77777777" w:rsidR="00142035" w:rsidRDefault="00142035" w:rsidP="00142035">
      <w:pPr>
        <w:spacing w:line="480" w:lineRule="auto"/>
        <w:rPr>
          <w:rFonts w:ascii="Times New Roman" w:hAnsi="Times New Roman"/>
          <w:b/>
          <w:sz w:val="28"/>
          <w:szCs w:val="28"/>
        </w:rPr>
      </w:pPr>
      <w:r w:rsidRPr="00F01DF4">
        <w:rPr>
          <w:rFonts w:ascii="Times New Roman" w:hAnsi="Times New Roman"/>
          <w:b/>
          <w:sz w:val="28"/>
          <w:szCs w:val="28"/>
        </w:rPr>
        <w:t xml:space="preserve">An efficient protocol to </w:t>
      </w:r>
      <w:r w:rsidRPr="00F01DF4">
        <w:rPr>
          <w:rFonts w:ascii="Times New Roman" w:hAnsi="Times New Roman" w:hint="eastAsia"/>
          <w:b/>
          <w:sz w:val="28"/>
          <w:szCs w:val="28"/>
        </w:rPr>
        <w:t xml:space="preserve">generate </w:t>
      </w:r>
      <w:r w:rsidRPr="00F01DF4">
        <w:rPr>
          <w:rFonts w:ascii="Times New Roman" w:hAnsi="Times New Roman"/>
          <w:b/>
          <w:sz w:val="28"/>
          <w:szCs w:val="28"/>
        </w:rPr>
        <w:t>placental chorionic plate-derived mesenchymal stem cells with superior proliferative and immunomodulatory properties</w:t>
      </w:r>
    </w:p>
    <w:p w14:paraId="0C5C4528" w14:textId="5459F26F" w:rsidR="00142035" w:rsidRDefault="00142035" w:rsidP="00142035">
      <w:pPr>
        <w:spacing w:line="480" w:lineRule="auto"/>
        <w:rPr>
          <w:rFonts w:ascii="Times New Roman" w:hAnsi="Times New Roman"/>
          <w:sz w:val="24"/>
        </w:rPr>
      </w:pPr>
      <w:r w:rsidRPr="00D570CC">
        <w:rPr>
          <w:rFonts w:ascii="Times New Roman" w:hAnsi="Times New Roman"/>
          <w:sz w:val="24"/>
        </w:rPr>
        <w:t xml:space="preserve">Qilin Huang, Yi Yang, </w:t>
      </w:r>
      <w:bookmarkStart w:id="0" w:name="OLE_LINK61"/>
      <w:bookmarkStart w:id="1" w:name="OLE_LINK66"/>
      <w:r w:rsidRPr="00D570CC">
        <w:rPr>
          <w:rFonts w:ascii="Times New Roman" w:hAnsi="Times New Roman"/>
          <w:sz w:val="24"/>
        </w:rPr>
        <w:t>Chen Luo</w:t>
      </w:r>
      <w:bookmarkEnd w:id="0"/>
      <w:bookmarkEnd w:id="1"/>
      <w:r>
        <w:rPr>
          <w:rFonts w:ascii="Times New Roman" w:hAnsi="Times New Roman"/>
          <w:sz w:val="24"/>
        </w:rPr>
        <w:t xml:space="preserve">, </w:t>
      </w:r>
      <w:r w:rsidRPr="00D570CC">
        <w:rPr>
          <w:rFonts w:ascii="Times New Roman" w:hAnsi="Times New Roman"/>
          <w:sz w:val="24"/>
        </w:rPr>
        <w:t>Yi Wen,</w:t>
      </w:r>
      <w:r>
        <w:rPr>
          <w:rFonts w:ascii="Times New Roman" w:hAnsi="Times New Roman"/>
          <w:sz w:val="24"/>
        </w:rPr>
        <w:t xml:space="preserve"> </w:t>
      </w:r>
      <w:bookmarkStart w:id="2" w:name="OLE_LINK53"/>
      <w:bookmarkStart w:id="3" w:name="OLE_LINK54"/>
      <w:r w:rsidRPr="00D570CC">
        <w:rPr>
          <w:rFonts w:ascii="Times New Roman" w:hAnsi="Times New Roman"/>
          <w:sz w:val="24"/>
        </w:rPr>
        <w:t>Ruohong Liu</w:t>
      </w:r>
      <w:bookmarkEnd w:id="2"/>
      <w:bookmarkEnd w:id="3"/>
      <w:r>
        <w:rPr>
          <w:rFonts w:ascii="Times New Roman" w:hAnsi="Times New Roman"/>
          <w:sz w:val="24"/>
        </w:rPr>
        <w:t>, S</w:t>
      </w:r>
      <w:r>
        <w:rPr>
          <w:rFonts w:ascii="Times New Roman" w:hAnsi="Times New Roman" w:hint="eastAsia"/>
          <w:sz w:val="24"/>
        </w:rPr>
        <w:t>huai</w:t>
      </w:r>
      <w:r>
        <w:rPr>
          <w:rFonts w:ascii="Times New Roman" w:hAnsi="Times New Roman"/>
          <w:sz w:val="24"/>
        </w:rPr>
        <w:t xml:space="preserve"> Li,</w:t>
      </w:r>
      <w:r w:rsidR="00EC1BC2">
        <w:rPr>
          <w:rFonts w:ascii="Times New Roman" w:hAnsi="Times New Roman"/>
          <w:sz w:val="24"/>
        </w:rPr>
        <w:t xml:space="preserve"> T</w:t>
      </w:r>
      <w:r w:rsidR="00EC1BC2">
        <w:rPr>
          <w:rFonts w:ascii="Times New Roman" w:hAnsi="Times New Roman" w:hint="eastAsia"/>
          <w:sz w:val="24"/>
        </w:rPr>
        <w:t>ao</w:t>
      </w:r>
      <w:r w:rsidR="00EC1BC2">
        <w:rPr>
          <w:rFonts w:ascii="Times New Roman" w:hAnsi="Times New Roman"/>
          <w:sz w:val="24"/>
        </w:rPr>
        <w:t xml:space="preserve"> Chen, </w:t>
      </w:r>
      <w:r w:rsidRPr="00D570CC">
        <w:rPr>
          <w:rFonts w:ascii="Times New Roman" w:hAnsi="Times New Roman"/>
          <w:sz w:val="24"/>
        </w:rPr>
        <w:t xml:space="preserve">Hongyu Sun, and Lijun Tang </w:t>
      </w:r>
    </w:p>
    <w:p w14:paraId="363D39BF" w14:textId="4F20FBF9" w:rsidR="0079492C" w:rsidRDefault="0079492C">
      <w:pPr>
        <w:spacing w:line="240" w:lineRule="auto"/>
        <w:jc w:val="left"/>
      </w:pPr>
    </w:p>
    <w:p w14:paraId="3F6F6F53" w14:textId="69248D9B" w:rsidR="00122BB2" w:rsidRPr="00122BB2" w:rsidRDefault="00122BB2" w:rsidP="00122BB2">
      <w:pPr>
        <w:shd w:val="clear" w:color="auto" w:fill="FFFFFF"/>
        <w:spacing w:line="480" w:lineRule="auto"/>
        <w:jc w:val="left"/>
        <w:rPr>
          <w:rFonts w:ascii="Times New Roman" w:hAnsi="Times New Roman" w:hint="eastAsia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</w:t>
      </w:r>
      <w:r w:rsidRPr="00122BB2">
        <w:rPr>
          <w:rFonts w:ascii="Times New Roman" w:hAnsi="Times New Roman"/>
          <w:b/>
          <w:sz w:val="24"/>
          <w:szCs w:val="24"/>
        </w:rPr>
        <w:t>he subcultu</w:t>
      </w:r>
      <w:r w:rsidR="009160ED">
        <w:rPr>
          <w:rFonts w:ascii="Times New Roman" w:hAnsi="Times New Roman"/>
          <w:b/>
          <w:sz w:val="24"/>
          <w:szCs w:val="24"/>
        </w:rPr>
        <w:t>re</w:t>
      </w:r>
      <w:r w:rsidRPr="00122BB2">
        <w:rPr>
          <w:rFonts w:ascii="Times New Roman" w:hAnsi="Times New Roman"/>
          <w:b/>
          <w:sz w:val="24"/>
          <w:szCs w:val="24"/>
        </w:rPr>
        <w:t xml:space="preserve"> of MSCs</w:t>
      </w:r>
      <w:bookmarkStart w:id="4" w:name="_GoBack"/>
      <w:bookmarkEnd w:id="4"/>
    </w:p>
    <w:p w14:paraId="13049176" w14:textId="77777777" w:rsidR="00122BB2" w:rsidRPr="00122BB2" w:rsidRDefault="00122BB2" w:rsidP="00122BB2">
      <w:pPr>
        <w:widowControl w:val="0"/>
        <w:spacing w:line="480" w:lineRule="auto"/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</w:pPr>
      <w:bookmarkStart w:id="5" w:name="_Hlk15675513"/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 xml:space="preserve">From the </w:t>
      </w:r>
      <w:r w:rsidRPr="00122BB2">
        <w:rPr>
          <w:rFonts w:ascii="Times New Roman" w:eastAsiaTheme="minorEastAsia" w:hAnsi="Times New Roman" w:cstheme="minorBidi" w:hint="eastAsia"/>
          <w:color w:val="000000" w:themeColor="text1"/>
          <w:sz w:val="24"/>
          <w:szCs w:val="24"/>
        </w:rPr>
        <w:t>passage</w:t>
      </w:r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 xml:space="preserve"> 1(P1), it needs to be subcultured when the cell confluence reaches 80%-90%. After MSCs are digested by Stem Cell </w:t>
      </w:r>
      <w:bookmarkStart w:id="6" w:name="OLE_LINK8"/>
      <w:bookmarkStart w:id="7" w:name="OLE_LINK9"/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>Mild Digestive Enzyme</w:t>
      </w:r>
      <w:bookmarkEnd w:id="6"/>
      <w:bookmarkEnd w:id="7"/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 xml:space="preserve"> (Yocon, China) for 2 minutes, add 5 times the volume of PBS to the added digestive enzyme, </w:t>
      </w:r>
      <w:r w:rsidRPr="00122BB2">
        <w:rPr>
          <w:rFonts w:ascii="Times New Roman" w:eastAsiaTheme="minorEastAsia" w:hAnsi="Times New Roman" w:cstheme="minorBidi" w:hint="eastAsia"/>
          <w:color w:val="000000" w:themeColor="text1"/>
          <w:sz w:val="24"/>
          <w:szCs w:val="24"/>
        </w:rPr>
        <w:t>then</w:t>
      </w:r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 xml:space="preserve"> transfer the cell suspension to the centrifuge tube, centrifuge (1000 rpm, 5 min, 4℃). The pellet was resuspended with MSC Serum Free Media, inoculated into the new culture flask at a density of 8000/cm2. Generally, the cells can grow up to 80%-90% of the culture flask for 72 hours, and the cell culture medium is replaced every 2 days.</w:t>
      </w:r>
      <w:r w:rsidRPr="00122BB2">
        <w:rPr>
          <w:rFonts w:ascii="Times New Roman" w:eastAsiaTheme="minorEastAsia" w:hAnsi="Times New Roman" w:cstheme="minorBidi" w:hint="eastAsia"/>
          <w:color w:val="000000" w:themeColor="text1"/>
          <w:sz w:val="24"/>
          <w:szCs w:val="24"/>
        </w:rPr>
        <w:t xml:space="preserve"> </w:t>
      </w:r>
      <w:r w:rsidRPr="00122BB2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 xml:space="preserve">Serum-Free Cell Cryopreservation Solutions (Yocon, China) was used for cell cryopreservation. </w:t>
      </w:r>
    </w:p>
    <w:bookmarkEnd w:id="5"/>
    <w:p w14:paraId="13BC4086" w14:textId="77777777" w:rsidR="00122BB2" w:rsidRPr="00122BB2" w:rsidRDefault="00122BB2">
      <w:pPr>
        <w:spacing w:line="240" w:lineRule="auto"/>
        <w:jc w:val="left"/>
        <w:rPr>
          <w:rFonts w:hint="eastAsia"/>
        </w:rPr>
      </w:pPr>
    </w:p>
    <w:p w14:paraId="6192D471" w14:textId="124DCB0B" w:rsidR="008F42F6" w:rsidRPr="008F42F6" w:rsidRDefault="008F42F6" w:rsidP="008F42F6">
      <w:pPr>
        <w:shd w:val="clear" w:color="auto" w:fill="FFFFFF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bookmarkStart w:id="8" w:name="_Hlk17452084"/>
      <w:r w:rsidRPr="008F42F6">
        <w:rPr>
          <w:rFonts w:ascii="Times New Roman" w:hAnsi="Times New Roman"/>
          <w:b/>
          <w:sz w:val="24"/>
          <w:szCs w:val="24"/>
        </w:rPr>
        <w:t>Isolation of macrophages</w:t>
      </w:r>
    </w:p>
    <w:bookmarkEnd w:id="8"/>
    <w:p w14:paraId="2E59C7D1" w14:textId="5C0D888A" w:rsidR="0015091B" w:rsidRDefault="008F42F6" w:rsidP="008F42F6">
      <w:pPr>
        <w:spacing w:line="480" w:lineRule="auto"/>
        <w:rPr>
          <w:rFonts w:ascii="Times New Roman" w:hAnsi="Times New Roman"/>
          <w:sz w:val="24"/>
          <w:szCs w:val="24"/>
        </w:rPr>
      </w:pPr>
      <w:r w:rsidRPr="008F42F6">
        <w:rPr>
          <w:rFonts w:ascii="Times New Roman" w:eastAsiaTheme="minorEastAsia" w:hAnsi="Times New Roman" w:cstheme="minorBidi"/>
          <w:color w:val="000000" w:themeColor="text1"/>
          <w:sz w:val="24"/>
          <w:szCs w:val="24"/>
        </w:rPr>
        <w:t>Macrophages were isolated as described earlier</w:t>
      </w:r>
      <w:r w:rsidRPr="00271638">
        <w:rPr>
          <w:rFonts w:ascii="Times New Roman" w:hAnsi="Times New Roman"/>
          <w:color w:val="000000" w:themeColor="text1"/>
        </w:rPr>
        <w:t xml:space="preserve">. Briefly, </w:t>
      </w:r>
      <w:r w:rsidRPr="00271638">
        <w:rPr>
          <w:rFonts w:ascii="Times New Roman" w:hAnsi="Times New Roman"/>
          <w:color w:val="000000" w:themeColor="text1"/>
          <w:sz w:val="24"/>
          <w:szCs w:val="24"/>
        </w:rPr>
        <w:t xml:space="preserve">after anesthesia with </w:t>
      </w:r>
      <w:r w:rsidRPr="00271638">
        <w:rPr>
          <w:rFonts w:ascii="Times New Roman" w:hAnsi="Times New Roman"/>
          <w:sz w:val="24"/>
          <w:szCs w:val="24"/>
        </w:rPr>
        <w:t xml:space="preserve">isoflurane, the rats were cut through the abdominal line and intraperitoneally injected with 20ml RPMI-1640 serum-free medium containing 1% penicillin-streptomycin. Then the </w:t>
      </w:r>
      <w:r w:rsidRPr="00271638">
        <w:rPr>
          <w:rFonts w:ascii="Times New Roman" w:hAnsi="Times New Roman"/>
          <w:sz w:val="24"/>
          <w:szCs w:val="24"/>
        </w:rPr>
        <w:lastRenderedPageBreak/>
        <w:t>abdominal cavity was closed and the abdomen was gently massaged for 2 min</w:t>
      </w:r>
      <w:r w:rsidR="00A077E2">
        <w:rPr>
          <w:rFonts w:ascii="Times New Roman" w:hAnsi="Times New Roman" w:hint="eastAsia"/>
          <w:sz w:val="24"/>
          <w:szCs w:val="24"/>
        </w:rPr>
        <w:t>.</w:t>
      </w:r>
      <w:r w:rsidRPr="00271638">
        <w:rPr>
          <w:rFonts w:ascii="Times New Roman" w:hAnsi="Times New Roman"/>
          <w:sz w:val="24"/>
          <w:szCs w:val="24"/>
        </w:rPr>
        <w:t xml:space="preserve"> </w:t>
      </w:r>
      <w:bookmarkStart w:id="9" w:name="OLE_LINK102"/>
      <w:bookmarkStart w:id="10" w:name="OLE_LINK103"/>
      <w:r w:rsidRPr="00271638">
        <w:rPr>
          <w:rFonts w:ascii="Times New Roman" w:hAnsi="Times New Roman"/>
          <w:sz w:val="24"/>
          <w:szCs w:val="24"/>
        </w:rPr>
        <w:t xml:space="preserve">Followed by, the intraperitoneal fluid was transferred to a centrifuge tube and centrifuged </w:t>
      </w:r>
      <w:bookmarkEnd w:id="9"/>
      <w:bookmarkEnd w:id="10"/>
      <w:r w:rsidRPr="00271638">
        <w:rPr>
          <w:rFonts w:ascii="Times New Roman" w:hAnsi="Times New Roman"/>
          <w:sz w:val="24"/>
          <w:szCs w:val="24"/>
        </w:rPr>
        <w:t>(300g, 5min, 4°C). The pellet was resuspended in RPMI-1640 medium (Hyclone, USA) containing 10% fetal bovine serum (FBS; Gibco, USA) and inoculated into a six-well culture plate, which was cultured at 37℃ in a humidified atmosphere with 5% CO2. After 2h, the non-adherent cells were removed by changing the medium, and the adherent cells were further cultured for subsequent experiments.</w:t>
      </w:r>
    </w:p>
    <w:p w14:paraId="41B7165A" w14:textId="60D3AA7B" w:rsidR="00F617A4" w:rsidRDefault="00F617A4" w:rsidP="008F42F6">
      <w:pPr>
        <w:spacing w:line="480" w:lineRule="auto"/>
      </w:pPr>
    </w:p>
    <w:p w14:paraId="1BE15AFA" w14:textId="77777777" w:rsidR="00B94169" w:rsidRPr="007A2B22" w:rsidRDefault="00B94169" w:rsidP="008F42F6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>Table S1. Primer used for real-time quantitative PCR.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946"/>
        <w:gridCol w:w="3771"/>
        <w:gridCol w:w="324"/>
        <w:gridCol w:w="3265"/>
      </w:tblGrid>
      <w:tr w:rsidR="00B94169" w:rsidRPr="007A2B22" w14:paraId="5B523363" w14:textId="77777777" w:rsidTr="002C79F5">
        <w:trPr>
          <w:trHeight w:val="170"/>
        </w:trPr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BEBA8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mRNA</w:t>
            </w:r>
          </w:p>
        </w:tc>
        <w:tc>
          <w:tcPr>
            <w:tcW w:w="3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C66C5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 xml:space="preserve">Forward </w:t>
            </w:r>
            <w:r w:rsidRPr="007A2B22">
              <w:rPr>
                <w:rFonts w:ascii="Times New Roman" w:eastAsiaTheme="minorEastAsia" w:hAnsi="Times New Roman" w:cstheme="minorBidi" w:hint="eastAsia"/>
                <w:szCs w:val="21"/>
              </w:rPr>
              <w:t>s</w:t>
            </w:r>
            <w:r w:rsidRPr="007A2B22">
              <w:rPr>
                <w:rFonts w:ascii="Times New Roman" w:eastAsiaTheme="minorEastAsia" w:hAnsi="Times New Roman" w:cstheme="minorBidi"/>
                <w:szCs w:val="21"/>
              </w:rPr>
              <w:t>equence (5</w:t>
            </w:r>
            <w:r w:rsidRPr="007A2B22">
              <w:rPr>
                <w:rFonts w:ascii="Times New Roman" w:eastAsiaTheme="minorEastAsia" w:hAnsi="Times New Roman" w:cstheme="minorBidi"/>
                <w:szCs w:val="21"/>
                <w:vertAlign w:val="superscript"/>
              </w:rPr>
              <w:t>’</w:t>
            </w:r>
            <w:r w:rsidRPr="007A2B22">
              <w:rPr>
                <w:rFonts w:ascii="Times New Roman" w:eastAsiaTheme="minorEastAsia" w:hAnsi="Times New Roman" w:cstheme="minorBidi"/>
                <w:szCs w:val="21"/>
              </w:rPr>
              <w:t>-3’)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14:paraId="5A3F6C21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422A7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Reverse sequence (5</w:t>
            </w:r>
            <w:r w:rsidRPr="007A2B22">
              <w:rPr>
                <w:rFonts w:ascii="Times New Roman" w:eastAsiaTheme="minorEastAsia" w:hAnsi="Times New Roman" w:cstheme="minorBidi"/>
                <w:szCs w:val="21"/>
                <w:vertAlign w:val="superscript"/>
              </w:rPr>
              <w:t>’</w:t>
            </w:r>
            <w:r w:rsidRPr="007A2B22">
              <w:rPr>
                <w:rFonts w:ascii="Times New Roman" w:eastAsiaTheme="minorEastAsia" w:hAnsi="Times New Roman" w:cstheme="minorBidi"/>
                <w:szCs w:val="21"/>
              </w:rPr>
              <w:t>-3’)</w:t>
            </w:r>
          </w:p>
        </w:tc>
      </w:tr>
      <w:tr w:rsidR="00B94169" w:rsidRPr="007A2B22" w14:paraId="1069972E" w14:textId="77777777" w:rsidTr="002C79F5">
        <w:trPr>
          <w:trHeight w:val="170"/>
        </w:trPr>
        <w:tc>
          <w:tcPr>
            <w:tcW w:w="946" w:type="dxa"/>
            <w:tcBorders>
              <w:top w:val="single" w:sz="4" w:space="0" w:color="auto"/>
            </w:tcBorders>
            <w:vAlign w:val="center"/>
          </w:tcPr>
          <w:p w14:paraId="7B8A4B2E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TNF-α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vAlign w:val="center"/>
          </w:tcPr>
          <w:p w14:paraId="03732B56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 xml:space="preserve">CGTCGTAGCAAACCACCAAG  </w:t>
            </w:r>
          </w:p>
        </w:tc>
        <w:tc>
          <w:tcPr>
            <w:tcW w:w="324" w:type="dxa"/>
            <w:tcBorders>
              <w:top w:val="single" w:sz="4" w:space="0" w:color="auto"/>
            </w:tcBorders>
          </w:tcPr>
          <w:p w14:paraId="74522D06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tcBorders>
              <w:top w:val="single" w:sz="4" w:space="0" w:color="auto"/>
            </w:tcBorders>
            <w:vAlign w:val="center"/>
          </w:tcPr>
          <w:p w14:paraId="0F963485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CACAGAGCAATGACTCCAAAG</w:t>
            </w:r>
          </w:p>
        </w:tc>
      </w:tr>
      <w:tr w:rsidR="00B94169" w:rsidRPr="007A2B22" w14:paraId="24F4883C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3DD9706A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iNOS</w:t>
            </w:r>
          </w:p>
        </w:tc>
        <w:tc>
          <w:tcPr>
            <w:tcW w:w="3771" w:type="dxa"/>
            <w:vAlign w:val="center"/>
          </w:tcPr>
          <w:p w14:paraId="59BA6EE5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CAGCCCTCAGAGTACAACGAT</w:t>
            </w:r>
          </w:p>
        </w:tc>
        <w:tc>
          <w:tcPr>
            <w:tcW w:w="324" w:type="dxa"/>
          </w:tcPr>
          <w:p w14:paraId="603D1F9B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23F2640A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CAGCAGGCACACGCAATGAT</w:t>
            </w:r>
          </w:p>
        </w:tc>
      </w:tr>
      <w:tr w:rsidR="00B94169" w:rsidRPr="007A2B22" w14:paraId="55FB85AC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541B2CE7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IL-6</w:t>
            </w:r>
          </w:p>
        </w:tc>
        <w:tc>
          <w:tcPr>
            <w:tcW w:w="3771" w:type="dxa"/>
            <w:vAlign w:val="center"/>
          </w:tcPr>
          <w:p w14:paraId="31968238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CCCACCAGGAACGAAAGTCA</w:t>
            </w:r>
          </w:p>
        </w:tc>
        <w:tc>
          <w:tcPr>
            <w:tcW w:w="324" w:type="dxa"/>
          </w:tcPr>
          <w:p w14:paraId="760E722F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233F7F18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AGTCCCAAGAAGGCAACTGG</w:t>
            </w:r>
          </w:p>
        </w:tc>
      </w:tr>
      <w:tr w:rsidR="00B94169" w:rsidRPr="007A2B22" w14:paraId="3A9D063A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2D43FC0A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IL-1β</w:t>
            </w:r>
          </w:p>
        </w:tc>
        <w:tc>
          <w:tcPr>
            <w:tcW w:w="3771" w:type="dxa"/>
            <w:vAlign w:val="center"/>
          </w:tcPr>
          <w:p w14:paraId="2428DC55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CCCTGAACTCAACTGTGAAATAGCA</w:t>
            </w:r>
          </w:p>
        </w:tc>
        <w:tc>
          <w:tcPr>
            <w:tcW w:w="324" w:type="dxa"/>
          </w:tcPr>
          <w:p w14:paraId="4E997468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70139737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CCCAAGTCAAGGGCTTGGAA</w:t>
            </w:r>
          </w:p>
        </w:tc>
      </w:tr>
      <w:tr w:rsidR="00B94169" w:rsidRPr="007A2B22" w14:paraId="0C6E58EE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3504B29E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IL-10</w:t>
            </w:r>
          </w:p>
        </w:tc>
        <w:tc>
          <w:tcPr>
            <w:tcW w:w="3771" w:type="dxa"/>
            <w:vAlign w:val="center"/>
          </w:tcPr>
          <w:p w14:paraId="10451F2F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CAGACCCACATGCTCCGAGA</w:t>
            </w:r>
          </w:p>
        </w:tc>
        <w:tc>
          <w:tcPr>
            <w:tcW w:w="324" w:type="dxa"/>
          </w:tcPr>
          <w:p w14:paraId="46CA0200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4EBB8F1E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CAAGGCTTGGCAACCCAAGTA</w:t>
            </w:r>
          </w:p>
        </w:tc>
      </w:tr>
      <w:tr w:rsidR="00B94169" w:rsidRPr="007A2B22" w14:paraId="1F0269AC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00564C93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Arg-1</w:t>
            </w:r>
          </w:p>
        </w:tc>
        <w:tc>
          <w:tcPr>
            <w:tcW w:w="3771" w:type="dxa"/>
            <w:vAlign w:val="center"/>
          </w:tcPr>
          <w:p w14:paraId="09C45A07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ATCGGAGCGCCTTTCTCTAA’</w:t>
            </w:r>
          </w:p>
        </w:tc>
        <w:tc>
          <w:tcPr>
            <w:tcW w:w="324" w:type="dxa"/>
          </w:tcPr>
          <w:p w14:paraId="4CBE81FB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438D4E52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AGACCGTGGGTTCTTCACAA</w:t>
            </w:r>
          </w:p>
        </w:tc>
      </w:tr>
      <w:tr w:rsidR="00B94169" w:rsidRPr="007A2B22" w14:paraId="33512022" w14:textId="77777777" w:rsidTr="002C79F5">
        <w:trPr>
          <w:trHeight w:val="170"/>
        </w:trPr>
        <w:tc>
          <w:tcPr>
            <w:tcW w:w="946" w:type="dxa"/>
            <w:vAlign w:val="center"/>
          </w:tcPr>
          <w:p w14:paraId="3A9CA2B5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CD163</w:t>
            </w:r>
          </w:p>
        </w:tc>
        <w:tc>
          <w:tcPr>
            <w:tcW w:w="3771" w:type="dxa"/>
            <w:vAlign w:val="center"/>
          </w:tcPr>
          <w:p w14:paraId="261ACE93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CAACCGATGCTCAGGAAGAG’</w:t>
            </w:r>
          </w:p>
        </w:tc>
        <w:tc>
          <w:tcPr>
            <w:tcW w:w="324" w:type="dxa"/>
          </w:tcPr>
          <w:p w14:paraId="6D73A88E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0916308C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GATGGCACTTCCACATCCAA</w:t>
            </w:r>
          </w:p>
        </w:tc>
      </w:tr>
      <w:tr w:rsidR="00B94169" w:rsidRPr="007A2B22" w14:paraId="2FC67861" w14:textId="77777777" w:rsidTr="00F16D69">
        <w:trPr>
          <w:trHeight w:val="170"/>
        </w:trPr>
        <w:tc>
          <w:tcPr>
            <w:tcW w:w="946" w:type="dxa"/>
            <w:vAlign w:val="center"/>
          </w:tcPr>
          <w:p w14:paraId="4A4A97CF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CD206</w:t>
            </w:r>
          </w:p>
        </w:tc>
        <w:tc>
          <w:tcPr>
            <w:tcW w:w="3771" w:type="dxa"/>
            <w:vAlign w:val="center"/>
          </w:tcPr>
          <w:p w14:paraId="2AAEC9C6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ATTCCGGTCGCTGTTCAACT</w:t>
            </w:r>
          </w:p>
        </w:tc>
        <w:tc>
          <w:tcPr>
            <w:tcW w:w="324" w:type="dxa"/>
          </w:tcPr>
          <w:p w14:paraId="0E7F8826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4D96DDC4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AACGGAGATGGCGCTTAGAG</w:t>
            </w:r>
          </w:p>
        </w:tc>
      </w:tr>
      <w:tr w:rsidR="001144BF" w:rsidRPr="007A2B22" w14:paraId="5442BCC4" w14:textId="77777777" w:rsidTr="00F16D69">
        <w:trPr>
          <w:trHeight w:val="170"/>
        </w:trPr>
        <w:tc>
          <w:tcPr>
            <w:tcW w:w="946" w:type="dxa"/>
            <w:vAlign w:val="center"/>
          </w:tcPr>
          <w:p w14:paraId="462937D6" w14:textId="0E886FA2" w:rsidR="001144BF" w:rsidRDefault="001144BF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>
              <w:rPr>
                <w:rFonts w:ascii="Times New Roman" w:eastAsiaTheme="minorEastAsia" w:hAnsi="Times New Roman" w:cstheme="minorBidi" w:hint="eastAsia"/>
                <w:szCs w:val="21"/>
              </w:rPr>
              <w:t>C</w:t>
            </w:r>
            <w:r>
              <w:rPr>
                <w:rFonts w:ascii="Times New Roman" w:eastAsiaTheme="minorEastAsia" w:hAnsi="Times New Roman" w:cstheme="minorBidi"/>
                <w:szCs w:val="21"/>
              </w:rPr>
              <w:t>OX-2</w:t>
            </w:r>
          </w:p>
        </w:tc>
        <w:tc>
          <w:tcPr>
            <w:tcW w:w="3771" w:type="dxa"/>
            <w:vAlign w:val="center"/>
          </w:tcPr>
          <w:p w14:paraId="364FD7E5" w14:textId="2603E58E" w:rsidR="001144BF" w:rsidRPr="007A2B22" w:rsidRDefault="001144BF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1144BF">
              <w:rPr>
                <w:rFonts w:ascii="Times New Roman" w:eastAsiaTheme="minorEastAsia" w:hAnsi="Times New Roman" w:cstheme="minorBidi"/>
                <w:szCs w:val="21"/>
              </w:rPr>
              <w:t>ACTCTGGCTAGACAGCGTAA</w:t>
            </w:r>
          </w:p>
        </w:tc>
        <w:tc>
          <w:tcPr>
            <w:tcW w:w="324" w:type="dxa"/>
          </w:tcPr>
          <w:p w14:paraId="301A4D26" w14:textId="77777777" w:rsidR="001144BF" w:rsidRPr="007A2B22" w:rsidRDefault="001144BF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vAlign w:val="center"/>
          </w:tcPr>
          <w:p w14:paraId="7C0E864A" w14:textId="51F700ED" w:rsidR="001144BF" w:rsidRPr="007A2B22" w:rsidRDefault="001144BF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1144BF">
              <w:rPr>
                <w:rFonts w:ascii="Times New Roman" w:eastAsiaTheme="minorEastAsia" w:hAnsi="Times New Roman" w:cstheme="minorBidi"/>
                <w:szCs w:val="21"/>
              </w:rPr>
              <w:t>ACCGTAGATGCTCAGGGAC</w:t>
            </w:r>
          </w:p>
        </w:tc>
      </w:tr>
      <w:tr w:rsidR="00B94169" w:rsidRPr="007A2B22" w14:paraId="1294B643" w14:textId="77777777" w:rsidTr="00F16D69">
        <w:trPr>
          <w:trHeight w:val="170"/>
        </w:trPr>
        <w:tc>
          <w:tcPr>
            <w:tcW w:w="946" w:type="dxa"/>
            <w:tcBorders>
              <w:bottom w:val="single" w:sz="4" w:space="0" w:color="auto"/>
            </w:tcBorders>
            <w:vAlign w:val="center"/>
          </w:tcPr>
          <w:p w14:paraId="6C04E259" w14:textId="26609417" w:rsidR="00B94169" w:rsidRPr="007A2B22" w:rsidRDefault="0079492C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>
              <w:rPr>
                <w:rFonts w:ascii="Times New Roman" w:eastAsiaTheme="minorEastAsia" w:hAnsi="Times New Roman" w:cstheme="minorBidi"/>
                <w:szCs w:val="21"/>
              </w:rPr>
              <w:t>G</w:t>
            </w:r>
            <w:r w:rsidR="00B94169" w:rsidRPr="007A2B22">
              <w:rPr>
                <w:rFonts w:ascii="Times New Roman" w:eastAsiaTheme="minorEastAsia" w:hAnsi="Times New Roman" w:cstheme="minorBidi"/>
                <w:szCs w:val="21"/>
              </w:rPr>
              <w:t>APDH</w:t>
            </w:r>
          </w:p>
        </w:tc>
        <w:tc>
          <w:tcPr>
            <w:tcW w:w="3771" w:type="dxa"/>
            <w:tcBorders>
              <w:bottom w:val="single" w:sz="4" w:space="0" w:color="auto"/>
            </w:tcBorders>
            <w:vAlign w:val="center"/>
          </w:tcPr>
          <w:p w14:paraId="126C6A9E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GTATGACTCTACCCACGGCAAGT</w:t>
            </w: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14:paraId="6442F3A8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3265" w:type="dxa"/>
            <w:tcBorders>
              <w:bottom w:val="single" w:sz="4" w:space="0" w:color="auto"/>
            </w:tcBorders>
            <w:vAlign w:val="center"/>
          </w:tcPr>
          <w:p w14:paraId="778A6013" w14:textId="77777777" w:rsidR="00B94169" w:rsidRPr="007A2B22" w:rsidRDefault="00B94169" w:rsidP="002C79F5">
            <w:pPr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TTCCCGTTGATGACCAGCTT’</w:t>
            </w:r>
          </w:p>
        </w:tc>
      </w:tr>
    </w:tbl>
    <w:p w14:paraId="6E20D778" w14:textId="477F085C" w:rsidR="00B94169" w:rsidRPr="007A2B22" w:rsidRDefault="00B94169" w:rsidP="00B9416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>TNF-α, tumor necrosis factor-α; iNOS, inducible nitric oxide synthase; IL, interleukin</w:t>
      </w:r>
      <w:r w:rsidRPr="007A2B22">
        <w:rPr>
          <w:rFonts w:ascii="Times New Roman" w:hAnsi="Times New Roman" w:hint="eastAsia"/>
          <w:sz w:val="24"/>
          <w:szCs w:val="24"/>
        </w:rPr>
        <w:t>;</w:t>
      </w:r>
      <w:r w:rsidRPr="007A2B22">
        <w:rPr>
          <w:rFonts w:ascii="Times New Roman" w:hAnsi="Times New Roman"/>
          <w:sz w:val="24"/>
          <w:szCs w:val="24"/>
        </w:rPr>
        <w:t xml:space="preserve"> Arg-1, arginase-1; </w:t>
      </w:r>
      <w:r w:rsidR="001144BF">
        <w:rPr>
          <w:rFonts w:ascii="Times New Roman" w:hAnsi="Times New Roman"/>
          <w:sz w:val="24"/>
          <w:szCs w:val="24"/>
        </w:rPr>
        <w:t>COX-2,</w:t>
      </w:r>
      <w:r w:rsidR="001144BF" w:rsidRPr="001144BF">
        <w:t xml:space="preserve"> </w:t>
      </w:r>
      <w:r w:rsidR="001144BF" w:rsidRPr="001144BF">
        <w:rPr>
          <w:rFonts w:ascii="Times New Roman" w:hAnsi="Times New Roman"/>
          <w:sz w:val="24"/>
          <w:szCs w:val="24"/>
        </w:rPr>
        <w:t>Cyclooxygenase-2</w:t>
      </w:r>
      <w:r w:rsidR="001144BF">
        <w:rPr>
          <w:rFonts w:ascii="Times New Roman" w:hAnsi="Times New Roman"/>
          <w:sz w:val="24"/>
          <w:szCs w:val="24"/>
        </w:rPr>
        <w:t xml:space="preserve">; </w:t>
      </w:r>
      <w:r w:rsidR="0079492C">
        <w:rPr>
          <w:rFonts w:ascii="Times New Roman" w:hAnsi="Times New Roman"/>
          <w:sz w:val="24"/>
          <w:szCs w:val="24"/>
        </w:rPr>
        <w:t>G</w:t>
      </w:r>
      <w:r w:rsidRPr="007A2B22">
        <w:rPr>
          <w:rFonts w:ascii="Times New Roman" w:hAnsi="Times New Roman"/>
          <w:sz w:val="24"/>
          <w:szCs w:val="24"/>
        </w:rPr>
        <w:t>APDH,</w:t>
      </w:r>
      <w:r w:rsidRPr="007A2B22">
        <w:rPr>
          <w:rFonts w:ascii="Times New Roman" w:hAnsi="Times New Roman"/>
        </w:rPr>
        <w:t xml:space="preserve"> </w:t>
      </w:r>
      <w:r w:rsidRPr="007A2B22">
        <w:rPr>
          <w:rFonts w:ascii="Times New Roman" w:hAnsi="Times New Roman"/>
          <w:sz w:val="24"/>
          <w:szCs w:val="24"/>
        </w:rPr>
        <w:t xml:space="preserve">glyceraldehyde 3-phosphate </w:t>
      </w:r>
      <w:r w:rsidRPr="007A2B22">
        <w:rPr>
          <w:rFonts w:ascii="Times New Roman" w:hAnsi="Times New Roman"/>
          <w:sz w:val="24"/>
          <w:szCs w:val="24"/>
        </w:rPr>
        <w:lastRenderedPageBreak/>
        <w:t>dehydrogenase.</w:t>
      </w:r>
    </w:p>
    <w:p w14:paraId="23FF8A41" w14:textId="77777777" w:rsidR="00251B53" w:rsidRDefault="00251B53" w:rsidP="00B9416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14:paraId="29B40E41" w14:textId="48A95A71" w:rsidR="00B94169" w:rsidRPr="007A2B22" w:rsidRDefault="00B94169" w:rsidP="00B9416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>Table S2. Immunophenotyping of cells derived from various sources by flow cytometry.</w:t>
      </w:r>
    </w:p>
    <w:tbl>
      <w:tblPr>
        <w:tblStyle w:val="2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1662"/>
        <w:gridCol w:w="1662"/>
        <w:gridCol w:w="1663"/>
        <w:gridCol w:w="1663"/>
      </w:tblGrid>
      <w:tr w:rsidR="00B94169" w:rsidRPr="007A2B22" w14:paraId="34462FCA" w14:textId="77777777" w:rsidTr="002C79F5">
        <w:trPr>
          <w:trHeight w:val="340"/>
        </w:trPr>
        <w:tc>
          <w:tcPr>
            <w:tcW w:w="170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93A2E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CBF0C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CP-MSCs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9A0E7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UC-MSCs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28F22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CV- MSCs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DE614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D-MSCs</w:t>
            </w:r>
          </w:p>
        </w:tc>
      </w:tr>
      <w:tr w:rsidR="00B94169" w:rsidRPr="007A2B22" w14:paraId="782289AB" w14:textId="77777777" w:rsidTr="002C79F5">
        <w:trPr>
          <w:trHeight w:val="340"/>
        </w:trPr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43A5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CD105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5DF869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97.5±1.0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0FBCD3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 xml:space="preserve">97.7±1.2  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B949D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 xml:space="preserve">97.3±1.1  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11A1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98.5±1.3</w:t>
            </w:r>
          </w:p>
        </w:tc>
      </w:tr>
      <w:tr w:rsidR="00B94169" w:rsidRPr="007A2B22" w14:paraId="4888E639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008507E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CD90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A04D6DA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99.5±0.3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6B3444E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98.2±0.6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6505FBF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98.2±0.7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5475DC15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98.8±1.0</w:t>
            </w:r>
          </w:p>
        </w:tc>
      </w:tr>
      <w:tr w:rsidR="00B94169" w:rsidRPr="007A2B22" w14:paraId="4E2EFC27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46F4F55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CD73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E7411BF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99.4±0.4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5D9A6C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99.1±0.6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9DEEFD7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99.2±0.5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8A3C7A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98.7±1.2</w:t>
            </w:r>
          </w:p>
        </w:tc>
      </w:tr>
      <w:tr w:rsidR="00B94169" w:rsidRPr="007A2B22" w14:paraId="7C63D699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B8C3DA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CD166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4E25450B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99.7±0.2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6D6A51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99.2±0.5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7387507E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99.4±0.5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2927F161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98.5±1.3</w:t>
            </w:r>
          </w:p>
        </w:tc>
      </w:tr>
      <w:tr w:rsidR="00B94169" w:rsidRPr="007A2B22" w14:paraId="44BC346C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1D2CACE9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CD44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5F22DE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99.6±0.3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46D7C6CB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99.3±0.6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5EF22559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99.3±0.4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A8FABBD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98.1±1.7</w:t>
            </w:r>
          </w:p>
        </w:tc>
      </w:tr>
      <w:tr w:rsidR="00B94169" w:rsidRPr="007A2B22" w14:paraId="30CE9E80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333E70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931EE0C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B8636A7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6EB6BA0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1.1±0.8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08CB37E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1.5±0.5</w:t>
            </w:r>
          </w:p>
        </w:tc>
      </w:tr>
      <w:tr w:rsidR="00B94169" w:rsidRPr="007A2B22" w14:paraId="6F92DA60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1A3510C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CD19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168EF58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0.1±0.1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1B2EB15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27F165D0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72DBA697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0.3±0.3</w:t>
            </w:r>
          </w:p>
        </w:tc>
      </w:tr>
      <w:tr w:rsidR="00B94169" w:rsidRPr="007A2B22" w14:paraId="3A2D9060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FD087E3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CD34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2DFA08C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C2F70C3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7305EB10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517B953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0.5±0.4</w:t>
            </w:r>
          </w:p>
        </w:tc>
      </w:tr>
      <w:tr w:rsidR="00B94169" w:rsidRPr="007A2B22" w14:paraId="264C3C28" w14:textId="77777777" w:rsidTr="002C79F5">
        <w:trPr>
          <w:trHeight w:val="3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10889F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CD14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FA0BEF0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14C9D59B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1E146723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FC57CAA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0.7±0.4</w:t>
            </w:r>
          </w:p>
        </w:tc>
      </w:tr>
      <w:tr w:rsidR="00B94169" w:rsidRPr="007A2B22" w14:paraId="241AA535" w14:textId="77777777" w:rsidTr="002C79F5">
        <w:trPr>
          <w:trHeight w:val="340"/>
        </w:trPr>
        <w:tc>
          <w:tcPr>
            <w:tcW w:w="1704" w:type="dxa"/>
            <w:tcBorders>
              <w:top w:val="nil"/>
              <w:bottom w:val="single" w:sz="4" w:space="0" w:color="auto"/>
              <w:right w:val="nil"/>
            </w:tcBorders>
          </w:tcPr>
          <w:p w14:paraId="55AC9F6D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HLA-DR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CEAB8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0.1±0.1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571AF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0.3±0.1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96FC12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0.2±0.1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</w:tcBorders>
          </w:tcPr>
          <w:p w14:paraId="765132E6" w14:textId="77777777" w:rsidR="00B94169" w:rsidRPr="007A2B22" w:rsidRDefault="00B94169" w:rsidP="002C79F5">
            <w:pPr>
              <w:widowControl w:val="0"/>
              <w:spacing w:line="480" w:lineRule="auto"/>
              <w:rPr>
                <w:rFonts w:ascii="Times New Roman" w:eastAsiaTheme="minorEastAsia" w:hAnsi="Times New Roman" w:cstheme="minorBidi"/>
                <w:szCs w:val="21"/>
              </w:rPr>
            </w:pPr>
            <w:r w:rsidRPr="007A2B22">
              <w:rPr>
                <w:rFonts w:ascii="Times New Roman" w:eastAsiaTheme="minorEastAsia" w:hAnsi="Times New Roman" w:cstheme="minorBidi"/>
                <w:szCs w:val="21"/>
              </w:rPr>
              <w:t>0.7±0.6</w:t>
            </w:r>
          </w:p>
        </w:tc>
      </w:tr>
    </w:tbl>
    <w:p w14:paraId="2D409B47" w14:textId="77777777" w:rsidR="00B94169" w:rsidRPr="007A2B22" w:rsidRDefault="00B94169" w:rsidP="00B94169">
      <w:pPr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>Results expressed as the means ± SD of marker expression (N=3, P3). Undifferentiated cells were collected and marked with monoclonal antibodies. CP-MSCs, chorionic plate-derived MSCs; UC-MSCs, umbilical cord-derived MSCs; CV-MSCs,</w:t>
      </w:r>
      <w:r w:rsidRPr="007A2B22">
        <w:rPr>
          <w:rFonts w:ascii="Times New Roman" w:hAnsi="Times New Roman"/>
          <w:b/>
          <w:sz w:val="24"/>
          <w:szCs w:val="24"/>
        </w:rPr>
        <w:t xml:space="preserve"> </w:t>
      </w:r>
      <w:r w:rsidRPr="007A2B22">
        <w:rPr>
          <w:rFonts w:ascii="Times New Roman" w:hAnsi="Times New Roman"/>
          <w:sz w:val="24"/>
          <w:szCs w:val="24"/>
        </w:rPr>
        <w:t>chorionic villi-derived MSCs; D-MSCs,</w:t>
      </w:r>
      <w:r w:rsidRPr="007A2B22">
        <w:rPr>
          <w:rFonts w:ascii="Times New Roman" w:hAnsi="Times New Roman"/>
          <w:b/>
          <w:sz w:val="24"/>
          <w:szCs w:val="24"/>
        </w:rPr>
        <w:t xml:space="preserve"> </w:t>
      </w:r>
      <w:r w:rsidRPr="007A2B22">
        <w:rPr>
          <w:rFonts w:ascii="Times New Roman" w:hAnsi="Times New Roman"/>
          <w:sz w:val="24"/>
          <w:szCs w:val="24"/>
        </w:rPr>
        <w:t>decidua-derived MSCs.</w:t>
      </w:r>
    </w:p>
    <w:p w14:paraId="5DC53E33" w14:textId="77777777" w:rsidR="00B94169" w:rsidRDefault="00B94169" w:rsidP="00B94169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1" w:name="_Hlk12774427"/>
    </w:p>
    <w:p w14:paraId="72F022EF" w14:textId="77777777" w:rsidR="00B94169" w:rsidRPr="007A2B22" w:rsidRDefault="00B94169" w:rsidP="00B94169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A2B22">
        <w:rPr>
          <w:rFonts w:ascii="Times New Roman" w:hAnsi="Times New Roman"/>
          <w:b/>
          <w:sz w:val="24"/>
          <w:szCs w:val="24"/>
        </w:rPr>
        <w:t xml:space="preserve">Growth status of MSCs </w:t>
      </w:r>
      <w:r w:rsidRPr="007A2B22">
        <w:rPr>
          <w:rFonts w:ascii="Times New Roman" w:hAnsi="Times New Roman" w:hint="eastAsia"/>
          <w:b/>
          <w:sz w:val="24"/>
          <w:szCs w:val="24"/>
        </w:rPr>
        <w:t>derived</w:t>
      </w:r>
      <w:r w:rsidRPr="007A2B22">
        <w:rPr>
          <w:rFonts w:ascii="Times New Roman" w:hAnsi="Times New Roman"/>
          <w:b/>
          <w:sz w:val="24"/>
          <w:szCs w:val="24"/>
        </w:rPr>
        <w:t xml:space="preserve"> from different regions of the umbilical cord and placenta</w:t>
      </w:r>
    </w:p>
    <w:p w14:paraId="0179270F" w14:textId="6E89FB80" w:rsidR="00B94169" w:rsidRPr="00565907" w:rsidRDefault="001D2C50" w:rsidP="001D2C50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565907">
        <w:rPr>
          <w:rFonts w:ascii="Times New Roman" w:hAnsi="Times New Roman"/>
          <w:sz w:val="24"/>
          <w:szCs w:val="24"/>
        </w:rPr>
        <w:t xml:space="preserve">In the D-MSCs group, although a large number of cells migrated at an early stage, they </w:t>
      </w:r>
      <w:r w:rsidRPr="00565907">
        <w:rPr>
          <w:rFonts w:ascii="Times New Roman" w:hAnsi="Times New Roman"/>
          <w:sz w:val="24"/>
          <w:szCs w:val="24"/>
        </w:rPr>
        <w:lastRenderedPageBreak/>
        <w:t>were mainly resembling round cells and fewer spindle cells</w:t>
      </w:r>
      <w:r w:rsidR="00B94169" w:rsidRPr="00565907">
        <w:rPr>
          <w:rFonts w:ascii="Times New Roman" w:hAnsi="Times New Roman"/>
          <w:sz w:val="24"/>
          <w:szCs w:val="24"/>
        </w:rPr>
        <w:t xml:space="preserve">. </w:t>
      </w:r>
      <w:r w:rsidRPr="00565907">
        <w:rPr>
          <w:rFonts w:ascii="Times New Roman" w:hAnsi="Times New Roman"/>
          <w:sz w:val="24"/>
          <w:szCs w:val="24"/>
        </w:rPr>
        <w:t>In addition</w:t>
      </w:r>
      <w:r w:rsidR="00B94169" w:rsidRPr="00565907">
        <w:rPr>
          <w:rFonts w:ascii="Times New Roman" w:hAnsi="Times New Roman"/>
          <w:sz w:val="24"/>
          <w:szCs w:val="24"/>
        </w:rPr>
        <w:t>, as the culture time prolonged, resembling round cells gradually died and were replaced by spindle cells. In the CV-MSC</w:t>
      </w:r>
      <w:r w:rsidR="00B94169" w:rsidRPr="00565907">
        <w:rPr>
          <w:rFonts w:ascii="Times New Roman" w:hAnsi="Times New Roman" w:hint="eastAsia"/>
          <w:sz w:val="24"/>
          <w:szCs w:val="24"/>
        </w:rPr>
        <w:t>s</w:t>
      </w:r>
      <w:r w:rsidR="00B94169" w:rsidRPr="00565907">
        <w:rPr>
          <w:rFonts w:ascii="Times New Roman" w:hAnsi="Times New Roman"/>
          <w:sz w:val="24"/>
          <w:szCs w:val="24"/>
        </w:rPr>
        <w:t xml:space="preserve"> group, resembling round cells were also </w:t>
      </w:r>
      <w:r w:rsidR="00ED7AEF" w:rsidRPr="00565907">
        <w:rPr>
          <w:rFonts w:ascii="Times New Roman" w:hAnsi="Times New Roman" w:hint="eastAsia"/>
          <w:sz w:val="24"/>
          <w:szCs w:val="24"/>
        </w:rPr>
        <w:t>o</w:t>
      </w:r>
      <w:r w:rsidR="00ED7AEF" w:rsidRPr="00565907">
        <w:rPr>
          <w:rFonts w:ascii="Times New Roman" w:hAnsi="Times New Roman"/>
          <w:sz w:val="24"/>
          <w:szCs w:val="24"/>
        </w:rPr>
        <w:t>bserved</w:t>
      </w:r>
      <w:r w:rsidR="00B94169" w:rsidRPr="00565907">
        <w:rPr>
          <w:rFonts w:ascii="Times New Roman" w:hAnsi="Times New Roman"/>
          <w:sz w:val="24"/>
          <w:szCs w:val="24"/>
        </w:rPr>
        <w:t xml:space="preserve"> in the early stage, but they were significantly less than that of the D-MSCs group, and there were </w:t>
      </w:r>
      <w:r w:rsidR="00ED7AEF" w:rsidRPr="00565907">
        <w:rPr>
          <w:rFonts w:ascii="Times New Roman" w:hAnsi="Times New Roman"/>
          <w:sz w:val="24"/>
          <w:szCs w:val="24"/>
        </w:rPr>
        <w:t xml:space="preserve">more </w:t>
      </w:r>
      <w:r w:rsidR="00B94169" w:rsidRPr="00565907">
        <w:rPr>
          <w:rFonts w:ascii="Times New Roman" w:hAnsi="Times New Roman"/>
          <w:sz w:val="24"/>
          <w:szCs w:val="24"/>
        </w:rPr>
        <w:t xml:space="preserve">spindle cells. However, resembling round cells that exist in the early </w:t>
      </w:r>
      <w:r w:rsidR="00ED7AEF" w:rsidRPr="00565907">
        <w:rPr>
          <w:rFonts w:ascii="Times New Roman" w:hAnsi="Times New Roman"/>
          <w:sz w:val="24"/>
          <w:szCs w:val="24"/>
        </w:rPr>
        <w:t xml:space="preserve">stage of </w:t>
      </w:r>
      <w:r w:rsidR="00B94169" w:rsidRPr="00565907">
        <w:rPr>
          <w:rFonts w:ascii="Times New Roman" w:hAnsi="Times New Roman" w:hint="eastAsia"/>
          <w:sz w:val="24"/>
          <w:szCs w:val="24"/>
        </w:rPr>
        <w:t>dec</w:t>
      </w:r>
      <w:r w:rsidR="00B94169" w:rsidRPr="00565907">
        <w:rPr>
          <w:rFonts w:ascii="Times New Roman" w:hAnsi="Times New Roman"/>
          <w:sz w:val="24"/>
          <w:szCs w:val="24"/>
        </w:rPr>
        <w:t>i</w:t>
      </w:r>
      <w:r w:rsidR="00B94169" w:rsidRPr="00565907">
        <w:rPr>
          <w:rFonts w:ascii="Times New Roman" w:hAnsi="Times New Roman" w:hint="eastAsia"/>
          <w:sz w:val="24"/>
          <w:szCs w:val="24"/>
        </w:rPr>
        <w:t>dua</w:t>
      </w:r>
      <w:r w:rsidR="00B94169" w:rsidRPr="00565907">
        <w:rPr>
          <w:rFonts w:ascii="Times New Roman" w:hAnsi="Times New Roman"/>
          <w:sz w:val="24"/>
          <w:szCs w:val="24"/>
        </w:rPr>
        <w:t xml:space="preserve"> group dramatically disappear in CP-MSCs and UC-MSCs group in the whole culture process. These indicated that MSC Serum Free Media is selective for cell growth.</w:t>
      </w:r>
    </w:p>
    <w:p w14:paraId="7046022E" w14:textId="77777777" w:rsidR="001D2C50" w:rsidRPr="00ED7AEF" w:rsidRDefault="001D2C50" w:rsidP="00B94169">
      <w:pPr>
        <w:widowControl w:val="0"/>
        <w:spacing w:line="480" w:lineRule="auto"/>
        <w:rPr>
          <w:rFonts w:ascii="Times New Roman" w:eastAsiaTheme="minorEastAsia" w:hAnsi="Times New Roman" w:cstheme="minorBidi"/>
          <w:color w:val="FF0000"/>
        </w:rPr>
      </w:pPr>
    </w:p>
    <w:p w14:paraId="44018F63" w14:textId="28D4FF1C" w:rsidR="000607C7" w:rsidRPr="007A2B22" w:rsidRDefault="000607C7" w:rsidP="00B94169">
      <w:pPr>
        <w:widowControl w:val="0"/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eastAsiaTheme="minorEastAsia" w:hAnsi="Times New Roman" w:cstheme="minorBidi"/>
        </w:rPr>
        <w:drawing>
          <wp:inline distT="0" distB="0" distL="0" distR="0" wp14:anchorId="00DDAFF7" wp14:editId="51CB1488">
            <wp:extent cx="5267325" cy="4953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5B6653E8" w14:textId="721A0CA8" w:rsidR="00B94169" w:rsidRPr="007A2B22" w:rsidRDefault="00B94169" w:rsidP="00B94169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lastRenderedPageBreak/>
        <w:t>Fig.S</w:t>
      </w:r>
      <w:r w:rsidR="009029EF">
        <w:rPr>
          <w:rFonts w:ascii="Times New Roman" w:hAnsi="Times New Roman"/>
          <w:sz w:val="24"/>
          <w:szCs w:val="24"/>
        </w:rPr>
        <w:t>1</w:t>
      </w:r>
      <w:r w:rsidRPr="007A2B22">
        <w:rPr>
          <w:rFonts w:ascii="Times New Roman" w:hAnsi="Times New Roman"/>
          <w:sz w:val="24"/>
          <w:szCs w:val="24"/>
        </w:rPr>
        <w:t xml:space="preserve"> </w:t>
      </w:r>
      <w:r w:rsidRPr="007A2B22">
        <w:rPr>
          <w:rFonts w:ascii="Times New Roman" w:hAnsi="Times New Roman"/>
          <w:bCs/>
          <w:sz w:val="24"/>
          <w:szCs w:val="24"/>
        </w:rPr>
        <w:t xml:space="preserve">Growth status of MSCs </w:t>
      </w:r>
      <w:r w:rsidRPr="007A2B22">
        <w:rPr>
          <w:rFonts w:ascii="Times New Roman" w:hAnsi="Times New Roman" w:hint="eastAsia"/>
          <w:bCs/>
          <w:sz w:val="24"/>
          <w:szCs w:val="24"/>
        </w:rPr>
        <w:t>derived</w:t>
      </w:r>
      <w:r w:rsidRPr="007A2B22">
        <w:rPr>
          <w:rFonts w:ascii="Times New Roman" w:hAnsi="Times New Roman"/>
          <w:bCs/>
          <w:sz w:val="24"/>
          <w:szCs w:val="24"/>
        </w:rPr>
        <w:t xml:space="preserve"> from different regions of the umbilical cord and placenta</w:t>
      </w:r>
    </w:p>
    <w:p w14:paraId="7FADCF45" w14:textId="4C2DF46A" w:rsidR="00B94169" w:rsidRPr="007A2B22" w:rsidRDefault="00B94169" w:rsidP="00B9416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 xml:space="preserve">Photomicrographs of MSCs from Umbilical cord (UC-MSCs), </w:t>
      </w:r>
      <w:bookmarkStart w:id="12" w:name="_Hlk12882517"/>
      <w:r w:rsidRPr="007A2B22">
        <w:rPr>
          <w:rFonts w:ascii="Times New Roman" w:hAnsi="Times New Roman"/>
          <w:sz w:val="24"/>
          <w:szCs w:val="24"/>
        </w:rPr>
        <w:t>Chorionic plate</w:t>
      </w:r>
      <w:bookmarkEnd w:id="12"/>
      <w:r w:rsidRPr="007A2B22">
        <w:rPr>
          <w:rFonts w:ascii="Times New Roman" w:hAnsi="Times New Roman"/>
          <w:sz w:val="24"/>
          <w:szCs w:val="24"/>
        </w:rPr>
        <w:t xml:space="preserve"> (CP-MSCs), Chorionic </w:t>
      </w:r>
      <w:r w:rsidRPr="007A2B22">
        <w:rPr>
          <w:rFonts w:ascii="Times New Roman" w:hAnsi="Times New Roman" w:hint="eastAsia"/>
          <w:sz w:val="24"/>
          <w:szCs w:val="24"/>
        </w:rPr>
        <w:t>villi</w:t>
      </w:r>
      <w:r w:rsidRPr="007A2B22">
        <w:rPr>
          <w:rFonts w:ascii="Times New Roman" w:hAnsi="Times New Roman"/>
          <w:sz w:val="24"/>
          <w:szCs w:val="24"/>
        </w:rPr>
        <w:t xml:space="preserve"> (CV-MSCs) and the decidua (D-MSCs) are shown</w:t>
      </w:r>
      <w:r w:rsidRPr="007A2B22">
        <w:rPr>
          <w:rFonts w:ascii="Times New Roman" w:hAnsi="Times New Roman" w:hint="eastAsia"/>
          <w:sz w:val="24"/>
          <w:szCs w:val="24"/>
        </w:rPr>
        <w:t>.</w:t>
      </w:r>
    </w:p>
    <w:p w14:paraId="49F58672" w14:textId="568BE868" w:rsidR="00B94169" w:rsidRDefault="00B0308D" w:rsidP="00B94169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3" w:name="_Hlk12353368"/>
      <w:r>
        <w:drawing>
          <wp:inline distT="0" distB="0" distL="0" distR="0" wp14:anchorId="0FE4C081" wp14:editId="1830617A">
            <wp:extent cx="5274310" cy="23310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0B17" w14:textId="5F8AC40F" w:rsidR="001146A5" w:rsidRDefault="001146A5" w:rsidP="00B94169">
      <w:pPr>
        <w:spacing w:line="480" w:lineRule="auto"/>
        <w:rPr>
          <w:rFonts w:ascii="Times New Roman" w:hAnsi="Times New Roman"/>
          <w:bCs/>
          <w:sz w:val="24"/>
          <w:szCs w:val="24"/>
        </w:rPr>
      </w:pPr>
      <w:bookmarkStart w:id="14" w:name="OLE_LINK99"/>
      <w:r w:rsidRPr="004365AF">
        <w:rPr>
          <w:rFonts w:ascii="Times New Roman" w:hAnsi="Times New Roman"/>
          <w:b/>
          <w:sz w:val="24"/>
          <w:szCs w:val="24"/>
        </w:rPr>
        <w:t>Fig.S</w:t>
      </w:r>
      <w:r w:rsidR="009029EF">
        <w:rPr>
          <w:rFonts w:ascii="Times New Roman" w:hAnsi="Times New Roman"/>
          <w:b/>
          <w:sz w:val="24"/>
          <w:szCs w:val="24"/>
        </w:rPr>
        <w:t>2</w:t>
      </w:r>
      <w:r w:rsidRPr="004365AF">
        <w:rPr>
          <w:rFonts w:ascii="Times New Roman" w:hAnsi="Times New Roman"/>
          <w:b/>
          <w:sz w:val="24"/>
          <w:szCs w:val="24"/>
        </w:rPr>
        <w:t xml:space="preserve"> COX-2 and PGE2</w:t>
      </w:r>
      <w:r w:rsidR="00FE4B1F" w:rsidRPr="004365AF">
        <w:rPr>
          <w:rFonts w:ascii="Times New Roman" w:hAnsi="Times New Roman"/>
          <w:b/>
          <w:sz w:val="24"/>
          <w:szCs w:val="24"/>
        </w:rPr>
        <w:t xml:space="preserve"> of MSCs</w:t>
      </w:r>
      <w:r w:rsidRPr="004365AF">
        <w:rPr>
          <w:rFonts w:ascii="Times New Roman" w:hAnsi="Times New Roman"/>
          <w:b/>
          <w:sz w:val="24"/>
          <w:szCs w:val="24"/>
        </w:rPr>
        <w:t xml:space="preserve"> </w:t>
      </w:r>
      <w:r w:rsidR="003822FF">
        <w:rPr>
          <w:rFonts w:ascii="Times New Roman" w:hAnsi="Times New Roman" w:hint="eastAsia"/>
          <w:b/>
          <w:sz w:val="24"/>
          <w:szCs w:val="24"/>
        </w:rPr>
        <w:t>derived</w:t>
      </w:r>
      <w:r w:rsidR="003822FF">
        <w:rPr>
          <w:rFonts w:ascii="Times New Roman" w:hAnsi="Times New Roman"/>
          <w:b/>
          <w:sz w:val="24"/>
          <w:szCs w:val="24"/>
        </w:rPr>
        <w:t xml:space="preserve"> </w:t>
      </w:r>
      <w:r w:rsidRPr="004365AF">
        <w:rPr>
          <w:rFonts w:ascii="Times New Roman" w:hAnsi="Times New Roman"/>
          <w:b/>
          <w:sz w:val="24"/>
          <w:szCs w:val="24"/>
        </w:rPr>
        <w:t xml:space="preserve">from different tissues </w:t>
      </w:r>
    </w:p>
    <w:bookmarkEnd w:id="14"/>
    <w:p w14:paraId="69878318" w14:textId="32C13D30" w:rsidR="001146A5" w:rsidRPr="004365AF" w:rsidRDefault="00BA7019" w:rsidP="00B94169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4365AF">
        <w:rPr>
          <w:rFonts w:ascii="Times New Roman" w:hAnsi="Times New Roman"/>
          <w:bCs/>
          <w:sz w:val="24"/>
          <w:szCs w:val="24"/>
        </w:rPr>
        <w:t xml:space="preserve">(A) COX-2 gene expression levels of MSCs </w:t>
      </w:r>
      <w:r w:rsidR="004365AF">
        <w:rPr>
          <w:rFonts w:ascii="Times New Roman" w:hAnsi="Times New Roman" w:hint="eastAsia"/>
          <w:bCs/>
          <w:sz w:val="24"/>
          <w:szCs w:val="24"/>
        </w:rPr>
        <w:t>derived</w:t>
      </w:r>
      <w:r w:rsidR="004365AF">
        <w:rPr>
          <w:rFonts w:ascii="Times New Roman" w:hAnsi="Times New Roman"/>
          <w:bCs/>
          <w:sz w:val="24"/>
          <w:szCs w:val="24"/>
        </w:rPr>
        <w:t xml:space="preserve"> </w:t>
      </w:r>
      <w:r w:rsidRPr="004365AF">
        <w:rPr>
          <w:rFonts w:ascii="Times New Roman" w:hAnsi="Times New Roman"/>
          <w:bCs/>
          <w:sz w:val="24"/>
          <w:szCs w:val="24"/>
        </w:rPr>
        <w:t>from different tissue</w:t>
      </w:r>
      <w:r w:rsidR="004365AF">
        <w:rPr>
          <w:rFonts w:ascii="Times New Roman" w:hAnsi="Times New Roman"/>
          <w:bCs/>
          <w:sz w:val="24"/>
          <w:szCs w:val="24"/>
        </w:rPr>
        <w:t>. (B)</w:t>
      </w:r>
      <w:r w:rsidR="004365AF" w:rsidRPr="004365AF">
        <w:t xml:space="preserve"> </w:t>
      </w:r>
      <w:r w:rsidR="004365AF" w:rsidRPr="004365AF">
        <w:rPr>
          <w:rFonts w:ascii="Times New Roman" w:hAnsi="Times New Roman"/>
          <w:bCs/>
          <w:sz w:val="24"/>
          <w:szCs w:val="24"/>
        </w:rPr>
        <w:t xml:space="preserve">The </w:t>
      </w:r>
      <w:r w:rsidR="004365AF">
        <w:rPr>
          <w:rFonts w:ascii="Times New Roman" w:hAnsi="Times New Roman"/>
          <w:bCs/>
          <w:sz w:val="24"/>
          <w:szCs w:val="24"/>
        </w:rPr>
        <w:t>c</w:t>
      </w:r>
      <w:r w:rsidR="004365AF" w:rsidRPr="004365AF">
        <w:rPr>
          <w:rFonts w:ascii="Times New Roman" w:hAnsi="Times New Roman"/>
          <w:bCs/>
          <w:sz w:val="24"/>
          <w:szCs w:val="24"/>
        </w:rPr>
        <w:t xml:space="preserve">oncentration of PGE2 in culture supernatant </w:t>
      </w:r>
      <w:r w:rsidR="004365AF">
        <w:rPr>
          <w:rFonts w:ascii="Times New Roman" w:hAnsi="Times New Roman"/>
          <w:bCs/>
          <w:sz w:val="24"/>
          <w:szCs w:val="24"/>
        </w:rPr>
        <w:t xml:space="preserve">of </w:t>
      </w:r>
      <w:r w:rsidR="004365AF" w:rsidRPr="004365AF">
        <w:rPr>
          <w:rFonts w:ascii="Times New Roman" w:hAnsi="Times New Roman"/>
          <w:bCs/>
          <w:sz w:val="24"/>
          <w:szCs w:val="24"/>
        </w:rPr>
        <w:t xml:space="preserve">MSCs </w:t>
      </w:r>
      <w:r w:rsidR="004365AF">
        <w:rPr>
          <w:rFonts w:ascii="Times New Roman" w:hAnsi="Times New Roman" w:hint="eastAsia"/>
          <w:bCs/>
          <w:sz w:val="24"/>
          <w:szCs w:val="24"/>
        </w:rPr>
        <w:t>derived</w:t>
      </w:r>
      <w:r w:rsidR="004365AF" w:rsidRPr="004365AF">
        <w:rPr>
          <w:rFonts w:ascii="Times New Roman" w:hAnsi="Times New Roman"/>
          <w:bCs/>
          <w:sz w:val="24"/>
          <w:szCs w:val="24"/>
        </w:rPr>
        <w:t xml:space="preserve"> from different tissue</w:t>
      </w:r>
      <w:r w:rsidR="004365AF">
        <w:rPr>
          <w:rFonts w:ascii="Times New Roman" w:hAnsi="Times New Roman"/>
          <w:bCs/>
          <w:sz w:val="24"/>
          <w:szCs w:val="24"/>
        </w:rPr>
        <w:t>.</w:t>
      </w:r>
      <w:r w:rsidR="009408D6" w:rsidRPr="009408D6">
        <w:rPr>
          <w:rFonts w:ascii="Times New Roman" w:hAnsi="Times New Roman"/>
          <w:sz w:val="24"/>
          <w:szCs w:val="24"/>
        </w:rPr>
        <w:t xml:space="preserve"> </w:t>
      </w:r>
      <w:r w:rsidR="009408D6" w:rsidRPr="007A2B22">
        <w:rPr>
          <w:rFonts w:ascii="Times New Roman" w:hAnsi="Times New Roman"/>
          <w:sz w:val="24"/>
          <w:szCs w:val="24"/>
        </w:rPr>
        <w:t>A</w:t>
      </w:r>
      <w:r w:rsidR="009408D6" w:rsidRPr="007A2B22">
        <w:rPr>
          <w:rFonts w:ascii="Times New Roman" w:hAnsi="Times New Roman" w:hint="eastAsia"/>
          <w:sz w:val="24"/>
          <w:szCs w:val="24"/>
        </w:rPr>
        <w:t>ll</w:t>
      </w:r>
      <w:r w:rsidR="009408D6" w:rsidRPr="007A2B22">
        <w:rPr>
          <w:rFonts w:ascii="Times New Roman" w:hAnsi="Times New Roman"/>
          <w:sz w:val="24"/>
          <w:szCs w:val="24"/>
        </w:rPr>
        <w:t xml:space="preserve"> data are expressed as the means ± SD (N=3; *P &lt; 0.05, **P &lt; 0.01, ***P &lt; 0.001</w:t>
      </w:r>
      <w:r w:rsidR="001144BF">
        <w:rPr>
          <w:rFonts w:ascii="Times New Roman" w:hAnsi="Times New Roman"/>
          <w:sz w:val="24"/>
          <w:szCs w:val="24"/>
        </w:rPr>
        <w:t>,</w:t>
      </w:r>
      <w:r w:rsidR="001144BF" w:rsidRPr="001144B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144BF" w:rsidRPr="001144BF">
        <w:rPr>
          <w:rFonts w:ascii="Times New Roman" w:hAnsi="Times New Roman"/>
          <w:bCs/>
          <w:sz w:val="24"/>
          <w:szCs w:val="24"/>
        </w:rPr>
        <w:t>NS, no significant</w:t>
      </w:r>
      <w:r w:rsidR="009408D6" w:rsidRPr="001144BF">
        <w:rPr>
          <w:rFonts w:ascii="Times New Roman" w:hAnsi="Times New Roman"/>
          <w:bCs/>
          <w:sz w:val="24"/>
          <w:szCs w:val="24"/>
        </w:rPr>
        <w:t>).</w:t>
      </w:r>
    </w:p>
    <w:p w14:paraId="6B33B155" w14:textId="77777777" w:rsidR="00B94169" w:rsidRPr="007A2B22" w:rsidRDefault="00B94169" w:rsidP="00B94169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A2B22">
        <w:rPr>
          <w:rFonts w:ascii="Times New Roman" w:hAnsi="Times New Roman"/>
          <w:b/>
          <w:sz w:val="24"/>
          <w:szCs w:val="24"/>
        </w:rPr>
        <w:t xml:space="preserve">CP-MSCs are the best choice for P-MSCs </w:t>
      </w:r>
      <w:r w:rsidRPr="007A2B22">
        <w:rPr>
          <w:rFonts w:ascii="Times New Roman" w:hAnsi="Times New Roman" w:hint="eastAsia"/>
          <w:b/>
          <w:sz w:val="24"/>
          <w:szCs w:val="24"/>
        </w:rPr>
        <w:t>isol</w:t>
      </w:r>
      <w:r w:rsidRPr="007A2B22">
        <w:rPr>
          <w:rFonts w:ascii="Times New Roman" w:hAnsi="Times New Roman"/>
          <w:b/>
          <w:sz w:val="24"/>
          <w:szCs w:val="24"/>
        </w:rPr>
        <w:t>ation</w:t>
      </w:r>
    </w:p>
    <w:bookmarkEnd w:id="13"/>
    <w:p w14:paraId="3926F5A0" w14:textId="59ABDE6F" w:rsidR="00B94169" w:rsidRPr="007A2B22" w:rsidRDefault="00B94169" w:rsidP="00B94169">
      <w:pPr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>we found that MSCs from</w:t>
      </w:r>
      <w:r w:rsidRPr="007A2B22">
        <w:rPr>
          <w:rFonts w:ascii="Times New Roman" w:eastAsiaTheme="minorEastAsia" w:hAnsi="Times New Roman" w:cstheme="minorBidi"/>
          <w:sz w:val="24"/>
          <w:szCs w:val="24"/>
        </w:rPr>
        <w:t xml:space="preserve"> the different regions of placenta</w:t>
      </w:r>
      <w:r w:rsidRPr="007A2B22">
        <w:rPr>
          <w:rFonts w:ascii="Times New Roman" w:hAnsi="Times New Roman"/>
          <w:sz w:val="24"/>
          <w:szCs w:val="24"/>
        </w:rPr>
        <w:t xml:space="preserve"> had different confusion time of primary cells: CP-MSCs first arrived, followed by UC-MSCs, DC-MSCs and CV-MSCs were latest (Fig.S</w:t>
      </w:r>
      <w:r w:rsidR="001144BF">
        <w:rPr>
          <w:rFonts w:ascii="Times New Roman" w:hAnsi="Times New Roman"/>
          <w:sz w:val="24"/>
          <w:szCs w:val="24"/>
        </w:rPr>
        <w:t>3</w:t>
      </w:r>
      <w:r w:rsidRPr="007A2B22">
        <w:rPr>
          <w:rFonts w:ascii="Times New Roman" w:hAnsi="Times New Roman"/>
          <w:sz w:val="24"/>
          <w:szCs w:val="24"/>
        </w:rPr>
        <w:t xml:space="preserve">A). The yield of MSCs was different for different </w:t>
      </w:r>
      <w:r w:rsidRPr="007A2B22">
        <w:rPr>
          <w:rFonts w:ascii="Times New Roman" w:eastAsiaTheme="minorEastAsia" w:hAnsi="Times New Roman" w:cstheme="minorBidi"/>
          <w:sz w:val="24"/>
          <w:szCs w:val="24"/>
        </w:rPr>
        <w:t>regions of placenta</w:t>
      </w:r>
      <w:r w:rsidRPr="007A2B22">
        <w:rPr>
          <w:rFonts w:ascii="Times New Roman" w:hAnsi="Times New Roman"/>
          <w:sz w:val="24"/>
          <w:szCs w:val="24"/>
        </w:rPr>
        <w:t>: CP-MSCs were the highest, followed by UC-MSCs, and CV-MSCs and D-MSCs were the lowest (Fig.S</w:t>
      </w:r>
      <w:r w:rsidR="001144BF">
        <w:rPr>
          <w:rFonts w:ascii="Times New Roman" w:hAnsi="Times New Roman"/>
          <w:sz w:val="24"/>
          <w:szCs w:val="24"/>
        </w:rPr>
        <w:t>3</w:t>
      </w:r>
      <w:r w:rsidRPr="007A2B22">
        <w:rPr>
          <w:rFonts w:ascii="Times New Roman" w:hAnsi="Times New Roman"/>
          <w:sz w:val="24"/>
          <w:szCs w:val="24"/>
        </w:rPr>
        <w:t>B).</w:t>
      </w:r>
    </w:p>
    <w:p w14:paraId="26A9DCC2" w14:textId="0A0B6241" w:rsidR="00B94169" w:rsidRDefault="00B94169" w:rsidP="00B94169">
      <w:pPr>
        <w:spacing w:line="480" w:lineRule="auto"/>
        <w:rPr>
          <w:rFonts w:ascii="Times New Roman" w:hAnsi="Times New Roman"/>
        </w:rPr>
      </w:pPr>
    </w:p>
    <w:p w14:paraId="71C50C96" w14:textId="43AD8AC7" w:rsidR="000607C7" w:rsidRPr="007A2B22" w:rsidRDefault="000607C7" w:rsidP="00B9416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drawing>
          <wp:inline distT="0" distB="0" distL="0" distR="0" wp14:anchorId="7F7732F8" wp14:editId="37F4C16F">
            <wp:extent cx="5267325" cy="2495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CBF3" w14:textId="423206D3" w:rsidR="00B94169" w:rsidRPr="007A2B22" w:rsidRDefault="00B94169" w:rsidP="00B94169">
      <w:pPr>
        <w:spacing w:line="480" w:lineRule="auto"/>
        <w:rPr>
          <w:rFonts w:ascii="Times New Roman" w:hAnsi="Times New Roman"/>
          <w:bCs/>
          <w:sz w:val="24"/>
          <w:szCs w:val="24"/>
        </w:rPr>
      </w:pPr>
      <w:bookmarkStart w:id="15" w:name="_Hlk12867603"/>
      <w:r w:rsidRPr="007A2B22">
        <w:rPr>
          <w:rFonts w:ascii="Times New Roman" w:hAnsi="Times New Roman"/>
          <w:bCs/>
          <w:sz w:val="24"/>
          <w:szCs w:val="24"/>
        </w:rPr>
        <w:t>Fig.S</w:t>
      </w:r>
      <w:r w:rsidR="009029EF">
        <w:rPr>
          <w:rFonts w:ascii="Times New Roman" w:hAnsi="Times New Roman"/>
          <w:bCs/>
          <w:sz w:val="24"/>
          <w:szCs w:val="24"/>
        </w:rPr>
        <w:t>3</w:t>
      </w:r>
      <w:r w:rsidRPr="007A2B22">
        <w:rPr>
          <w:rFonts w:ascii="Times New Roman" w:hAnsi="Times New Roman"/>
          <w:bCs/>
          <w:sz w:val="24"/>
          <w:szCs w:val="24"/>
        </w:rPr>
        <w:t xml:space="preserve"> CP-MSCs are the best choice for P-MSCs </w:t>
      </w:r>
      <w:r w:rsidRPr="007A2B22">
        <w:rPr>
          <w:rFonts w:ascii="Times New Roman" w:hAnsi="Times New Roman" w:hint="eastAsia"/>
          <w:bCs/>
          <w:sz w:val="24"/>
          <w:szCs w:val="24"/>
        </w:rPr>
        <w:t>isol</w:t>
      </w:r>
      <w:r w:rsidRPr="007A2B22">
        <w:rPr>
          <w:rFonts w:ascii="Times New Roman" w:hAnsi="Times New Roman"/>
          <w:bCs/>
          <w:sz w:val="24"/>
          <w:szCs w:val="24"/>
        </w:rPr>
        <w:t>ation</w:t>
      </w:r>
    </w:p>
    <w:bookmarkEnd w:id="15"/>
    <w:p w14:paraId="174B2270" w14:textId="77777777" w:rsidR="00B94169" w:rsidRPr="00D96DCE" w:rsidRDefault="00B94169" w:rsidP="00B9416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7A2B22">
        <w:rPr>
          <w:rFonts w:ascii="Times New Roman" w:hAnsi="Times New Roman"/>
          <w:sz w:val="24"/>
          <w:szCs w:val="24"/>
        </w:rPr>
        <w:t xml:space="preserve">(A) The mean time to first passage of all MSCs. (B) The mean cell yield to first passage of all MSCs. </w:t>
      </w:r>
      <w:bookmarkStart w:id="16" w:name="OLE_LINK105"/>
      <w:r w:rsidRPr="007A2B22">
        <w:rPr>
          <w:rFonts w:ascii="Times New Roman" w:hAnsi="Times New Roman"/>
          <w:sz w:val="24"/>
          <w:szCs w:val="24"/>
        </w:rPr>
        <w:t>A</w:t>
      </w:r>
      <w:r w:rsidRPr="007A2B22">
        <w:rPr>
          <w:rFonts w:ascii="Times New Roman" w:hAnsi="Times New Roman" w:hint="eastAsia"/>
          <w:sz w:val="24"/>
          <w:szCs w:val="24"/>
        </w:rPr>
        <w:t>ll</w:t>
      </w:r>
      <w:r w:rsidRPr="007A2B22">
        <w:rPr>
          <w:rFonts w:ascii="Times New Roman" w:hAnsi="Times New Roman"/>
          <w:sz w:val="24"/>
          <w:szCs w:val="24"/>
        </w:rPr>
        <w:t xml:space="preserve"> data are expressed as the means ± SD (N=3; *P &lt; 0.05, **P &lt; 0.01, ***P &lt; 0.001). </w:t>
      </w:r>
      <w:bookmarkEnd w:id="16"/>
    </w:p>
    <w:p w14:paraId="5391B494" w14:textId="77777777" w:rsidR="0064090F" w:rsidRPr="00B94169" w:rsidRDefault="007F3F78"/>
    <w:sectPr w:rsidR="0064090F" w:rsidRPr="00B94169" w:rsidSect="00D83F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AC42D" w14:textId="77777777" w:rsidR="007F3F78" w:rsidRDefault="007F3F78" w:rsidP="00B94169">
      <w:pPr>
        <w:spacing w:line="240" w:lineRule="auto"/>
      </w:pPr>
      <w:r>
        <w:separator/>
      </w:r>
    </w:p>
  </w:endnote>
  <w:endnote w:type="continuationSeparator" w:id="0">
    <w:p w14:paraId="070F9E8A" w14:textId="77777777" w:rsidR="007F3F78" w:rsidRDefault="007F3F78" w:rsidP="00B941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8B628" w14:textId="77777777" w:rsidR="007F3F78" w:rsidRDefault="007F3F78" w:rsidP="00B94169">
      <w:pPr>
        <w:spacing w:line="240" w:lineRule="auto"/>
      </w:pPr>
      <w:r>
        <w:separator/>
      </w:r>
    </w:p>
  </w:footnote>
  <w:footnote w:type="continuationSeparator" w:id="0">
    <w:p w14:paraId="08147EC1" w14:textId="77777777" w:rsidR="007F3F78" w:rsidRDefault="007F3F78" w:rsidP="00B941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70E"/>
    <w:rsid w:val="000607C7"/>
    <w:rsid w:val="001144BF"/>
    <w:rsid w:val="001146A5"/>
    <w:rsid w:val="00122BB2"/>
    <w:rsid w:val="00142035"/>
    <w:rsid w:val="0015091B"/>
    <w:rsid w:val="00194B65"/>
    <w:rsid w:val="001D2C50"/>
    <w:rsid w:val="00251B53"/>
    <w:rsid w:val="002D3020"/>
    <w:rsid w:val="003822FF"/>
    <w:rsid w:val="004365AF"/>
    <w:rsid w:val="004A2A32"/>
    <w:rsid w:val="00556563"/>
    <w:rsid w:val="00565907"/>
    <w:rsid w:val="00636DF8"/>
    <w:rsid w:val="0079492C"/>
    <w:rsid w:val="007F3F78"/>
    <w:rsid w:val="0087201D"/>
    <w:rsid w:val="008C19CB"/>
    <w:rsid w:val="008F0A33"/>
    <w:rsid w:val="008F42F6"/>
    <w:rsid w:val="009029EF"/>
    <w:rsid w:val="009160ED"/>
    <w:rsid w:val="009210AF"/>
    <w:rsid w:val="009408D6"/>
    <w:rsid w:val="00A077E2"/>
    <w:rsid w:val="00A54959"/>
    <w:rsid w:val="00AD12C7"/>
    <w:rsid w:val="00B0308D"/>
    <w:rsid w:val="00B94169"/>
    <w:rsid w:val="00BA7019"/>
    <w:rsid w:val="00BE0CAC"/>
    <w:rsid w:val="00C15AA0"/>
    <w:rsid w:val="00C9270E"/>
    <w:rsid w:val="00E154AD"/>
    <w:rsid w:val="00EC1BC2"/>
    <w:rsid w:val="00ED7AEF"/>
    <w:rsid w:val="00F16D69"/>
    <w:rsid w:val="00F617A4"/>
    <w:rsid w:val="00F71E0F"/>
    <w:rsid w:val="00FE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6242F"/>
  <w15:chartTrackingRefBased/>
  <w15:docId w15:val="{B790B826-B5E3-4ADB-93CA-EE2DA1ABE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C50"/>
    <w:pPr>
      <w:spacing w:line="360" w:lineRule="auto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16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41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4169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4169"/>
    <w:rPr>
      <w:sz w:val="18"/>
      <w:szCs w:val="18"/>
    </w:rPr>
  </w:style>
  <w:style w:type="table" w:customStyle="1" w:styleId="1">
    <w:name w:val="网格型1"/>
    <w:basedOn w:val="a1"/>
    <w:next w:val="a7"/>
    <w:uiPriority w:val="39"/>
    <w:rsid w:val="00B94169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7"/>
    <w:uiPriority w:val="39"/>
    <w:rsid w:val="00B94169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B94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8F0A33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8F0A33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8F0A33"/>
    <w:rPr>
      <w:rFonts w:ascii="Calibri" w:eastAsia="宋体" w:hAnsi="Calibri" w:cs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F0A33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8F0A33"/>
    <w:rPr>
      <w:rFonts w:ascii="Calibri" w:eastAsia="宋体" w:hAnsi="Calibri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F0A33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F0A3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6</Pages>
  <Words>811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qilin</dc:creator>
  <cp:keywords/>
  <dc:description/>
  <cp:lastModifiedBy>huang qilin</cp:lastModifiedBy>
  <cp:revision>22</cp:revision>
  <dcterms:created xsi:type="dcterms:W3CDTF">2019-07-03T00:42:00Z</dcterms:created>
  <dcterms:modified xsi:type="dcterms:W3CDTF">2019-08-26T06:41:00Z</dcterms:modified>
</cp:coreProperties>
</file>