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EE" w:rsidRPr="00950BBD" w:rsidRDefault="00767532" w:rsidP="008A1F00">
      <w:pPr>
        <w:pStyle w:val="NoSpacing"/>
        <w:spacing w:line="240" w:lineRule="auto"/>
        <w:rPr>
          <w:rFonts w:ascii="Arial" w:hAnsi="Arial" w:cs="Arial"/>
          <w:b/>
          <w:sz w:val="22"/>
          <w:szCs w:val="22"/>
          <w:lang w:val="fr-FR"/>
        </w:rPr>
      </w:pPr>
      <w:bookmarkStart w:id="0" w:name="_GoBack"/>
      <w:bookmarkEnd w:id="0"/>
      <w:r>
        <w:rPr>
          <w:rFonts w:ascii="Arial" w:eastAsia="Arial" w:hAnsi="Arial" w:cs="Arial"/>
          <w:b/>
          <w:bCs/>
          <w:sz w:val="22"/>
          <w:szCs w:val="22"/>
          <w:bdr w:val="nil"/>
          <w:lang w:val="fr-FR"/>
        </w:rPr>
        <w:t>Titre : évaluer l’initiative de renforcement des systèmes</w:t>
      </w:r>
      <w:r w:rsidR="00F0368B">
        <w:rPr>
          <w:rFonts w:ascii="Arial" w:eastAsia="Arial" w:hAnsi="Arial" w:cs="Arial"/>
          <w:b/>
          <w:bCs/>
          <w:sz w:val="22"/>
          <w:szCs w:val="22"/>
          <w:bdr w:val="nil"/>
          <w:lang w:val="fr-FR"/>
        </w:rPr>
        <w:t xml:space="preserve"> de santé et à base</w:t>
      </w:r>
      <w:r w:rsidR="002157ED">
        <w:rPr>
          <w:rFonts w:ascii="Arial" w:eastAsia="Arial" w:hAnsi="Arial" w:cs="Arial"/>
          <w:b/>
          <w:bCs/>
          <w:sz w:val="22"/>
          <w:szCs w:val="22"/>
          <w:bdr w:val="nil"/>
          <w:lang w:val="fr-FR"/>
        </w:rPr>
        <w:t xml:space="preserve"> </w:t>
      </w:r>
      <w:r w:rsidRPr="00F0368B">
        <w:rPr>
          <w:rFonts w:ascii="Arial" w:eastAsia="Arial" w:hAnsi="Arial" w:cs="Arial"/>
          <w:b/>
          <w:bCs/>
          <w:sz w:val="22"/>
          <w:szCs w:val="22"/>
          <w:bdr w:val="nil"/>
          <w:lang w:val="fr-FR"/>
        </w:rPr>
        <w:t xml:space="preserve">communautaire dans le nord du Togo : un protocole d’étude pragmatique </w:t>
      </w:r>
      <w:r w:rsidR="00722CBD" w:rsidRPr="00F0368B">
        <w:rPr>
          <w:rFonts w:ascii="Arial" w:eastAsia="Arial" w:hAnsi="Arial" w:cs="Arial"/>
          <w:b/>
          <w:bCs/>
          <w:sz w:val="22"/>
          <w:szCs w:val="22"/>
          <w:bdr w:val="nil"/>
          <w:lang w:val="fr-FR"/>
        </w:rPr>
        <w:t>d’efficacité et de mise en œuvre</w:t>
      </w:r>
      <w:r w:rsidRPr="00F0368B">
        <w:rPr>
          <w:rFonts w:ascii="Arial" w:eastAsia="Arial" w:hAnsi="Arial" w:cs="Arial"/>
          <w:b/>
          <w:bCs/>
          <w:sz w:val="22"/>
          <w:szCs w:val="22"/>
          <w:bdr w:val="nil"/>
          <w:lang w:val="fr-FR"/>
        </w:rPr>
        <w:t xml:space="preserve"> </w:t>
      </w:r>
    </w:p>
    <w:p w:rsidR="00722CBD" w:rsidRPr="00950BBD" w:rsidRDefault="00722CBD" w:rsidP="008A1F00">
      <w:pPr>
        <w:pStyle w:val="NoSpacing"/>
        <w:spacing w:line="240" w:lineRule="auto"/>
        <w:rPr>
          <w:rFonts w:ascii="Arial" w:hAnsi="Arial" w:cs="Arial"/>
          <w:sz w:val="22"/>
          <w:szCs w:val="22"/>
          <w:lang w:val="fr-FR"/>
        </w:rPr>
      </w:pPr>
    </w:p>
    <w:p w:rsidR="001C0DEE" w:rsidRPr="00950BBD" w:rsidRDefault="00767532" w:rsidP="008A1F00">
      <w:pPr>
        <w:pStyle w:val="NoSpacing"/>
        <w:spacing w:line="240" w:lineRule="auto"/>
        <w:rPr>
          <w:rFonts w:ascii="Arial" w:hAnsi="Arial" w:cs="Arial"/>
          <w:sz w:val="22"/>
          <w:szCs w:val="22"/>
          <w:lang w:val="fr-FR"/>
        </w:rPr>
      </w:pPr>
      <w:r>
        <w:rPr>
          <w:rFonts w:ascii="Arial" w:eastAsia="Arial" w:hAnsi="Arial" w:cs="Arial"/>
          <w:sz w:val="22"/>
          <w:szCs w:val="22"/>
          <w:bdr w:val="nil"/>
          <w:lang w:val="fr-FR"/>
        </w:rPr>
        <w:t xml:space="preserve">Auteurs : </w:t>
      </w:r>
    </w:p>
    <w:p w:rsidR="001C0DEE" w:rsidRPr="00950BBD" w:rsidRDefault="001C0DEE" w:rsidP="008A1F00">
      <w:pPr>
        <w:pStyle w:val="NoSpacing"/>
        <w:spacing w:line="240" w:lineRule="auto"/>
        <w:rPr>
          <w:rFonts w:ascii="Arial" w:hAnsi="Arial" w:cs="Arial"/>
          <w:sz w:val="22"/>
          <w:szCs w:val="22"/>
          <w:lang w:val="fr-FR"/>
        </w:rPr>
      </w:pPr>
    </w:p>
    <w:p w:rsidR="001C0DEE" w:rsidRPr="00950BBD" w:rsidRDefault="00767532" w:rsidP="008A1F00">
      <w:pPr>
        <w:pStyle w:val="NoSpacing"/>
        <w:spacing w:line="240" w:lineRule="auto"/>
        <w:outlineLvl w:val="0"/>
        <w:rPr>
          <w:rFonts w:ascii="Arial" w:hAnsi="Arial" w:cs="Arial"/>
          <w:sz w:val="22"/>
          <w:szCs w:val="22"/>
          <w:lang w:val="fr-FR"/>
        </w:rPr>
      </w:pPr>
      <w:r>
        <w:rPr>
          <w:rFonts w:ascii="Arial" w:eastAsia="Arial" w:hAnsi="Arial" w:cs="Arial"/>
          <w:sz w:val="22"/>
          <w:szCs w:val="22"/>
          <w:bdr w:val="nil"/>
          <w:lang w:val="fr-FR"/>
        </w:rPr>
        <w:t>Molly E.</w:t>
      </w:r>
      <w:r w:rsidR="00FD3DDA">
        <w:rPr>
          <w:rFonts w:ascii="Arial" w:eastAsia="Arial" w:hAnsi="Arial" w:cs="Arial"/>
          <w:sz w:val="22"/>
          <w:szCs w:val="22"/>
          <w:bdr w:val="nil"/>
          <w:lang w:val="fr-FR"/>
        </w:rPr>
        <w:t> </w:t>
      </w:r>
      <w:r>
        <w:rPr>
          <w:rFonts w:ascii="Arial" w:eastAsia="Arial" w:hAnsi="Arial" w:cs="Arial"/>
          <w:sz w:val="22"/>
          <w:szCs w:val="22"/>
          <w:bdr w:val="nil"/>
          <w:lang w:val="fr-FR"/>
        </w:rPr>
        <w:t>Lauria Titulaire d’un master en santé publique*</w:t>
      </w:r>
    </w:p>
    <w:p w:rsidR="001C0DEE" w:rsidRDefault="00767532" w:rsidP="008A1F00">
      <w:pPr>
        <w:pStyle w:val="NoSpacing"/>
        <w:spacing w:line="240" w:lineRule="auto"/>
        <w:rPr>
          <w:rFonts w:ascii="Arial" w:hAnsi="Arial" w:cs="Arial"/>
          <w:sz w:val="22"/>
          <w:szCs w:val="22"/>
        </w:rPr>
      </w:pPr>
      <w:r w:rsidRPr="00950BBD">
        <w:rPr>
          <w:rFonts w:ascii="Arial" w:eastAsia="Arial" w:hAnsi="Arial" w:cs="Arial"/>
          <w:sz w:val="22"/>
          <w:szCs w:val="22"/>
          <w:bdr w:val="nil"/>
        </w:rPr>
        <w:t xml:space="preserve">Community Health Systems Lab, Integrate Health/Santé Intégrée, Kara, Togo et New York, NY, </w:t>
      </w:r>
      <w:proofErr w:type="spellStart"/>
      <w:r w:rsidRPr="00950BBD">
        <w:rPr>
          <w:rFonts w:ascii="Arial" w:eastAsia="Arial" w:hAnsi="Arial" w:cs="Arial"/>
          <w:sz w:val="22"/>
          <w:szCs w:val="22"/>
          <w:bdr w:val="nil"/>
        </w:rPr>
        <w:t>États</w:t>
      </w:r>
      <w:proofErr w:type="spellEnd"/>
      <w:r w:rsidRPr="00950BBD">
        <w:rPr>
          <w:rFonts w:ascii="Arial" w:eastAsia="Arial" w:hAnsi="Arial" w:cs="Arial"/>
          <w:sz w:val="22"/>
          <w:szCs w:val="22"/>
          <w:bdr w:val="nil"/>
        </w:rPr>
        <w:t>-Unis</w:t>
      </w:r>
    </w:p>
    <w:p w:rsidR="001C0DEE" w:rsidRDefault="001C0DEE" w:rsidP="008A1F00">
      <w:pPr>
        <w:pStyle w:val="NoSpacing"/>
        <w:spacing w:line="240" w:lineRule="auto"/>
        <w:rPr>
          <w:rFonts w:ascii="Arial" w:hAnsi="Arial" w:cs="Arial"/>
          <w:sz w:val="22"/>
          <w:szCs w:val="22"/>
        </w:rPr>
      </w:pPr>
    </w:p>
    <w:p w:rsidR="001C0DEE" w:rsidRDefault="00767532" w:rsidP="008A1F00">
      <w:pPr>
        <w:pStyle w:val="NoSpacing"/>
        <w:spacing w:line="240" w:lineRule="auto"/>
        <w:rPr>
          <w:rFonts w:ascii="Arial" w:hAnsi="Arial" w:cs="Arial"/>
          <w:sz w:val="22"/>
          <w:szCs w:val="22"/>
          <w:lang w:val="es-US"/>
        </w:rPr>
      </w:pPr>
      <w:r>
        <w:rPr>
          <w:rFonts w:ascii="Arial" w:eastAsia="Arial" w:hAnsi="Arial" w:cs="Arial"/>
          <w:sz w:val="22"/>
          <w:szCs w:val="22"/>
          <w:bdr w:val="nil"/>
          <w:lang w:val="fr-FR"/>
        </w:rPr>
        <w:t>Kevin P. Fiori Docteur en médecine, titulaire d’un master en santé publique et d’une maîtrise en sciences</w:t>
      </w:r>
    </w:p>
    <w:p w:rsidR="001C0DEE" w:rsidRPr="00950BBD" w:rsidRDefault="00767532" w:rsidP="008A1F00">
      <w:pPr>
        <w:pStyle w:val="NoSpacing"/>
        <w:spacing w:line="240" w:lineRule="auto"/>
        <w:rPr>
          <w:rFonts w:ascii="Arial" w:hAnsi="Arial" w:cs="Arial"/>
          <w:sz w:val="22"/>
          <w:szCs w:val="22"/>
          <w:lang w:val="fr-FR"/>
        </w:rPr>
      </w:pPr>
      <w:r>
        <w:rPr>
          <w:rFonts w:ascii="Arial" w:eastAsia="Arial" w:hAnsi="Arial" w:cs="Arial"/>
          <w:sz w:val="22"/>
          <w:szCs w:val="22"/>
          <w:bdr w:val="nil"/>
          <w:lang w:val="fr-FR"/>
        </w:rPr>
        <w:t xml:space="preserve">Service de pédiatrie, Albert Einstein </w:t>
      </w:r>
      <w:proofErr w:type="spellStart"/>
      <w:r>
        <w:rPr>
          <w:rFonts w:ascii="Arial" w:eastAsia="Arial" w:hAnsi="Arial" w:cs="Arial"/>
          <w:sz w:val="22"/>
          <w:szCs w:val="22"/>
          <w:bdr w:val="nil"/>
          <w:lang w:val="fr-FR"/>
        </w:rPr>
        <w:t>College</w:t>
      </w:r>
      <w:proofErr w:type="spellEnd"/>
      <w:r>
        <w:rPr>
          <w:rFonts w:ascii="Arial" w:eastAsia="Arial" w:hAnsi="Arial" w:cs="Arial"/>
          <w:sz w:val="22"/>
          <w:szCs w:val="22"/>
          <w:bdr w:val="nil"/>
          <w:lang w:val="fr-FR"/>
        </w:rPr>
        <w:t xml:space="preserve"> of Medicine, Bronx, NY, États-Unis</w:t>
      </w:r>
      <w:r w:rsidR="00FD3DDA">
        <w:rPr>
          <w:rFonts w:ascii="Arial" w:eastAsia="Arial" w:hAnsi="Arial" w:cs="Arial"/>
          <w:sz w:val="22"/>
          <w:szCs w:val="22"/>
          <w:bdr w:val="nil"/>
          <w:lang w:val="fr-FR"/>
        </w:rPr>
        <w:t> </w:t>
      </w:r>
      <w:r>
        <w:rPr>
          <w:rFonts w:ascii="Arial" w:eastAsia="Arial" w:hAnsi="Arial" w:cs="Arial"/>
          <w:sz w:val="22"/>
          <w:szCs w:val="22"/>
          <w:bdr w:val="nil"/>
          <w:lang w:val="fr-FR"/>
        </w:rPr>
        <w:t xml:space="preserve">; service de médecine familiale et sociale, Albert Einstein </w:t>
      </w:r>
      <w:proofErr w:type="spellStart"/>
      <w:r>
        <w:rPr>
          <w:rFonts w:ascii="Arial" w:eastAsia="Arial" w:hAnsi="Arial" w:cs="Arial"/>
          <w:sz w:val="22"/>
          <w:szCs w:val="22"/>
          <w:bdr w:val="nil"/>
          <w:lang w:val="fr-FR"/>
        </w:rPr>
        <w:t>College</w:t>
      </w:r>
      <w:proofErr w:type="spellEnd"/>
      <w:r>
        <w:rPr>
          <w:rFonts w:ascii="Arial" w:eastAsia="Arial" w:hAnsi="Arial" w:cs="Arial"/>
          <w:sz w:val="22"/>
          <w:szCs w:val="22"/>
          <w:bdr w:val="nil"/>
          <w:lang w:val="fr-FR"/>
        </w:rPr>
        <w:t xml:space="preserve"> of Medicine, Bronx, NY, États-Unis</w:t>
      </w:r>
      <w:r w:rsidR="00FD3DDA">
        <w:rPr>
          <w:rFonts w:ascii="Arial" w:eastAsia="Arial" w:hAnsi="Arial" w:cs="Arial"/>
          <w:sz w:val="22"/>
          <w:szCs w:val="22"/>
          <w:bdr w:val="nil"/>
          <w:lang w:val="fr-FR"/>
        </w:rPr>
        <w:t> </w:t>
      </w:r>
      <w:r>
        <w:rPr>
          <w:rFonts w:ascii="Arial" w:eastAsia="Arial" w:hAnsi="Arial" w:cs="Arial"/>
          <w:sz w:val="22"/>
          <w:szCs w:val="22"/>
          <w:bdr w:val="nil"/>
          <w:lang w:val="fr-FR"/>
        </w:rPr>
        <w:t>;</w:t>
      </w:r>
    </w:p>
    <w:p w:rsidR="001C0DEE" w:rsidRDefault="00767532" w:rsidP="008A1F00">
      <w:pPr>
        <w:pStyle w:val="NoSpacing"/>
        <w:spacing w:line="240" w:lineRule="auto"/>
        <w:rPr>
          <w:rFonts w:ascii="Arial" w:hAnsi="Arial" w:cs="Arial"/>
          <w:sz w:val="22"/>
          <w:szCs w:val="22"/>
        </w:rPr>
      </w:pPr>
      <w:r w:rsidRPr="00950BBD">
        <w:rPr>
          <w:rFonts w:ascii="Arial" w:eastAsia="Arial" w:hAnsi="Arial" w:cs="Arial"/>
          <w:sz w:val="22"/>
          <w:szCs w:val="22"/>
          <w:bdr w:val="nil"/>
        </w:rPr>
        <w:t xml:space="preserve">Community Health Systems Lab, Integrate Health/Santé Intégrée, Kara, Togo et New York, NY, </w:t>
      </w:r>
      <w:proofErr w:type="spellStart"/>
      <w:r w:rsidRPr="00950BBD">
        <w:rPr>
          <w:rFonts w:ascii="Arial" w:eastAsia="Arial" w:hAnsi="Arial" w:cs="Arial"/>
          <w:sz w:val="22"/>
          <w:szCs w:val="22"/>
          <w:bdr w:val="nil"/>
        </w:rPr>
        <w:t>États</w:t>
      </w:r>
      <w:proofErr w:type="spellEnd"/>
      <w:r w:rsidRPr="00950BBD">
        <w:rPr>
          <w:rFonts w:ascii="Arial" w:eastAsia="Arial" w:hAnsi="Arial" w:cs="Arial"/>
          <w:sz w:val="22"/>
          <w:szCs w:val="22"/>
          <w:bdr w:val="nil"/>
        </w:rPr>
        <w:t>-Unis</w:t>
      </w:r>
    </w:p>
    <w:p w:rsidR="001C0DEE" w:rsidRDefault="001C0DEE" w:rsidP="008A1F00">
      <w:pPr>
        <w:pStyle w:val="NoSpacing"/>
        <w:spacing w:line="240" w:lineRule="auto"/>
        <w:rPr>
          <w:rFonts w:ascii="Arial" w:hAnsi="Arial" w:cs="Arial"/>
          <w:sz w:val="22"/>
          <w:szCs w:val="22"/>
        </w:rPr>
      </w:pPr>
    </w:p>
    <w:p w:rsidR="001C0DEE" w:rsidRDefault="00767532" w:rsidP="008A1F00">
      <w:pPr>
        <w:pStyle w:val="NoSpacing"/>
        <w:spacing w:line="240" w:lineRule="auto"/>
        <w:outlineLvl w:val="0"/>
        <w:rPr>
          <w:rFonts w:ascii="Arial" w:hAnsi="Arial" w:cs="Arial"/>
          <w:sz w:val="22"/>
          <w:szCs w:val="22"/>
          <w:lang w:val="es-US"/>
        </w:rPr>
      </w:pPr>
      <w:r>
        <w:rPr>
          <w:rFonts w:ascii="Arial" w:eastAsia="Arial" w:hAnsi="Arial" w:cs="Arial"/>
          <w:sz w:val="22"/>
          <w:szCs w:val="22"/>
          <w:bdr w:val="nil"/>
          <w:lang w:val="fr-FR"/>
        </w:rPr>
        <w:t>Heidi E. Jones Titulaire d’un master en santé publique et d’un doctorat</w:t>
      </w:r>
    </w:p>
    <w:p w:rsidR="001C0DEE" w:rsidRDefault="00767532" w:rsidP="008A1F00">
      <w:pPr>
        <w:pStyle w:val="NoSpacing"/>
        <w:spacing w:line="240" w:lineRule="auto"/>
        <w:rPr>
          <w:rFonts w:ascii="Arial" w:hAnsi="Arial" w:cs="Arial"/>
          <w:sz w:val="22"/>
          <w:szCs w:val="22"/>
        </w:rPr>
      </w:pPr>
      <w:r w:rsidRPr="00950BBD">
        <w:rPr>
          <w:rFonts w:ascii="Arial" w:eastAsia="Arial" w:hAnsi="Arial" w:cs="Arial"/>
          <w:color w:val="000000"/>
          <w:sz w:val="22"/>
          <w:szCs w:val="22"/>
          <w:bdr w:val="nil"/>
        </w:rPr>
        <w:t xml:space="preserve">CUNY Graduate School of Public Health &amp; Health Policy, New York, </w:t>
      </w:r>
      <w:proofErr w:type="spellStart"/>
      <w:r w:rsidRPr="00950BBD">
        <w:rPr>
          <w:rFonts w:ascii="Arial" w:eastAsia="Arial" w:hAnsi="Arial" w:cs="Arial"/>
          <w:color w:val="000000"/>
          <w:sz w:val="22"/>
          <w:szCs w:val="22"/>
          <w:bdr w:val="nil"/>
        </w:rPr>
        <w:t>États</w:t>
      </w:r>
      <w:proofErr w:type="spellEnd"/>
      <w:r w:rsidRPr="00950BBD">
        <w:rPr>
          <w:rFonts w:ascii="Arial" w:eastAsia="Arial" w:hAnsi="Arial" w:cs="Arial"/>
          <w:color w:val="000000"/>
          <w:sz w:val="22"/>
          <w:szCs w:val="22"/>
          <w:bdr w:val="nil"/>
        </w:rPr>
        <w:t>-Unis</w:t>
      </w:r>
    </w:p>
    <w:p w:rsidR="001C0DEE" w:rsidRDefault="001C0DEE" w:rsidP="008A1F00">
      <w:pPr>
        <w:pStyle w:val="NoSpacing"/>
        <w:spacing w:line="240" w:lineRule="auto"/>
        <w:rPr>
          <w:rFonts w:ascii="Arial" w:hAnsi="Arial" w:cs="Arial"/>
          <w:sz w:val="22"/>
          <w:szCs w:val="22"/>
        </w:rPr>
      </w:pPr>
    </w:p>
    <w:p w:rsidR="001C0DEE" w:rsidRPr="00950BBD" w:rsidRDefault="00767532" w:rsidP="008A1F00">
      <w:pPr>
        <w:pStyle w:val="NoSpacing"/>
        <w:spacing w:line="240" w:lineRule="auto"/>
        <w:outlineLvl w:val="0"/>
        <w:rPr>
          <w:rFonts w:ascii="Arial" w:hAnsi="Arial" w:cs="Arial"/>
          <w:sz w:val="22"/>
          <w:szCs w:val="22"/>
          <w:lang w:val="fr-FR"/>
        </w:rPr>
      </w:pPr>
      <w:r>
        <w:rPr>
          <w:rFonts w:ascii="Arial" w:eastAsia="Arial" w:hAnsi="Arial" w:cs="Arial"/>
          <w:sz w:val="22"/>
          <w:szCs w:val="22"/>
          <w:bdr w:val="nil"/>
          <w:lang w:val="fr-FR"/>
        </w:rPr>
        <w:t>Sesso Gbeleou Titulaire d’une maîtrise en sciences</w:t>
      </w:r>
    </w:p>
    <w:p w:rsidR="001C0DEE" w:rsidRPr="00950BBD" w:rsidRDefault="00767532" w:rsidP="008A1F00">
      <w:pPr>
        <w:pStyle w:val="NoSpacing"/>
        <w:spacing w:line="240" w:lineRule="auto"/>
        <w:rPr>
          <w:rFonts w:ascii="Arial" w:hAnsi="Arial" w:cs="Arial"/>
          <w:sz w:val="22"/>
          <w:szCs w:val="22"/>
          <w:lang w:val="fr-FR"/>
        </w:rPr>
      </w:pPr>
      <w:r>
        <w:rPr>
          <w:rFonts w:ascii="Arial" w:eastAsia="Arial" w:hAnsi="Arial" w:cs="Arial"/>
          <w:sz w:val="22"/>
          <w:szCs w:val="22"/>
          <w:bdr w:val="nil"/>
          <w:lang w:val="fr-FR"/>
        </w:rPr>
        <w:t>Integrate Health/Santé Intégrée, Kara, Togo et New York, NY, États-Unis</w:t>
      </w:r>
    </w:p>
    <w:p w:rsidR="001C0DEE" w:rsidRPr="00950BBD" w:rsidRDefault="001C0DEE" w:rsidP="008A1F00">
      <w:pPr>
        <w:pStyle w:val="NoSpacing"/>
        <w:spacing w:line="240" w:lineRule="auto"/>
        <w:rPr>
          <w:rFonts w:ascii="Arial" w:hAnsi="Arial" w:cs="Arial"/>
          <w:sz w:val="22"/>
          <w:szCs w:val="22"/>
          <w:lang w:val="fr-FR"/>
        </w:rPr>
      </w:pPr>
    </w:p>
    <w:p w:rsidR="001C0DEE" w:rsidRDefault="00767532" w:rsidP="008A1F00">
      <w:pPr>
        <w:pStyle w:val="NoSpacing"/>
        <w:spacing w:line="240" w:lineRule="auto"/>
        <w:rPr>
          <w:rFonts w:ascii="Arial" w:hAnsi="Arial" w:cs="Arial"/>
          <w:sz w:val="22"/>
          <w:szCs w:val="22"/>
          <w:lang w:val="es-US"/>
        </w:rPr>
      </w:pPr>
      <w:r>
        <w:rPr>
          <w:rFonts w:ascii="Arial" w:eastAsia="Arial" w:hAnsi="Arial" w:cs="Arial"/>
          <w:sz w:val="22"/>
          <w:szCs w:val="22"/>
          <w:bdr w:val="nil"/>
          <w:lang w:val="fr-FR"/>
        </w:rPr>
        <w:t>Komlan Kenkou Docteur en médecine, titulaire d’une maîtrise en sciences dans le domaine de la santé publique</w:t>
      </w:r>
    </w:p>
    <w:p w:rsidR="001C0DEE" w:rsidRPr="00950BBD" w:rsidRDefault="00767532" w:rsidP="008A1F00">
      <w:pPr>
        <w:pStyle w:val="NoSpacing"/>
        <w:spacing w:line="240" w:lineRule="auto"/>
        <w:rPr>
          <w:rFonts w:ascii="Arial" w:hAnsi="Arial" w:cs="Arial"/>
          <w:sz w:val="22"/>
          <w:szCs w:val="22"/>
          <w:lang w:val="fr-FR"/>
        </w:rPr>
      </w:pPr>
      <w:r>
        <w:rPr>
          <w:rFonts w:ascii="Arial" w:eastAsia="Arial" w:hAnsi="Arial" w:cs="Arial"/>
          <w:sz w:val="22"/>
          <w:szCs w:val="22"/>
          <w:bdr w:val="nil"/>
          <w:lang w:val="fr-FR"/>
        </w:rPr>
        <w:t>Integrate Health/Santé Intégrée, Kara, Togo et New York, NY, États-Unis</w:t>
      </w:r>
    </w:p>
    <w:p w:rsidR="001C0DEE" w:rsidRPr="00950BBD" w:rsidRDefault="001C0DEE" w:rsidP="008A1F00">
      <w:pPr>
        <w:pStyle w:val="NoSpacing"/>
        <w:spacing w:line="240" w:lineRule="auto"/>
        <w:rPr>
          <w:rFonts w:ascii="Arial" w:hAnsi="Arial" w:cs="Arial"/>
          <w:sz w:val="22"/>
          <w:szCs w:val="22"/>
          <w:lang w:val="fr-FR"/>
        </w:rPr>
      </w:pPr>
    </w:p>
    <w:p w:rsidR="001C0DEE" w:rsidRDefault="00767532" w:rsidP="008A1F00">
      <w:pPr>
        <w:pStyle w:val="NoSpacing"/>
        <w:spacing w:line="240" w:lineRule="auto"/>
        <w:outlineLvl w:val="0"/>
        <w:rPr>
          <w:rFonts w:ascii="Arial" w:hAnsi="Arial" w:cs="Arial"/>
          <w:sz w:val="22"/>
          <w:szCs w:val="22"/>
          <w:lang w:val="es-US"/>
        </w:rPr>
      </w:pPr>
      <w:r>
        <w:rPr>
          <w:rFonts w:ascii="Arial" w:eastAsia="Arial" w:hAnsi="Arial" w:cs="Arial"/>
          <w:sz w:val="22"/>
          <w:szCs w:val="22"/>
          <w:bdr w:val="nil"/>
          <w:lang w:val="fr-FR"/>
        </w:rPr>
        <w:t>Sibabe Agoro Docteur en médecine</w:t>
      </w:r>
    </w:p>
    <w:p w:rsidR="001C0DEE" w:rsidRDefault="00767532" w:rsidP="008A1F00">
      <w:pPr>
        <w:pStyle w:val="NoSpacing"/>
        <w:spacing w:line="240" w:lineRule="auto"/>
        <w:rPr>
          <w:rFonts w:ascii="Arial" w:hAnsi="Arial" w:cs="Arial"/>
          <w:color w:val="000000" w:themeColor="text1"/>
          <w:sz w:val="22"/>
          <w:szCs w:val="22"/>
          <w:lang w:val="es-US"/>
        </w:rPr>
      </w:pPr>
      <w:r>
        <w:rPr>
          <w:rFonts w:ascii="Arial" w:eastAsia="Arial" w:hAnsi="Arial" w:cs="Arial"/>
          <w:color w:val="000000"/>
          <w:sz w:val="22"/>
          <w:szCs w:val="22"/>
          <w:bdr w:val="nil"/>
          <w:lang w:val="fr-FR"/>
        </w:rPr>
        <w:t>Service sanitaire régional de Kara, ministère de la Santé et de l’Hygiène publique, Kara, Togo</w:t>
      </w:r>
    </w:p>
    <w:p w:rsidR="001C0DEE" w:rsidRDefault="001C0DEE" w:rsidP="008A1F00">
      <w:pPr>
        <w:pStyle w:val="NoSpacing"/>
        <w:spacing w:line="240" w:lineRule="auto"/>
        <w:rPr>
          <w:rFonts w:ascii="Arial" w:hAnsi="Arial" w:cs="Arial"/>
          <w:sz w:val="22"/>
          <w:szCs w:val="22"/>
          <w:lang w:val="es-US"/>
        </w:rPr>
      </w:pPr>
    </w:p>
    <w:p w:rsidR="001C0DEE" w:rsidRDefault="00767532" w:rsidP="008A1F00">
      <w:pPr>
        <w:pStyle w:val="NoSpacing"/>
        <w:spacing w:line="240" w:lineRule="auto"/>
        <w:outlineLvl w:val="0"/>
        <w:rPr>
          <w:rFonts w:ascii="Arial" w:hAnsi="Arial" w:cs="Arial"/>
          <w:sz w:val="22"/>
          <w:szCs w:val="22"/>
          <w:lang w:val="es-US"/>
        </w:rPr>
      </w:pPr>
      <w:r>
        <w:rPr>
          <w:rFonts w:ascii="Arial" w:eastAsia="Arial" w:hAnsi="Arial" w:cs="Arial"/>
          <w:sz w:val="22"/>
          <w:szCs w:val="22"/>
          <w:bdr w:val="nil"/>
          <w:lang w:val="fr-FR"/>
        </w:rPr>
        <w:t>Abdourahmane Diparidé Agbèrè Docteur en médecine</w:t>
      </w:r>
    </w:p>
    <w:p w:rsidR="001C0DEE" w:rsidRDefault="00767532" w:rsidP="008A1F00">
      <w:pPr>
        <w:pStyle w:val="NoSpacing"/>
        <w:spacing w:line="240" w:lineRule="auto"/>
        <w:rPr>
          <w:rFonts w:ascii="Arial" w:hAnsi="Arial" w:cs="Arial"/>
          <w:color w:val="000000" w:themeColor="text1"/>
          <w:sz w:val="22"/>
          <w:szCs w:val="22"/>
          <w:shd w:val="clear" w:color="auto" w:fill="FFFFFF"/>
          <w:lang w:val="es-US"/>
        </w:rPr>
      </w:pPr>
      <w:r>
        <w:rPr>
          <w:rFonts w:ascii="Arial" w:eastAsia="Arial" w:hAnsi="Arial" w:cs="Arial"/>
          <w:color w:val="000000"/>
          <w:sz w:val="22"/>
          <w:szCs w:val="22"/>
          <w:bdr w:val="nil"/>
          <w:lang w:val="fr-FR"/>
        </w:rPr>
        <w:t>Service de pédiatrie, faculté des sciences de la santé, université de Lomé, Lomé, Togo :</w:t>
      </w:r>
    </w:p>
    <w:p w:rsidR="001C0DEE" w:rsidRDefault="00767532" w:rsidP="008A1F00">
      <w:pPr>
        <w:pStyle w:val="NoSpacing"/>
        <w:spacing w:line="240" w:lineRule="auto"/>
        <w:rPr>
          <w:rFonts w:ascii="Arial" w:hAnsi="Arial" w:cs="Arial"/>
          <w:color w:val="000000" w:themeColor="text1"/>
          <w:sz w:val="22"/>
          <w:szCs w:val="22"/>
          <w:lang w:val="es-US"/>
        </w:rPr>
      </w:pPr>
      <w:r>
        <w:rPr>
          <w:rFonts w:ascii="Arial" w:eastAsia="Arial" w:hAnsi="Arial" w:cs="Arial"/>
          <w:color w:val="000000"/>
          <w:sz w:val="22"/>
          <w:szCs w:val="22"/>
          <w:bdr w:val="nil"/>
          <w:lang w:val="fr-FR"/>
        </w:rPr>
        <w:t>service de pédiatrie, hôpital régional, Lomé-Commune, Lomé, Togo</w:t>
      </w:r>
    </w:p>
    <w:p w:rsidR="001C0DEE" w:rsidRDefault="001C0DEE" w:rsidP="008A1F00">
      <w:pPr>
        <w:pStyle w:val="NoSpacing"/>
        <w:spacing w:line="240" w:lineRule="auto"/>
        <w:rPr>
          <w:rFonts w:ascii="Arial" w:hAnsi="Arial" w:cs="Arial"/>
          <w:sz w:val="22"/>
          <w:szCs w:val="22"/>
          <w:lang w:val="es-US"/>
        </w:rPr>
      </w:pPr>
    </w:p>
    <w:p w:rsidR="001C0DEE" w:rsidRDefault="00767532" w:rsidP="008A1F00">
      <w:pPr>
        <w:pStyle w:val="NoSpacing"/>
        <w:spacing w:line="240" w:lineRule="auto"/>
        <w:outlineLvl w:val="0"/>
        <w:rPr>
          <w:rFonts w:ascii="Arial" w:hAnsi="Arial" w:cs="Arial"/>
          <w:sz w:val="22"/>
          <w:szCs w:val="22"/>
          <w:lang w:val="es-US"/>
        </w:rPr>
      </w:pPr>
      <w:r>
        <w:rPr>
          <w:rFonts w:ascii="Arial" w:eastAsia="Arial" w:hAnsi="Arial" w:cs="Arial"/>
          <w:sz w:val="22"/>
          <w:szCs w:val="22"/>
          <w:bdr w:val="nil"/>
          <w:lang w:val="fr-FR"/>
        </w:rPr>
        <w:t>Kelly D. Lue Titulaire d’un master en santé publique</w:t>
      </w:r>
    </w:p>
    <w:p w:rsidR="001C0DEE" w:rsidRDefault="00767532" w:rsidP="008A1F00">
      <w:pPr>
        <w:pStyle w:val="NoSpacing"/>
        <w:spacing w:line="240" w:lineRule="auto"/>
        <w:rPr>
          <w:rFonts w:ascii="Arial" w:hAnsi="Arial" w:cs="Arial"/>
          <w:sz w:val="22"/>
          <w:szCs w:val="22"/>
        </w:rPr>
      </w:pPr>
      <w:r w:rsidRPr="00950BBD">
        <w:rPr>
          <w:rFonts w:ascii="Arial" w:eastAsia="Arial" w:hAnsi="Arial" w:cs="Arial"/>
          <w:sz w:val="22"/>
          <w:szCs w:val="22"/>
          <w:bdr w:val="nil"/>
        </w:rPr>
        <w:t xml:space="preserve">Community Health Systems Lab, Integrate Health/Santé Intégrée, Kara, Togo et New York, NY, </w:t>
      </w:r>
      <w:proofErr w:type="spellStart"/>
      <w:r w:rsidRPr="00950BBD">
        <w:rPr>
          <w:rFonts w:ascii="Arial" w:eastAsia="Arial" w:hAnsi="Arial" w:cs="Arial"/>
          <w:sz w:val="22"/>
          <w:szCs w:val="22"/>
          <w:bdr w:val="nil"/>
        </w:rPr>
        <w:t>États</w:t>
      </w:r>
      <w:proofErr w:type="spellEnd"/>
      <w:r w:rsidRPr="00950BBD">
        <w:rPr>
          <w:rFonts w:ascii="Arial" w:eastAsia="Arial" w:hAnsi="Arial" w:cs="Arial"/>
          <w:sz w:val="22"/>
          <w:szCs w:val="22"/>
          <w:bdr w:val="nil"/>
        </w:rPr>
        <w:t>-Unis</w:t>
      </w:r>
    </w:p>
    <w:p w:rsidR="001C0DEE" w:rsidRDefault="001C0DEE" w:rsidP="008A1F00">
      <w:pPr>
        <w:pStyle w:val="NoSpacing"/>
        <w:spacing w:line="240" w:lineRule="auto"/>
        <w:rPr>
          <w:rFonts w:ascii="Arial" w:hAnsi="Arial" w:cs="Arial"/>
          <w:sz w:val="22"/>
          <w:szCs w:val="22"/>
        </w:rPr>
      </w:pPr>
    </w:p>
    <w:p w:rsidR="001C0DEE" w:rsidRDefault="00767532" w:rsidP="008A1F00">
      <w:pPr>
        <w:pStyle w:val="NoSpacing"/>
        <w:spacing w:line="240" w:lineRule="auto"/>
        <w:outlineLvl w:val="0"/>
        <w:rPr>
          <w:rFonts w:ascii="Arial" w:hAnsi="Arial" w:cs="Arial"/>
          <w:color w:val="000000" w:themeColor="text1"/>
          <w:sz w:val="22"/>
          <w:szCs w:val="22"/>
          <w:lang w:val="es-US"/>
        </w:rPr>
      </w:pPr>
      <w:r>
        <w:rPr>
          <w:rFonts w:ascii="Arial" w:eastAsia="Arial" w:hAnsi="Arial" w:cs="Arial"/>
          <w:color w:val="000000"/>
          <w:sz w:val="22"/>
          <w:szCs w:val="22"/>
          <w:bdr w:val="nil"/>
          <w:lang w:val="fr-FR"/>
        </w:rPr>
        <w:t>Lisa R. Hirschhorn Docteur en médecine et titulaire d’un master en santé publique</w:t>
      </w:r>
    </w:p>
    <w:p w:rsidR="001C0DEE" w:rsidRDefault="00767532" w:rsidP="008A1F00">
      <w:pPr>
        <w:pStyle w:val="NoSpacing"/>
        <w:spacing w:line="240" w:lineRule="auto"/>
        <w:rPr>
          <w:rFonts w:ascii="Arial" w:hAnsi="Arial" w:cs="Arial"/>
          <w:color w:val="000000" w:themeColor="text1"/>
          <w:sz w:val="22"/>
          <w:szCs w:val="22"/>
        </w:rPr>
      </w:pPr>
      <w:r w:rsidRPr="00950BBD">
        <w:rPr>
          <w:rFonts w:ascii="Arial" w:eastAsia="Arial" w:hAnsi="Arial" w:cs="Arial"/>
          <w:color w:val="000000"/>
          <w:sz w:val="22"/>
          <w:szCs w:val="22"/>
          <w:bdr w:val="nil"/>
        </w:rPr>
        <w:t xml:space="preserve">Feinberg School of Medicine de la Northwestern University, Chicago, </w:t>
      </w:r>
      <w:proofErr w:type="spellStart"/>
      <w:r w:rsidRPr="00950BBD">
        <w:rPr>
          <w:rFonts w:ascii="Arial" w:eastAsia="Arial" w:hAnsi="Arial" w:cs="Arial"/>
          <w:color w:val="000000"/>
          <w:sz w:val="22"/>
          <w:szCs w:val="22"/>
          <w:bdr w:val="nil"/>
        </w:rPr>
        <w:t>États</w:t>
      </w:r>
      <w:proofErr w:type="spellEnd"/>
      <w:r w:rsidRPr="00950BBD">
        <w:rPr>
          <w:rFonts w:ascii="Arial" w:eastAsia="Arial" w:hAnsi="Arial" w:cs="Arial"/>
          <w:color w:val="000000"/>
          <w:sz w:val="22"/>
          <w:szCs w:val="22"/>
          <w:bdr w:val="nil"/>
        </w:rPr>
        <w:t xml:space="preserve">-Unis; Community Health Systems Lab, Integrate Health/Santé Intégrée, Kara, Togo et New York, NY, </w:t>
      </w:r>
      <w:proofErr w:type="spellStart"/>
      <w:r w:rsidRPr="00950BBD">
        <w:rPr>
          <w:rFonts w:ascii="Arial" w:eastAsia="Arial" w:hAnsi="Arial" w:cs="Arial"/>
          <w:color w:val="000000"/>
          <w:sz w:val="22"/>
          <w:szCs w:val="22"/>
          <w:bdr w:val="nil"/>
        </w:rPr>
        <w:t>États</w:t>
      </w:r>
      <w:proofErr w:type="spellEnd"/>
      <w:r w:rsidRPr="00950BBD">
        <w:rPr>
          <w:rFonts w:ascii="Arial" w:eastAsia="Arial" w:hAnsi="Arial" w:cs="Arial"/>
          <w:color w:val="000000"/>
          <w:sz w:val="22"/>
          <w:szCs w:val="22"/>
          <w:bdr w:val="nil"/>
        </w:rPr>
        <w:t>-Unis</w:t>
      </w:r>
    </w:p>
    <w:p w:rsidR="001C0DEE" w:rsidRDefault="001C0DEE" w:rsidP="008A1F00">
      <w:pPr>
        <w:pStyle w:val="NoSpacing"/>
        <w:spacing w:line="240" w:lineRule="auto"/>
        <w:rPr>
          <w:rFonts w:ascii="Arial" w:hAnsi="Arial" w:cs="Arial"/>
          <w:sz w:val="22"/>
          <w:szCs w:val="22"/>
        </w:rPr>
      </w:pPr>
    </w:p>
    <w:p w:rsidR="001C0DEE" w:rsidRDefault="00767532" w:rsidP="008A1F00">
      <w:pPr>
        <w:pStyle w:val="NoSpacing"/>
        <w:spacing w:line="240" w:lineRule="auto"/>
        <w:rPr>
          <w:rFonts w:ascii="Arial" w:hAnsi="Arial" w:cs="Arial"/>
          <w:sz w:val="22"/>
          <w:szCs w:val="22"/>
          <w:lang w:val="es-US"/>
        </w:rPr>
      </w:pPr>
      <w:r>
        <w:rPr>
          <w:rFonts w:ascii="Arial" w:eastAsia="Arial" w:hAnsi="Arial" w:cs="Arial"/>
          <w:sz w:val="22"/>
          <w:szCs w:val="22"/>
          <w:bdr w:val="nil"/>
          <w:lang w:val="fr-FR"/>
        </w:rPr>
        <w:t xml:space="preserve">* Coordonnées de l’auteur correspondant </w:t>
      </w:r>
      <w:hyperlink r:id="rId9" w:history="1">
        <w:r>
          <w:rPr>
            <w:rFonts w:ascii="Arial" w:eastAsia="Arial" w:hAnsi="Arial" w:cs="Arial"/>
            <w:color w:val="0563C1"/>
            <w:sz w:val="22"/>
            <w:szCs w:val="22"/>
            <w:u w:val="single"/>
            <w:bdr w:val="nil"/>
            <w:lang w:val="fr-FR"/>
          </w:rPr>
          <w:t>mlauria@integratehealth.org</w:t>
        </w:r>
      </w:hyperlink>
      <w:r>
        <w:rPr>
          <w:rFonts w:ascii="Arial" w:eastAsia="Arial" w:hAnsi="Arial" w:cs="Arial"/>
          <w:sz w:val="22"/>
          <w:szCs w:val="22"/>
          <w:bdr w:val="nil"/>
          <w:lang w:val="fr-FR"/>
        </w:rPr>
        <w:t xml:space="preserve"> </w:t>
      </w:r>
    </w:p>
    <w:p w:rsidR="001C0DEE" w:rsidRDefault="001C0DEE" w:rsidP="008A1F00">
      <w:pPr>
        <w:pStyle w:val="NoSpacing"/>
        <w:spacing w:line="240" w:lineRule="auto"/>
        <w:rPr>
          <w:rFonts w:ascii="Arial" w:hAnsi="Arial" w:cs="Arial"/>
          <w:sz w:val="22"/>
          <w:szCs w:val="22"/>
          <w:lang w:val="es-US"/>
        </w:rPr>
      </w:pPr>
    </w:p>
    <w:p w:rsidR="001C0DEE" w:rsidRDefault="001C0DEE" w:rsidP="008A1F00">
      <w:pPr>
        <w:pStyle w:val="NoSpacing"/>
        <w:spacing w:line="240" w:lineRule="auto"/>
        <w:rPr>
          <w:rFonts w:ascii="Arial" w:hAnsi="Arial" w:cs="Arial"/>
          <w:sz w:val="22"/>
          <w:szCs w:val="22"/>
          <w:lang w:val="es-US"/>
        </w:rPr>
      </w:pPr>
    </w:p>
    <w:p w:rsidR="001C0DEE" w:rsidRDefault="001C0DEE" w:rsidP="008A1F00">
      <w:pPr>
        <w:spacing w:line="240" w:lineRule="auto"/>
        <w:rPr>
          <w:lang w:val="es-US"/>
        </w:rPr>
      </w:pPr>
    </w:p>
    <w:p w:rsidR="001C0DEE" w:rsidRDefault="001C0DEE">
      <w:pPr>
        <w:pStyle w:val="NoSpacing"/>
        <w:rPr>
          <w:rFonts w:ascii="Arial" w:hAnsi="Arial" w:cs="Arial"/>
          <w:b/>
          <w:sz w:val="22"/>
          <w:szCs w:val="22"/>
          <w:u w:val="single"/>
          <w:lang w:val="es-US"/>
        </w:rPr>
      </w:pPr>
    </w:p>
    <w:p w:rsidR="001C0DEE" w:rsidRDefault="001C0DEE" w:rsidP="006B690A">
      <w:pPr>
        <w:rPr>
          <w:lang w:val="es-US"/>
        </w:rPr>
        <w:sectPr w:rsidR="001C0D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1C0DEE" w:rsidRDefault="00767532">
      <w:pPr>
        <w:pStyle w:val="NoSpacing"/>
        <w:outlineLvl w:val="0"/>
        <w:rPr>
          <w:rFonts w:ascii="Arial" w:hAnsi="Arial" w:cs="Arial"/>
          <w:b/>
          <w:sz w:val="22"/>
          <w:szCs w:val="22"/>
          <w:u w:val="single"/>
          <w:lang w:val="es-US"/>
        </w:rPr>
      </w:pPr>
      <w:r>
        <w:rPr>
          <w:rFonts w:ascii="Arial" w:eastAsia="Arial" w:hAnsi="Arial" w:cs="Arial"/>
          <w:b/>
          <w:bCs/>
          <w:sz w:val="22"/>
          <w:szCs w:val="22"/>
          <w:u w:val="single"/>
          <w:bdr w:val="nil"/>
          <w:lang w:val="fr-FR"/>
        </w:rPr>
        <w:lastRenderedPageBreak/>
        <w:t>Résumé</w:t>
      </w:r>
    </w:p>
    <w:p w:rsidR="001C0DEE" w:rsidRDefault="001C0DEE">
      <w:pPr>
        <w:pStyle w:val="NoSpacing"/>
        <w:rPr>
          <w:rFonts w:ascii="Arial" w:hAnsi="Arial" w:cs="Arial"/>
          <w:b/>
          <w:sz w:val="22"/>
          <w:szCs w:val="22"/>
          <w:lang w:val="es-US"/>
        </w:rPr>
      </w:pPr>
    </w:p>
    <w:p w:rsidR="001C0DEE" w:rsidRPr="0074757D" w:rsidRDefault="00767532">
      <w:pPr>
        <w:pStyle w:val="NoSpacing"/>
        <w:rPr>
          <w:rFonts w:ascii="Arial" w:eastAsia="Arial" w:hAnsi="Arial" w:cs="Arial"/>
          <w:sz w:val="22"/>
          <w:szCs w:val="22"/>
          <w:highlight w:val="yellow"/>
          <w:bdr w:val="nil"/>
          <w:lang w:val="fr-FR"/>
        </w:rPr>
      </w:pPr>
      <w:r>
        <w:rPr>
          <w:rFonts w:ascii="Arial" w:eastAsia="Arial" w:hAnsi="Arial" w:cs="Arial"/>
          <w:b/>
          <w:bCs/>
          <w:sz w:val="22"/>
          <w:szCs w:val="22"/>
          <w:bdr w:val="nil"/>
          <w:lang w:val="fr-FR"/>
        </w:rPr>
        <w:t>Contexte :</w:t>
      </w:r>
      <w:r>
        <w:rPr>
          <w:rFonts w:ascii="Arial" w:eastAsia="Arial" w:hAnsi="Arial" w:cs="Arial"/>
          <w:sz w:val="22"/>
          <w:szCs w:val="22"/>
          <w:bdr w:val="nil"/>
          <w:lang w:val="fr-FR"/>
        </w:rPr>
        <w:t xml:space="preserve"> au cours de la dernière décennie, la prévalence de la morbidité et de la mortalité maternelles et infantiles au Togo, en particulier dans les régions du nord, est restée élevée malgré les progrès mondiaux. </w:t>
      </w:r>
      <w:r>
        <w:rPr>
          <w:rFonts w:ascii="Arial" w:eastAsia="Arial" w:hAnsi="Arial" w:cs="Arial"/>
          <w:sz w:val="22"/>
          <w:szCs w:val="22"/>
          <w:bdr w:val="nil"/>
          <w:shd w:val="clear" w:color="auto" w:fill="FFFFFF"/>
          <w:lang w:val="fr-FR"/>
        </w:rPr>
        <w:t xml:space="preserve">La mortalité chez les enfants âgés de moins de cinq ans au Togo </w:t>
      </w:r>
      <w:r w:rsidRPr="00950BBD">
        <w:rPr>
          <w:rFonts w:ascii="Arial" w:eastAsia="Arial" w:hAnsi="Arial" w:cs="Arial"/>
          <w:sz w:val="22"/>
          <w:szCs w:val="22"/>
          <w:bdr w:val="nil"/>
          <w:shd w:val="clear" w:color="auto" w:fill="FFFFFF"/>
          <w:lang w:val="fr-FR"/>
        </w:rPr>
        <w:t>est due à des maladies pour lesquelles il existe une prévention et/ou des stratégies de traitement efficaces et de faible coût, telles que le paludisme, les infections des voies respiratoires inférieures aiguë</w:t>
      </w:r>
      <w:r w:rsidR="0023240C">
        <w:rPr>
          <w:rFonts w:ascii="Arial" w:eastAsia="Arial" w:hAnsi="Arial" w:cs="Arial"/>
          <w:sz w:val="22"/>
          <w:szCs w:val="22"/>
          <w:bdr w:val="nil"/>
          <w:shd w:val="clear" w:color="auto" w:fill="FFFFFF"/>
          <w:lang w:val="fr-FR"/>
        </w:rPr>
        <w:t>s et les maladies diarrhéiques</w:t>
      </w:r>
      <w:r w:rsidRPr="00950BBD">
        <w:rPr>
          <w:rFonts w:ascii="Arial" w:eastAsia="Arial" w:hAnsi="Arial" w:cs="Arial"/>
          <w:sz w:val="22"/>
          <w:szCs w:val="22"/>
          <w:bdr w:val="nil"/>
          <w:shd w:val="clear" w:color="auto" w:fill="FFFFFF"/>
          <w:lang w:val="fr-FR"/>
        </w:rPr>
        <w:t xml:space="preserve">. </w:t>
      </w:r>
      <w:r w:rsidRPr="00950BBD">
        <w:rPr>
          <w:rFonts w:ascii="Arial" w:eastAsia="Arial" w:hAnsi="Arial" w:cs="Arial"/>
          <w:sz w:val="22"/>
          <w:szCs w:val="22"/>
          <w:bdr w:val="nil"/>
          <w:lang w:val="fr-FR"/>
        </w:rPr>
        <w:t xml:space="preserve">Alors que le Togo dispose d’une stratégie nationale pour la mise en œuvre des directives de </w:t>
      </w:r>
      <w:r w:rsidR="0023240C">
        <w:rPr>
          <w:rFonts w:ascii="Arial" w:hAnsi="Arial" w:cs="Arial"/>
          <w:sz w:val="22"/>
          <w:szCs w:val="22"/>
          <w:lang w:val="fr-FR"/>
        </w:rPr>
        <w:t>la Prise en Charge Intégrée des</w:t>
      </w:r>
      <w:r w:rsidR="001C6F86" w:rsidRPr="0074757D">
        <w:rPr>
          <w:rFonts w:ascii="Arial" w:hAnsi="Arial" w:cs="Arial"/>
          <w:sz w:val="22"/>
          <w:szCs w:val="22"/>
          <w:lang w:val="fr-FR"/>
        </w:rPr>
        <w:t xml:space="preserve"> maladie</w:t>
      </w:r>
      <w:r w:rsidR="0023240C">
        <w:rPr>
          <w:rFonts w:ascii="Arial" w:hAnsi="Arial" w:cs="Arial"/>
          <w:sz w:val="22"/>
          <w:szCs w:val="22"/>
          <w:lang w:val="fr-FR"/>
        </w:rPr>
        <w:t>s de l</w:t>
      </w:r>
      <w:r w:rsidR="00FD3DDA">
        <w:rPr>
          <w:rFonts w:ascii="Arial" w:hAnsi="Arial" w:cs="Arial"/>
          <w:sz w:val="22"/>
          <w:szCs w:val="22"/>
          <w:lang w:val="fr-FR"/>
        </w:rPr>
        <w:t>’</w:t>
      </w:r>
      <w:r w:rsidR="0023240C">
        <w:rPr>
          <w:rFonts w:ascii="Arial" w:hAnsi="Arial" w:cs="Arial"/>
          <w:sz w:val="22"/>
          <w:szCs w:val="22"/>
          <w:lang w:val="fr-FR"/>
        </w:rPr>
        <w:t>Enfant</w:t>
      </w:r>
      <w:r w:rsidR="001C6F86" w:rsidRPr="0074757D">
        <w:rPr>
          <w:rFonts w:ascii="Arial" w:hAnsi="Arial" w:cs="Arial"/>
          <w:sz w:val="22"/>
          <w:szCs w:val="22"/>
          <w:lang w:val="fr-FR"/>
        </w:rPr>
        <w:t xml:space="preserve"> </w:t>
      </w:r>
      <w:r w:rsidRPr="00950BBD">
        <w:rPr>
          <w:rFonts w:ascii="Arial" w:eastAsia="Arial" w:hAnsi="Arial" w:cs="Arial"/>
          <w:sz w:val="22"/>
          <w:szCs w:val="22"/>
          <w:bdr w:val="nil"/>
          <w:lang w:val="fr-FR"/>
        </w:rPr>
        <w:t>(</w:t>
      </w:r>
      <w:r w:rsidR="001C6F86" w:rsidRPr="0074757D">
        <w:rPr>
          <w:rFonts w:ascii="Arial" w:eastAsia="Arial" w:hAnsi="Arial" w:cs="Arial"/>
          <w:sz w:val="22"/>
          <w:szCs w:val="22"/>
          <w:bdr w:val="nil"/>
          <w:lang w:val="fr-FR"/>
        </w:rPr>
        <w:t>PCIME</w:t>
      </w:r>
      <w:r w:rsidRPr="00950BBD">
        <w:rPr>
          <w:rFonts w:ascii="Arial" w:eastAsia="Arial" w:hAnsi="Arial" w:cs="Arial"/>
          <w:sz w:val="22"/>
          <w:szCs w:val="22"/>
          <w:bdr w:val="nil"/>
          <w:lang w:val="fr-FR"/>
        </w:rPr>
        <w:t xml:space="preserve">), incluant une politique sur </w:t>
      </w:r>
      <w:r w:rsidR="0023240C">
        <w:rPr>
          <w:rFonts w:ascii="Arial" w:hAnsi="Arial" w:cs="Arial"/>
          <w:sz w:val="22"/>
          <w:szCs w:val="22"/>
          <w:lang w:val="fr-FR"/>
        </w:rPr>
        <w:t>la prise en c</w:t>
      </w:r>
      <w:r w:rsidR="002157ED" w:rsidRPr="00950BBD">
        <w:rPr>
          <w:rFonts w:ascii="Arial" w:hAnsi="Arial" w:cs="Arial"/>
          <w:sz w:val="22"/>
          <w:szCs w:val="22"/>
          <w:lang w:val="fr-FR"/>
        </w:rPr>
        <w:t>harge intégrée des cas au niveau communautaire (PCIME-C</w:t>
      </w:r>
      <w:r w:rsidR="002157ED" w:rsidRPr="00950BBD">
        <w:rPr>
          <w:rFonts w:ascii="Arial" w:eastAsia="Arial" w:hAnsi="Arial" w:cs="Arial"/>
          <w:sz w:val="22"/>
          <w:szCs w:val="22"/>
          <w:bdr w:val="nil"/>
          <w:lang w:val="fr-FR"/>
        </w:rPr>
        <w:t>)</w:t>
      </w:r>
      <w:r w:rsidRPr="00950BBD">
        <w:rPr>
          <w:rFonts w:ascii="Arial" w:eastAsia="Arial" w:hAnsi="Arial" w:cs="Arial"/>
          <w:sz w:val="22"/>
          <w:szCs w:val="22"/>
          <w:bdr w:val="nil"/>
          <w:lang w:val="fr-FR"/>
        </w:rPr>
        <w:t>, des</w:t>
      </w:r>
      <w:r>
        <w:rPr>
          <w:rFonts w:ascii="Arial" w:eastAsia="Arial" w:hAnsi="Arial" w:cs="Arial"/>
          <w:sz w:val="22"/>
          <w:szCs w:val="22"/>
          <w:bdr w:val="nil"/>
          <w:lang w:val="fr-FR"/>
        </w:rPr>
        <w:t xml:space="preserve"> difficultés liées à la mise en œuvre et à la faible utilisation des </w:t>
      </w:r>
      <w:r w:rsidRPr="00325B7E">
        <w:rPr>
          <w:rFonts w:ascii="Arial" w:eastAsia="Arial" w:hAnsi="Arial" w:cs="Arial"/>
          <w:sz w:val="22"/>
          <w:szCs w:val="22"/>
          <w:bdr w:val="nil"/>
          <w:lang w:val="fr-FR"/>
        </w:rPr>
        <w:t xml:space="preserve">services de santé du secteur public persistent. Il existe des lacunes importantes en ce qui concerne la qualité des systèmes communautaires de santé à travers le pays. </w:t>
      </w:r>
      <w:r w:rsidRPr="00FD3DDA">
        <w:rPr>
          <w:rFonts w:ascii="Arial" w:eastAsia="Arial" w:hAnsi="Arial" w:cs="Arial"/>
          <w:sz w:val="22"/>
          <w:szCs w:val="22"/>
          <w:bdr w:val="nil"/>
          <w:lang w:val="fr-FR"/>
        </w:rPr>
        <w:t>Une</w:t>
      </w:r>
      <w:r w:rsidR="008F632C">
        <w:rPr>
          <w:rFonts w:ascii="Arial" w:eastAsia="Arial" w:hAnsi="Arial" w:cs="Arial"/>
          <w:sz w:val="22"/>
          <w:szCs w:val="22"/>
          <w:bdr w:val="nil"/>
          <w:lang w:val="fr-FR"/>
        </w:rPr>
        <w:t xml:space="preserve"> initiative communautaire et clinique</w:t>
      </w:r>
      <w:r w:rsidRPr="00FD3DDA">
        <w:rPr>
          <w:rFonts w:ascii="Arial" w:eastAsia="Arial" w:hAnsi="Arial" w:cs="Arial"/>
          <w:sz w:val="22"/>
          <w:szCs w:val="22"/>
          <w:bdr w:val="nil"/>
          <w:lang w:val="fr-FR"/>
        </w:rPr>
        <w:t xml:space="preserve"> intégrée, </w:t>
      </w:r>
      <w:r w:rsidR="007806D0" w:rsidRPr="00FD3DDA">
        <w:rPr>
          <w:rFonts w:ascii="Arial" w:eastAsia="Arial" w:hAnsi="Arial" w:cs="Arial"/>
          <w:sz w:val="22"/>
          <w:szCs w:val="22"/>
          <w:bdr w:val="nil"/>
          <w:lang w:val="fr-FR"/>
        </w:rPr>
        <w:t>l</w:t>
      </w:r>
      <w:r w:rsidR="00CD615C" w:rsidRPr="00FD3DDA">
        <w:rPr>
          <w:rFonts w:ascii="Arial" w:eastAsia="Arial" w:hAnsi="Arial" w:cs="Arial"/>
          <w:sz w:val="22"/>
          <w:szCs w:val="22"/>
          <w:bdr w:val="nil"/>
          <w:lang w:val="fr-FR"/>
        </w:rPr>
        <w:t>e</w:t>
      </w:r>
      <w:r w:rsidRPr="00FD3DDA">
        <w:rPr>
          <w:rFonts w:ascii="Arial" w:eastAsia="Arial" w:hAnsi="Arial" w:cs="Arial"/>
          <w:sz w:val="22"/>
          <w:szCs w:val="22"/>
          <w:bdr w:val="nil"/>
          <w:lang w:val="fr-FR"/>
        </w:rPr>
        <w:t xml:space="preserve"> </w:t>
      </w:r>
      <w:r w:rsidR="00B004A9" w:rsidRPr="00FD3DDA">
        <w:rPr>
          <w:rFonts w:ascii="Arial" w:hAnsi="Arial" w:cs="Arial"/>
          <w:sz w:val="22"/>
          <w:szCs w:val="22"/>
          <w:lang w:val="fr-FR"/>
        </w:rPr>
        <w:t>renforcement des systèmes de</w:t>
      </w:r>
      <w:r w:rsidR="00B004A9" w:rsidRPr="0074757D">
        <w:rPr>
          <w:rFonts w:ascii="Arial" w:hAnsi="Arial" w:cs="Arial"/>
          <w:sz w:val="22"/>
          <w:szCs w:val="22"/>
          <w:lang w:val="fr-FR"/>
        </w:rPr>
        <w:t xml:space="preserve"> santé et à base communautaire</w:t>
      </w:r>
      <w:r w:rsidR="00B004A9" w:rsidRPr="0074757D">
        <w:rPr>
          <w:rFonts w:ascii="Arial" w:eastAsia="Arial" w:hAnsi="Arial" w:cs="Arial"/>
          <w:sz w:val="22"/>
          <w:szCs w:val="22"/>
          <w:bdr w:val="nil"/>
          <w:lang w:val="fr-FR"/>
        </w:rPr>
        <w:t xml:space="preserve"> </w:t>
      </w:r>
      <w:r w:rsidRPr="0074757D">
        <w:rPr>
          <w:rFonts w:ascii="Arial" w:eastAsia="Arial" w:hAnsi="Arial" w:cs="Arial"/>
          <w:sz w:val="22"/>
          <w:szCs w:val="22"/>
          <w:bdr w:val="nil"/>
          <w:lang w:val="fr-FR"/>
        </w:rPr>
        <w:t>(R</w:t>
      </w:r>
      <w:r w:rsidR="00B004A9" w:rsidRPr="0074757D">
        <w:rPr>
          <w:rFonts w:ascii="Arial" w:eastAsia="Arial" w:hAnsi="Arial" w:cs="Arial"/>
          <w:sz w:val="22"/>
          <w:szCs w:val="22"/>
          <w:bdr w:val="nil"/>
          <w:lang w:val="fr-FR"/>
        </w:rPr>
        <w:t>SSBC</w:t>
      </w:r>
      <w:r w:rsidRPr="0074757D">
        <w:rPr>
          <w:rFonts w:ascii="Arial" w:eastAsia="Arial" w:hAnsi="Arial" w:cs="Arial"/>
          <w:sz w:val="22"/>
          <w:szCs w:val="22"/>
          <w:bdr w:val="nil"/>
          <w:lang w:val="fr-FR"/>
        </w:rPr>
        <w:t>), vise à combler ces</w:t>
      </w:r>
      <w:r>
        <w:rPr>
          <w:rFonts w:ascii="Arial" w:eastAsia="Arial" w:hAnsi="Arial" w:cs="Arial"/>
          <w:sz w:val="22"/>
          <w:szCs w:val="22"/>
          <w:bdr w:val="nil"/>
          <w:lang w:val="fr-FR"/>
        </w:rPr>
        <w:t xml:space="preserve"> lacunes tout en renforçant le système sanitaire du secteur public dans le nord du Togo. </w:t>
      </w:r>
      <w:r>
        <w:rPr>
          <w:rFonts w:ascii="Arial" w:eastAsia="Arial" w:hAnsi="Arial" w:cs="Arial"/>
          <w:sz w:val="22"/>
          <w:szCs w:val="22"/>
          <w:bdr w:val="nil"/>
          <w:shd w:val="clear" w:color="auto" w:fill="FFFFFF"/>
          <w:lang w:val="fr-FR"/>
        </w:rPr>
        <w:t>Cette étude a pour objectif d’évaluer les effets et la stratégie de mise en œuvre de l’initiative de RS</w:t>
      </w:r>
      <w:r w:rsidR="001C6F86">
        <w:rPr>
          <w:rFonts w:ascii="Arial" w:eastAsia="Arial" w:hAnsi="Arial" w:cs="Arial"/>
          <w:sz w:val="22"/>
          <w:szCs w:val="22"/>
          <w:bdr w:val="nil"/>
          <w:shd w:val="clear" w:color="auto" w:fill="FFFFFF"/>
          <w:lang w:val="fr-FR"/>
        </w:rPr>
        <w:t>SBC</w:t>
      </w:r>
      <w:r>
        <w:rPr>
          <w:rFonts w:ascii="Arial" w:eastAsia="Arial" w:hAnsi="Arial" w:cs="Arial"/>
          <w:sz w:val="22"/>
          <w:szCs w:val="22"/>
          <w:bdr w:val="nil"/>
          <w:shd w:val="clear" w:color="auto" w:fill="FFFFFF"/>
          <w:lang w:val="fr-FR"/>
        </w:rPr>
        <w:t xml:space="preserve"> sur 48 mois dans les zones desservies par 21 </w:t>
      </w:r>
      <w:r w:rsidR="00563657">
        <w:rPr>
          <w:rFonts w:ascii="Arial" w:eastAsia="Arial" w:hAnsi="Arial" w:cs="Arial"/>
          <w:sz w:val="22"/>
          <w:szCs w:val="22"/>
          <w:bdr w:val="nil"/>
          <w:shd w:val="clear" w:color="auto" w:fill="FFFFFF"/>
          <w:lang w:val="fr-FR"/>
        </w:rPr>
        <w:t xml:space="preserve">formations </w:t>
      </w:r>
      <w:r>
        <w:rPr>
          <w:rFonts w:ascii="Arial" w:eastAsia="Arial" w:hAnsi="Arial" w:cs="Arial"/>
          <w:sz w:val="22"/>
          <w:szCs w:val="22"/>
          <w:bdr w:val="nil"/>
          <w:shd w:val="clear" w:color="auto" w:fill="FFFFFF"/>
          <w:lang w:val="fr-FR"/>
        </w:rPr>
        <w:t xml:space="preserve">sanitaires du secteur public. </w:t>
      </w:r>
    </w:p>
    <w:p w:rsidR="001C0DEE" w:rsidRDefault="001C0DEE">
      <w:pPr>
        <w:pStyle w:val="NoSpacing"/>
        <w:rPr>
          <w:rFonts w:ascii="Arial" w:hAnsi="Arial" w:cs="Arial"/>
          <w:sz w:val="22"/>
          <w:szCs w:val="22"/>
          <w:shd w:val="clear" w:color="auto" w:fill="FFFFFF"/>
          <w:lang w:val="es-US"/>
        </w:rPr>
      </w:pPr>
    </w:p>
    <w:p w:rsidR="001C0DEE" w:rsidRPr="001704B5" w:rsidRDefault="00767532">
      <w:pPr>
        <w:pStyle w:val="NoSpacing"/>
        <w:rPr>
          <w:rFonts w:ascii="Arial" w:hAnsi="Arial" w:cs="Arial"/>
          <w:color w:val="FF0000"/>
          <w:sz w:val="22"/>
          <w:szCs w:val="22"/>
          <w:shd w:val="clear" w:color="auto" w:fill="FFFFFF"/>
          <w:lang w:val="fr-FR"/>
        </w:rPr>
      </w:pPr>
      <w:r>
        <w:rPr>
          <w:rFonts w:ascii="Arial" w:eastAsia="Arial" w:hAnsi="Arial" w:cs="Arial"/>
          <w:b/>
          <w:bCs/>
          <w:sz w:val="22"/>
          <w:szCs w:val="22"/>
          <w:bdr w:val="nil"/>
          <w:lang w:val="fr-FR"/>
        </w:rPr>
        <w:t>Méthodes :</w:t>
      </w:r>
      <w:r>
        <w:rPr>
          <w:rFonts w:ascii="Arial" w:eastAsia="Arial" w:hAnsi="Arial" w:cs="Arial"/>
          <w:sz w:val="22"/>
          <w:szCs w:val="22"/>
          <w:bdr w:val="nil"/>
          <w:lang w:val="fr-FR"/>
        </w:rPr>
        <w:t xml:space="preserve"> le </w:t>
      </w:r>
      <w:r w:rsidRPr="00325B7E">
        <w:rPr>
          <w:rFonts w:ascii="Arial" w:eastAsia="Arial" w:hAnsi="Arial" w:cs="Arial"/>
          <w:sz w:val="22"/>
          <w:szCs w:val="22"/>
          <w:bdr w:val="nil"/>
          <w:lang w:val="fr-FR"/>
        </w:rPr>
        <w:t>modèle</w:t>
      </w:r>
      <w:r w:rsidR="00B004A9" w:rsidRPr="00325B7E">
        <w:rPr>
          <w:rFonts w:ascii="Arial" w:eastAsia="Arial" w:hAnsi="Arial" w:cs="Arial"/>
          <w:sz w:val="22"/>
          <w:szCs w:val="22"/>
          <w:bdr w:val="nil"/>
          <w:lang w:val="fr-FR"/>
        </w:rPr>
        <w:t xml:space="preserve"> intégré</w:t>
      </w:r>
      <w:r w:rsidRPr="00325B7E">
        <w:rPr>
          <w:rFonts w:ascii="Arial" w:eastAsia="Arial" w:hAnsi="Arial" w:cs="Arial"/>
          <w:sz w:val="22"/>
          <w:szCs w:val="22"/>
          <w:bdr w:val="nil"/>
          <w:lang w:val="fr-FR"/>
        </w:rPr>
        <w:t xml:space="preserve"> de </w:t>
      </w:r>
      <w:r w:rsidR="00B004A9" w:rsidRPr="00325B7E">
        <w:rPr>
          <w:rFonts w:ascii="Arial" w:eastAsia="Arial" w:hAnsi="Arial" w:cs="Arial"/>
          <w:sz w:val="22"/>
          <w:szCs w:val="22"/>
          <w:bdr w:val="nil"/>
          <w:lang w:val="fr-FR"/>
        </w:rPr>
        <w:t xml:space="preserve">RSSBC </w:t>
      </w:r>
      <w:r w:rsidRPr="00325B7E">
        <w:rPr>
          <w:rFonts w:ascii="Arial" w:eastAsia="Arial" w:hAnsi="Arial" w:cs="Arial"/>
          <w:sz w:val="22"/>
          <w:szCs w:val="22"/>
          <w:bdr w:val="nil"/>
          <w:lang w:val="fr-FR"/>
        </w:rPr>
        <w:t xml:space="preserve">comprend un ensemble d’interventions fondées sur des preuves ciblant des enfants âgés de moins de cinq ans, des femmes en âge de procréer et des personnes atteintes du VIH via (1) un engagement communautaire et de </w:t>
      </w:r>
      <w:r w:rsidR="00711903" w:rsidRPr="00325B7E">
        <w:rPr>
          <w:rFonts w:ascii="Arial" w:eastAsia="Arial" w:hAnsi="Arial" w:cs="Arial"/>
          <w:sz w:val="22"/>
          <w:szCs w:val="22"/>
          <w:bdr w:val="nil"/>
          <w:lang w:val="fr-FR"/>
        </w:rPr>
        <w:t>restitution</w:t>
      </w:r>
      <w:r w:rsidR="00FD3DDA">
        <w:rPr>
          <w:rFonts w:ascii="Arial" w:eastAsia="Arial" w:hAnsi="Arial" w:cs="Arial"/>
          <w:sz w:val="22"/>
          <w:szCs w:val="22"/>
          <w:bdr w:val="nil"/>
          <w:lang w:val="fr-FR"/>
        </w:rPr>
        <w:t> </w:t>
      </w:r>
      <w:r w:rsidR="00AC253E">
        <w:rPr>
          <w:rFonts w:ascii="Arial" w:eastAsia="Arial" w:hAnsi="Arial" w:cs="Arial"/>
          <w:sz w:val="22"/>
          <w:szCs w:val="22"/>
          <w:bdr w:val="nil"/>
          <w:lang w:val="fr-FR"/>
        </w:rPr>
        <w:t>; (2) l’élimination des coûts dans les centres de santé pour la cible</w:t>
      </w:r>
      <w:r w:rsidR="00FD3DDA">
        <w:rPr>
          <w:rFonts w:ascii="Arial" w:eastAsia="Arial" w:hAnsi="Arial" w:cs="Arial"/>
          <w:sz w:val="22"/>
          <w:szCs w:val="22"/>
          <w:bdr w:val="nil"/>
          <w:lang w:val="fr-FR"/>
        </w:rPr>
        <w:t> </w:t>
      </w:r>
      <w:r w:rsidRPr="00325B7E">
        <w:rPr>
          <w:rFonts w:ascii="Arial" w:eastAsia="Arial" w:hAnsi="Arial" w:cs="Arial"/>
          <w:sz w:val="22"/>
          <w:szCs w:val="22"/>
          <w:bdr w:val="nil"/>
          <w:lang w:val="fr-FR"/>
        </w:rPr>
        <w:t xml:space="preserve">; (3) </w:t>
      </w:r>
      <w:r w:rsidR="004F17D5" w:rsidRPr="00325B7E">
        <w:rPr>
          <w:rFonts w:ascii="Arial" w:eastAsia="Arial" w:hAnsi="Arial" w:cs="Arial"/>
          <w:sz w:val="22"/>
          <w:szCs w:val="22"/>
          <w:bdr w:val="nil"/>
          <w:lang w:val="fr-FR"/>
        </w:rPr>
        <w:t>des activités</w:t>
      </w:r>
      <w:r w:rsidR="00AC253E">
        <w:rPr>
          <w:rFonts w:ascii="Arial" w:eastAsia="Arial" w:hAnsi="Arial" w:cs="Arial"/>
          <w:sz w:val="22"/>
          <w:szCs w:val="22"/>
          <w:bdr w:val="nil"/>
          <w:lang w:val="fr-FR"/>
        </w:rPr>
        <w:t xml:space="preserve"> proactives</w:t>
      </w:r>
      <w:r w:rsidR="004F17D5" w:rsidRPr="00325B7E">
        <w:rPr>
          <w:rFonts w:ascii="Arial" w:eastAsia="Arial" w:hAnsi="Arial" w:cs="Arial"/>
          <w:sz w:val="22"/>
          <w:szCs w:val="22"/>
          <w:bdr w:val="nil"/>
          <w:lang w:val="fr-FR"/>
        </w:rPr>
        <w:t xml:space="preserve"> de PCIME-C utilisant</w:t>
      </w:r>
      <w:r w:rsidRPr="00325B7E">
        <w:rPr>
          <w:rFonts w:ascii="Arial" w:eastAsia="Arial" w:hAnsi="Arial" w:cs="Arial"/>
          <w:sz w:val="22"/>
          <w:szCs w:val="22"/>
          <w:bdr w:val="nil"/>
          <w:lang w:val="fr-FR"/>
        </w:rPr>
        <w:t xml:space="preserve"> d</w:t>
      </w:r>
      <w:r w:rsidR="004F17D5" w:rsidRPr="00325B7E">
        <w:rPr>
          <w:rFonts w:ascii="Arial" w:eastAsia="Arial" w:hAnsi="Arial" w:cs="Arial"/>
          <w:sz w:val="22"/>
          <w:szCs w:val="22"/>
          <w:bdr w:val="nil"/>
          <w:lang w:val="fr-FR"/>
        </w:rPr>
        <w:t xml:space="preserve">es </w:t>
      </w:r>
      <w:r w:rsidRPr="00325B7E">
        <w:rPr>
          <w:rFonts w:ascii="Arial" w:eastAsia="Arial" w:hAnsi="Arial" w:cs="Arial"/>
          <w:sz w:val="22"/>
          <w:szCs w:val="22"/>
          <w:bdr w:val="nil"/>
          <w:lang w:val="fr-FR"/>
        </w:rPr>
        <w:t>agents de santé communautaires (ASC</w:t>
      </w:r>
      <w:r w:rsidR="00AC253E">
        <w:rPr>
          <w:rFonts w:ascii="Arial" w:eastAsia="Arial" w:hAnsi="Arial" w:cs="Arial"/>
          <w:sz w:val="22"/>
          <w:szCs w:val="22"/>
          <w:bdr w:val="nil"/>
          <w:lang w:val="fr-FR"/>
        </w:rPr>
        <w:t>s</w:t>
      </w:r>
      <w:r w:rsidRPr="00325B7E">
        <w:rPr>
          <w:rFonts w:ascii="Arial" w:eastAsia="Arial" w:hAnsi="Arial" w:cs="Arial"/>
          <w:sz w:val="22"/>
          <w:szCs w:val="22"/>
          <w:bdr w:val="nil"/>
          <w:lang w:val="fr-FR"/>
        </w:rPr>
        <w:t xml:space="preserve">) avec des services supplémentaires comprenant la planification familiale, des dépistages du VIH et </w:t>
      </w:r>
      <w:r w:rsidR="004F17D5" w:rsidRPr="00325B7E">
        <w:rPr>
          <w:rFonts w:ascii="Arial" w:eastAsia="Arial" w:hAnsi="Arial" w:cs="Arial"/>
          <w:sz w:val="22"/>
          <w:szCs w:val="22"/>
          <w:bdr w:val="nil"/>
          <w:lang w:val="fr-FR"/>
        </w:rPr>
        <w:t>le référencement des cas</w:t>
      </w:r>
      <w:r w:rsidR="00FD3DDA">
        <w:rPr>
          <w:rFonts w:ascii="Arial" w:eastAsia="Arial" w:hAnsi="Arial" w:cs="Arial"/>
          <w:sz w:val="22"/>
          <w:szCs w:val="22"/>
          <w:bdr w:val="nil"/>
          <w:lang w:val="fr-FR"/>
        </w:rPr>
        <w:t> </w:t>
      </w:r>
      <w:r w:rsidRPr="00325B7E">
        <w:rPr>
          <w:rFonts w:ascii="Arial" w:eastAsia="Arial" w:hAnsi="Arial" w:cs="Arial"/>
          <w:sz w:val="22"/>
          <w:szCs w:val="22"/>
          <w:bdr w:val="nil"/>
          <w:lang w:val="fr-FR"/>
        </w:rPr>
        <w:t>; (4) un</w:t>
      </w:r>
      <w:r w:rsidR="004F17D5" w:rsidRPr="00325B7E">
        <w:rPr>
          <w:rFonts w:ascii="Arial" w:eastAsia="Arial" w:hAnsi="Arial" w:cs="Arial"/>
          <w:sz w:val="22"/>
          <w:szCs w:val="22"/>
          <w:bdr w:val="nil"/>
          <w:lang w:val="fr-FR"/>
        </w:rPr>
        <w:t xml:space="preserve"> mentorat </w:t>
      </w:r>
      <w:r w:rsidRPr="00325B7E">
        <w:rPr>
          <w:rFonts w:ascii="Arial" w:eastAsia="Arial" w:hAnsi="Arial" w:cs="Arial"/>
          <w:sz w:val="22"/>
          <w:szCs w:val="22"/>
          <w:bdr w:val="nil"/>
          <w:lang w:val="fr-FR"/>
        </w:rPr>
        <w:t xml:space="preserve">clinique et une supervision </w:t>
      </w:r>
      <w:r w:rsidR="00711903" w:rsidRPr="00325B7E">
        <w:rPr>
          <w:rFonts w:ascii="Arial" w:eastAsia="Arial" w:hAnsi="Arial" w:cs="Arial"/>
          <w:sz w:val="22"/>
          <w:szCs w:val="22"/>
          <w:bdr w:val="nil"/>
          <w:lang w:val="fr-FR"/>
        </w:rPr>
        <w:t xml:space="preserve">de soutien dans les </w:t>
      </w:r>
      <w:r w:rsidR="00711903" w:rsidRPr="00325B7E">
        <w:rPr>
          <w:rFonts w:ascii="Arial" w:eastAsia="Arial" w:hAnsi="Arial" w:cs="Arial"/>
          <w:sz w:val="22"/>
          <w:szCs w:val="22"/>
          <w:bdr w:val="nil"/>
          <w:lang w:val="fr-FR"/>
        </w:rPr>
        <w:lastRenderedPageBreak/>
        <w:t>formations sanitaires</w:t>
      </w:r>
      <w:r w:rsidRPr="00325B7E">
        <w:rPr>
          <w:rFonts w:ascii="Arial" w:eastAsia="Arial" w:hAnsi="Arial" w:cs="Arial"/>
          <w:sz w:val="22"/>
          <w:szCs w:val="22"/>
          <w:bdr w:val="nil"/>
          <w:lang w:val="fr-FR"/>
        </w:rPr>
        <w:t xml:space="preserve"> et (5) u</w:t>
      </w:r>
      <w:r w:rsidR="00711903" w:rsidRPr="00325B7E">
        <w:rPr>
          <w:rFonts w:ascii="Arial" w:eastAsia="Arial" w:hAnsi="Arial" w:cs="Arial"/>
          <w:sz w:val="22"/>
          <w:szCs w:val="22"/>
          <w:bdr w:val="nil"/>
          <w:lang w:val="fr-FR"/>
        </w:rPr>
        <w:t>n renforcement</w:t>
      </w:r>
      <w:r w:rsidRPr="00325B7E">
        <w:rPr>
          <w:rFonts w:ascii="Arial" w:eastAsia="Arial" w:hAnsi="Arial" w:cs="Arial"/>
          <w:sz w:val="22"/>
          <w:szCs w:val="22"/>
          <w:bdr w:val="nil"/>
          <w:lang w:val="fr-FR"/>
        </w:rPr>
        <w:t xml:space="preserve"> de la chaîne</w:t>
      </w:r>
      <w:r w:rsidR="00711903" w:rsidRPr="00325B7E">
        <w:rPr>
          <w:rFonts w:ascii="Arial" w:eastAsia="Arial" w:hAnsi="Arial" w:cs="Arial"/>
          <w:sz w:val="22"/>
          <w:szCs w:val="22"/>
          <w:bdr w:val="nil"/>
          <w:lang w:val="fr-FR"/>
        </w:rPr>
        <w:t xml:space="preserve"> d’approvisionnement</w:t>
      </w:r>
      <w:r w:rsidR="00E60186" w:rsidRPr="00325B7E">
        <w:rPr>
          <w:rFonts w:ascii="Arial" w:eastAsia="Arial" w:hAnsi="Arial" w:cs="Arial"/>
          <w:sz w:val="22"/>
          <w:szCs w:val="22"/>
          <w:bdr w:val="nil"/>
          <w:lang w:val="fr-FR"/>
        </w:rPr>
        <w:t xml:space="preserve"> </w:t>
      </w:r>
      <w:r w:rsidRPr="00325B7E">
        <w:rPr>
          <w:rFonts w:ascii="Arial" w:eastAsia="Arial" w:hAnsi="Arial" w:cs="Arial"/>
          <w:sz w:val="22"/>
          <w:szCs w:val="22"/>
          <w:bdr w:val="nil"/>
          <w:lang w:val="fr-FR"/>
        </w:rPr>
        <w:t xml:space="preserve">et </w:t>
      </w:r>
      <w:r w:rsidR="00EF5C18" w:rsidRPr="00325B7E">
        <w:rPr>
          <w:rFonts w:ascii="Arial" w:eastAsia="Arial" w:hAnsi="Arial" w:cs="Arial"/>
          <w:sz w:val="22"/>
          <w:szCs w:val="22"/>
          <w:bdr w:val="nil"/>
          <w:lang w:val="fr-FR"/>
        </w:rPr>
        <w:t>un</w:t>
      </w:r>
      <w:r w:rsidR="00AC253E">
        <w:rPr>
          <w:rFonts w:ascii="Arial" w:eastAsia="Arial" w:hAnsi="Arial" w:cs="Arial"/>
          <w:sz w:val="22"/>
          <w:szCs w:val="22"/>
          <w:bdr w:val="nil"/>
          <w:lang w:val="fr-FR"/>
        </w:rPr>
        <w:t>e</w:t>
      </w:r>
      <w:r w:rsidR="00EF5C18" w:rsidRPr="00325B7E">
        <w:rPr>
          <w:rFonts w:ascii="Arial" w:eastAsia="Arial" w:hAnsi="Arial" w:cs="Arial"/>
          <w:sz w:val="22"/>
          <w:szCs w:val="22"/>
          <w:bdr w:val="nil"/>
          <w:lang w:val="fr-FR"/>
        </w:rPr>
        <w:t xml:space="preserve"> amélioration d’</w:t>
      </w:r>
      <w:r w:rsidRPr="00325B7E">
        <w:rPr>
          <w:rFonts w:ascii="Arial" w:eastAsia="Arial" w:hAnsi="Arial" w:cs="Arial"/>
          <w:sz w:val="22"/>
          <w:szCs w:val="22"/>
          <w:bdr w:val="nil"/>
          <w:lang w:val="fr-FR"/>
        </w:rPr>
        <w:t xml:space="preserve">un structure des </w:t>
      </w:r>
      <w:r w:rsidR="00563657" w:rsidRPr="00325B7E">
        <w:rPr>
          <w:rFonts w:ascii="Arial" w:eastAsia="Arial" w:hAnsi="Arial" w:cs="Arial"/>
          <w:sz w:val="22"/>
          <w:szCs w:val="22"/>
          <w:bdr w:val="nil"/>
          <w:lang w:val="fr-FR"/>
        </w:rPr>
        <w:t>formations sanitaires</w:t>
      </w:r>
      <w:r w:rsidRPr="00325B7E">
        <w:rPr>
          <w:rFonts w:ascii="Arial" w:eastAsia="Arial" w:hAnsi="Arial" w:cs="Arial"/>
          <w:sz w:val="22"/>
          <w:szCs w:val="22"/>
          <w:bdr w:val="nil"/>
          <w:lang w:val="fr-FR"/>
        </w:rPr>
        <w:t>. À l’aide d’une étude pragmatique hybride de type II portant sur l’efficacit</w:t>
      </w:r>
      <w:r w:rsidR="00AC253E">
        <w:rPr>
          <w:rFonts w:ascii="Arial" w:eastAsia="Arial" w:hAnsi="Arial" w:cs="Arial"/>
          <w:sz w:val="22"/>
          <w:szCs w:val="22"/>
          <w:bdr w:val="nil"/>
          <w:lang w:val="fr-FR"/>
        </w:rPr>
        <w:t>é</w:t>
      </w:r>
      <w:r w:rsidR="0028564A" w:rsidRPr="00325B7E">
        <w:rPr>
          <w:rFonts w:ascii="Arial" w:eastAsia="Arial" w:hAnsi="Arial" w:cs="Arial"/>
          <w:sz w:val="22"/>
          <w:szCs w:val="22"/>
          <w:bdr w:val="nil"/>
          <w:lang w:val="fr-FR"/>
        </w:rPr>
        <w:t xml:space="preserve"> </w:t>
      </w:r>
      <w:r w:rsidRPr="00325B7E">
        <w:rPr>
          <w:rFonts w:ascii="Arial" w:eastAsia="Arial" w:hAnsi="Arial" w:cs="Arial"/>
          <w:sz w:val="22"/>
          <w:szCs w:val="22"/>
          <w:bdr w:val="nil"/>
          <w:lang w:val="fr-FR"/>
        </w:rPr>
        <w:t>de</w:t>
      </w:r>
      <w:r>
        <w:rPr>
          <w:rFonts w:ascii="Arial" w:eastAsia="Arial" w:hAnsi="Arial" w:cs="Arial"/>
          <w:sz w:val="22"/>
          <w:szCs w:val="22"/>
          <w:bdr w:val="nil"/>
          <w:lang w:val="fr-FR"/>
        </w:rPr>
        <w:t xml:space="preserve"> la mise en œuvre, nous allons évaluer l’initiative de </w:t>
      </w:r>
      <w:r w:rsidRPr="00FC4499">
        <w:rPr>
          <w:rFonts w:ascii="Arial" w:eastAsia="Arial" w:hAnsi="Arial" w:cs="Arial"/>
          <w:sz w:val="22"/>
          <w:szCs w:val="22"/>
          <w:bdr w:val="nil"/>
          <w:lang w:val="fr-FR"/>
        </w:rPr>
        <w:t>R</w:t>
      </w:r>
      <w:r w:rsidR="004F17D5" w:rsidRPr="00FC4499">
        <w:rPr>
          <w:rFonts w:ascii="Arial" w:eastAsia="Arial" w:hAnsi="Arial" w:cs="Arial"/>
          <w:sz w:val="22"/>
          <w:szCs w:val="22"/>
          <w:bdr w:val="nil"/>
          <w:lang w:val="fr-FR"/>
        </w:rPr>
        <w:t>SS</w:t>
      </w:r>
      <w:r w:rsidR="00563657" w:rsidRPr="00FC4499">
        <w:rPr>
          <w:rFonts w:ascii="Arial" w:eastAsia="Arial" w:hAnsi="Arial" w:cs="Arial"/>
          <w:sz w:val="22"/>
          <w:szCs w:val="22"/>
          <w:bdr w:val="nil"/>
          <w:lang w:val="fr-FR"/>
        </w:rPr>
        <w:t>B</w:t>
      </w:r>
      <w:r w:rsidR="004F17D5" w:rsidRPr="00FC4499">
        <w:rPr>
          <w:rFonts w:ascii="Arial" w:eastAsia="Arial" w:hAnsi="Arial" w:cs="Arial"/>
          <w:sz w:val="22"/>
          <w:szCs w:val="22"/>
          <w:bdr w:val="nil"/>
          <w:lang w:val="fr-FR"/>
        </w:rPr>
        <w:t>C</w:t>
      </w:r>
      <w:r w:rsidR="00AC253E">
        <w:rPr>
          <w:rFonts w:ascii="Arial" w:eastAsia="Arial" w:hAnsi="Arial" w:cs="Arial"/>
          <w:sz w:val="22"/>
          <w:szCs w:val="22"/>
          <w:bdr w:val="nil"/>
          <w:lang w:val="fr-FR"/>
        </w:rPr>
        <w:t xml:space="preserve"> par</w:t>
      </w:r>
      <w:r>
        <w:rPr>
          <w:rFonts w:ascii="Arial" w:eastAsia="Arial" w:hAnsi="Arial" w:cs="Arial"/>
          <w:sz w:val="22"/>
          <w:szCs w:val="22"/>
          <w:bdr w:val="nil"/>
          <w:lang w:val="fr-FR"/>
        </w:rPr>
        <w:t xml:space="preserve"> deux objectifs principaux : (1) déterminer l’efficacité à l’aide des variations des taux de mortalité chez les enfants âgés de moins de cinq ans et (2) évaluer la stratégie de mise en œuvre via des mesures de portée, d’adoption, de mise en œuvre et de maintien. Nous </w:t>
      </w:r>
      <w:r>
        <w:rPr>
          <w:rFonts w:ascii="Arial" w:eastAsia="Arial" w:hAnsi="Arial" w:cs="Arial"/>
          <w:sz w:val="22"/>
          <w:szCs w:val="22"/>
          <w:bdr w:val="nil"/>
          <w:shd w:val="clear" w:color="auto" w:fill="FFFFFF"/>
          <w:lang w:val="fr-FR"/>
        </w:rPr>
        <w:t xml:space="preserve">mènerons </w:t>
      </w:r>
      <w:r>
        <w:rPr>
          <w:rFonts w:ascii="Arial" w:eastAsia="Arial" w:hAnsi="Arial" w:cs="Arial"/>
          <w:color w:val="000000"/>
          <w:sz w:val="22"/>
          <w:szCs w:val="22"/>
          <w:bdr w:val="nil"/>
          <w:shd w:val="clear" w:color="auto" w:fill="FFFFFF"/>
          <w:lang w:val="fr-FR"/>
        </w:rPr>
        <w:t xml:space="preserve">une évaluation combinant </w:t>
      </w:r>
      <w:r w:rsidRPr="00FC4499">
        <w:rPr>
          <w:rFonts w:ascii="Arial" w:eastAsia="Arial" w:hAnsi="Arial" w:cs="Arial"/>
          <w:color w:val="000000"/>
          <w:sz w:val="22"/>
          <w:szCs w:val="22"/>
          <w:bdr w:val="nil"/>
          <w:shd w:val="clear" w:color="auto" w:fill="FFFFFF"/>
          <w:lang w:val="fr-FR"/>
        </w:rPr>
        <w:t xml:space="preserve">différentes méthodes en utilisant un cadre </w:t>
      </w:r>
      <w:r w:rsidR="003279EC" w:rsidRPr="00B95CE8">
        <w:rPr>
          <w:rFonts w:ascii="Arial" w:eastAsia="Arial" w:hAnsi="Arial" w:cs="Arial"/>
          <w:noProof/>
          <w:sz w:val="22"/>
          <w:szCs w:val="22"/>
          <w:bdr w:val="nil"/>
          <w:lang w:val="fr-FR"/>
        </w:rPr>
        <w:t>R</w:t>
      </w:r>
      <w:r w:rsidR="003279EC" w:rsidRPr="00FC4499">
        <w:rPr>
          <w:rFonts w:ascii="Arial" w:eastAsia="Arial" w:hAnsi="Arial" w:cs="Arial"/>
          <w:noProof/>
          <w:sz w:val="22"/>
          <w:szCs w:val="22"/>
          <w:bdr w:val="nil"/>
          <w:lang w:val="fr-FR"/>
        </w:rPr>
        <w:t>E-AIM</w:t>
      </w:r>
      <w:r w:rsidRPr="00FC4499">
        <w:rPr>
          <w:rFonts w:ascii="Arial" w:eastAsia="Arial" w:hAnsi="Arial" w:cs="Arial"/>
          <w:color w:val="000000"/>
          <w:sz w:val="22"/>
          <w:szCs w:val="22"/>
          <w:bdr w:val="nil"/>
          <w:shd w:val="clear" w:color="auto" w:fill="FFFFFF"/>
          <w:lang w:val="fr-FR"/>
        </w:rPr>
        <w:t xml:space="preserve"> (portée, efficacité, adoption, mise en œuvre, maintien).</w:t>
      </w:r>
      <w:r>
        <w:rPr>
          <w:rFonts w:ascii="Arial" w:eastAsia="Arial" w:hAnsi="Arial" w:cs="Arial"/>
          <w:color w:val="000000"/>
          <w:sz w:val="22"/>
          <w:szCs w:val="22"/>
          <w:bdr w:val="nil"/>
          <w:shd w:val="clear" w:color="auto" w:fill="FFFFFF"/>
          <w:lang w:val="fr-FR"/>
        </w:rPr>
        <w:t xml:space="preserve"> Cette évaluation consiste en quatre éléments : </w:t>
      </w:r>
      <w:r w:rsidRPr="001704B5">
        <w:rPr>
          <w:rFonts w:ascii="Arial" w:eastAsia="Arial" w:hAnsi="Arial" w:cs="Arial"/>
          <w:color w:val="000000"/>
          <w:sz w:val="22"/>
          <w:szCs w:val="22"/>
          <w:bdr w:val="nil"/>
          <w:shd w:val="clear" w:color="auto" w:fill="FFFFFF"/>
          <w:lang w:val="fr-FR"/>
        </w:rPr>
        <w:t>(1)</w:t>
      </w:r>
      <w:r w:rsidR="00E60186" w:rsidRPr="001704B5">
        <w:rPr>
          <w:rFonts w:ascii="Arial" w:hAnsi="Arial" w:cs="Arial"/>
          <w:color w:val="000000" w:themeColor="text1"/>
          <w:sz w:val="22"/>
          <w:szCs w:val="22"/>
          <w:lang w:val="fr-FR"/>
        </w:rPr>
        <w:t xml:space="preserve"> </w:t>
      </w:r>
      <w:bookmarkStart w:id="1" w:name="_Hlk17989220"/>
      <w:r w:rsidR="00AF19A9" w:rsidRPr="00B469A5">
        <w:rPr>
          <w:rFonts w:ascii="Arial" w:hAnsi="Arial" w:cs="Arial"/>
          <w:color w:val="000000" w:themeColor="text1"/>
          <w:sz w:val="22"/>
          <w:szCs w:val="22"/>
          <w:lang w:val="fr-FR"/>
        </w:rPr>
        <w:t xml:space="preserve">une étude randomisée en grappes avec permutation séquentielle </w:t>
      </w:r>
      <w:r w:rsidR="00A72B4C" w:rsidRPr="00A72B4C">
        <w:rPr>
          <w:rFonts w:ascii="Arial" w:eastAsia="Arial" w:hAnsi="Arial" w:cs="Arial"/>
          <w:color w:val="000000"/>
          <w:sz w:val="22"/>
          <w:szCs w:val="22"/>
          <w:bdr w:val="nil"/>
          <w:lang w:val="fr-FR"/>
        </w:rPr>
        <w:t>(</w:t>
      </w:r>
      <w:r w:rsidR="00A72B4C" w:rsidRPr="00A72B4C">
        <w:rPr>
          <w:rFonts w:ascii="Arial" w:hAnsi="Arial" w:cs="Arial"/>
          <w:color w:val="000000" w:themeColor="text1"/>
          <w:sz w:val="22"/>
          <w:szCs w:val="22"/>
          <w:lang w:val="fr-FR"/>
        </w:rPr>
        <w:t>Stepped-wedge cluster randomized trial</w:t>
      </w:r>
      <w:r w:rsidR="00A72B4C" w:rsidRPr="00A72B4C">
        <w:rPr>
          <w:rFonts w:ascii="Arial" w:eastAsia="Arial" w:hAnsi="Arial" w:cs="Arial"/>
          <w:sz w:val="22"/>
          <w:szCs w:val="22"/>
          <w:bdr w:val="nil"/>
          <w:lang w:val="fr-FR"/>
        </w:rPr>
        <w:t xml:space="preserve">, </w:t>
      </w:r>
      <w:r w:rsidR="00A72B4C" w:rsidRPr="00A72B4C">
        <w:rPr>
          <w:rFonts w:ascii="Arial" w:hAnsi="Arial" w:cs="Arial"/>
          <w:color w:val="000000" w:themeColor="text1"/>
          <w:sz w:val="22"/>
          <w:szCs w:val="22"/>
          <w:lang w:val="fr-FR"/>
        </w:rPr>
        <w:t>SW-CRT</w:t>
      </w:r>
      <w:r w:rsidR="00A72B4C" w:rsidRPr="001704B5">
        <w:rPr>
          <w:rFonts w:ascii="Arial" w:eastAsia="Arial" w:hAnsi="Arial" w:cs="Arial"/>
          <w:i/>
          <w:iCs/>
          <w:sz w:val="22"/>
          <w:szCs w:val="22"/>
          <w:bdr w:val="nil"/>
          <w:lang w:val="fr-FR"/>
        </w:rPr>
        <w:t>)</w:t>
      </w:r>
      <w:r w:rsidR="00A72B4C">
        <w:rPr>
          <w:rFonts w:ascii="Arial" w:eastAsia="Arial" w:hAnsi="Arial" w:cs="Arial"/>
          <w:i/>
          <w:iCs/>
          <w:sz w:val="22"/>
          <w:szCs w:val="22"/>
          <w:bdr w:val="nil"/>
          <w:lang w:val="fr-FR"/>
        </w:rPr>
        <w:t xml:space="preserve"> </w:t>
      </w:r>
      <w:bookmarkEnd w:id="1"/>
      <w:r>
        <w:rPr>
          <w:rFonts w:ascii="Arial" w:eastAsia="Arial" w:hAnsi="Arial" w:cs="Arial"/>
          <w:color w:val="000000"/>
          <w:sz w:val="22"/>
          <w:szCs w:val="22"/>
          <w:bdr w:val="nil"/>
          <w:shd w:val="clear" w:color="auto" w:fill="FFFFFF"/>
          <w:lang w:val="fr-FR"/>
        </w:rPr>
        <w:t xml:space="preserve">utilisant une enquête communautaire auprès des ménages, (2) des évaluations annuelles des </w:t>
      </w:r>
      <w:r w:rsidR="00563657">
        <w:rPr>
          <w:rFonts w:ascii="Arial" w:eastAsia="Arial" w:hAnsi="Arial" w:cs="Arial"/>
          <w:color w:val="000000"/>
          <w:sz w:val="22"/>
          <w:szCs w:val="22"/>
          <w:bdr w:val="nil"/>
          <w:shd w:val="clear" w:color="auto" w:fill="FFFFFF"/>
          <w:lang w:val="fr-FR"/>
        </w:rPr>
        <w:t xml:space="preserve">formations </w:t>
      </w:r>
      <w:r w:rsidR="00AF19A9">
        <w:rPr>
          <w:rFonts w:ascii="Arial" w:eastAsia="Arial" w:hAnsi="Arial" w:cs="Arial"/>
          <w:color w:val="000000"/>
          <w:sz w:val="22"/>
          <w:szCs w:val="22"/>
          <w:bdr w:val="nil"/>
          <w:shd w:val="clear" w:color="auto" w:fill="FFFFFF"/>
          <w:lang w:val="fr-FR"/>
        </w:rPr>
        <w:t>sanitaires</w:t>
      </w:r>
      <w:r>
        <w:rPr>
          <w:rFonts w:ascii="Arial" w:eastAsia="Arial" w:hAnsi="Arial" w:cs="Arial"/>
          <w:color w:val="000000"/>
          <w:sz w:val="22"/>
          <w:szCs w:val="22"/>
          <w:bdr w:val="nil"/>
          <w:shd w:val="clear" w:color="auto" w:fill="FFFFFF"/>
          <w:lang w:val="fr-FR"/>
        </w:rPr>
        <w:t xml:space="preserve">, (3) des entretiens avec </w:t>
      </w:r>
      <w:r w:rsidRPr="008F632C">
        <w:rPr>
          <w:rFonts w:ascii="Arial" w:eastAsia="Arial" w:hAnsi="Arial" w:cs="Arial"/>
          <w:color w:val="000000"/>
          <w:sz w:val="22"/>
          <w:szCs w:val="22"/>
          <w:bdr w:val="nil"/>
          <w:shd w:val="clear" w:color="auto" w:fill="FFFFFF"/>
          <w:lang w:val="fr-FR"/>
        </w:rPr>
        <w:t>les informateurs clés</w:t>
      </w:r>
      <w:r>
        <w:rPr>
          <w:rFonts w:ascii="Arial" w:eastAsia="Arial" w:hAnsi="Arial" w:cs="Arial"/>
          <w:color w:val="000000"/>
          <w:sz w:val="22"/>
          <w:szCs w:val="22"/>
          <w:bdr w:val="nil"/>
          <w:shd w:val="clear" w:color="auto" w:fill="FFFFFF"/>
          <w:lang w:val="fr-FR"/>
        </w:rPr>
        <w:t xml:space="preserve"> et (4) des évaluations du coût et du retour sur investissement pour chaque groupe randomisé.</w:t>
      </w:r>
    </w:p>
    <w:p w:rsidR="001C0DEE" w:rsidRDefault="001C0DEE">
      <w:pPr>
        <w:pStyle w:val="NoSpacing"/>
        <w:rPr>
          <w:rFonts w:ascii="Arial" w:hAnsi="Arial" w:cs="Arial"/>
          <w:sz w:val="22"/>
          <w:szCs w:val="22"/>
          <w:lang w:val="fr-FR"/>
        </w:rPr>
      </w:pPr>
    </w:p>
    <w:p w:rsidR="001C0DEE" w:rsidRDefault="00767532">
      <w:pPr>
        <w:pStyle w:val="NoSpacing"/>
        <w:rPr>
          <w:rFonts w:ascii="Arial" w:hAnsi="Arial" w:cs="Arial"/>
          <w:sz w:val="22"/>
          <w:szCs w:val="22"/>
          <w:lang w:val="es-US"/>
        </w:rPr>
      </w:pPr>
      <w:r>
        <w:rPr>
          <w:rFonts w:ascii="Arial" w:eastAsia="Arial" w:hAnsi="Arial" w:cs="Arial"/>
          <w:b/>
          <w:bCs/>
          <w:sz w:val="22"/>
          <w:szCs w:val="22"/>
          <w:bdr w:val="nil"/>
          <w:lang w:val="fr-FR"/>
        </w:rPr>
        <w:t>Discussion :</w:t>
      </w:r>
      <w:r>
        <w:rPr>
          <w:rFonts w:ascii="Arial" w:eastAsia="Arial" w:hAnsi="Arial" w:cs="Arial"/>
          <w:sz w:val="22"/>
          <w:szCs w:val="22"/>
          <w:bdr w:val="nil"/>
          <w:lang w:val="fr-FR"/>
        </w:rPr>
        <w:t xml:space="preserve"> notre recherche a pour objectif de contribuer à l’amélioration constante de la qualité des initiatives, d’optimiser les facteurs de mise en œuvre, de fournir des connaissances en matière de prestation de services de santé et d’accélérer l’amélioration des systèmes sanitaires au Togo et de manière plus générale. </w:t>
      </w:r>
    </w:p>
    <w:p w:rsidR="001C0DEE" w:rsidRDefault="001C0DEE">
      <w:pPr>
        <w:pStyle w:val="NoSpacing"/>
        <w:rPr>
          <w:rFonts w:ascii="Arial" w:hAnsi="Arial" w:cs="Arial"/>
          <w:sz w:val="22"/>
          <w:szCs w:val="22"/>
          <w:lang w:val="es-US"/>
        </w:rPr>
      </w:pPr>
    </w:p>
    <w:p w:rsidR="001C0DEE" w:rsidRDefault="00767532">
      <w:pPr>
        <w:rPr>
          <w:lang w:val="es-US"/>
        </w:rPr>
      </w:pPr>
      <w:r>
        <w:rPr>
          <w:rFonts w:ascii="Arial" w:eastAsia="Arial" w:hAnsi="Arial" w:cs="Arial"/>
          <w:b/>
          <w:bCs/>
          <w:sz w:val="22"/>
          <w:szCs w:val="22"/>
          <w:bdr w:val="nil"/>
          <w:lang w:val="fr-FR"/>
        </w:rPr>
        <w:t>Enregistrement de l’essai :</w:t>
      </w:r>
      <w:r>
        <w:rPr>
          <w:rFonts w:ascii="Arial" w:eastAsia="Arial" w:hAnsi="Arial" w:cs="Arial"/>
          <w:sz w:val="22"/>
          <w:szCs w:val="22"/>
          <w:bdr w:val="nil"/>
          <w:lang w:val="fr-FR"/>
        </w:rPr>
        <w:t xml:space="preserve"> </w:t>
      </w:r>
      <w:bookmarkStart w:id="2" w:name="_Hlk17729561"/>
      <w:r>
        <w:rPr>
          <w:rFonts w:ascii="Arial" w:eastAsia="Arial" w:hAnsi="Arial" w:cs="Arial"/>
          <w:sz w:val="22"/>
          <w:szCs w:val="22"/>
          <w:bdr w:val="nil"/>
          <w:shd w:val="clear" w:color="auto" w:fill="FFFFFF"/>
          <w:lang w:val="fr-FR"/>
        </w:rPr>
        <w:t>ClinicalTrials.gov Identifiant : NCT03694366</w:t>
      </w:r>
      <w:bookmarkEnd w:id="2"/>
      <w:r>
        <w:rPr>
          <w:rFonts w:ascii="Arial" w:eastAsia="Arial" w:hAnsi="Arial" w:cs="Arial"/>
          <w:sz w:val="22"/>
          <w:szCs w:val="22"/>
          <w:bdr w:val="nil"/>
          <w:lang w:val="fr-FR"/>
        </w:rPr>
        <w:t>,</w:t>
      </w:r>
      <w:r>
        <w:rPr>
          <w:rFonts w:ascii="Arial" w:eastAsia="Arial" w:hAnsi="Arial" w:cs="Arial"/>
          <w:sz w:val="22"/>
          <w:szCs w:val="22"/>
          <w:bdr w:val="nil"/>
          <w:shd w:val="clear" w:color="auto" w:fill="FFFFFF"/>
          <w:lang w:val="fr-FR"/>
        </w:rPr>
        <w:t xml:space="preserve"> enregistré le 3 octobre 2018,</w:t>
      </w:r>
      <w:hyperlink r:id="rId16" w:history="1">
        <w:r w:rsidR="00FD3DDA">
          <w:rPr>
            <w:rFonts w:ascii="Arial" w:eastAsia="Arial" w:hAnsi="Arial" w:cs="Arial"/>
            <w:color w:val="0563C1"/>
            <w:sz w:val="22"/>
            <w:szCs w:val="22"/>
            <w:u w:val="single"/>
            <w:bdr w:val="nil"/>
            <w:lang w:val="fr-FR"/>
          </w:rPr>
          <w:t xml:space="preserve"> </w:t>
        </w:r>
        <w:r>
          <w:rPr>
            <w:rFonts w:ascii="Arial" w:eastAsia="Arial" w:hAnsi="Arial" w:cs="Arial"/>
            <w:color w:val="0563C1"/>
            <w:sz w:val="22"/>
            <w:szCs w:val="22"/>
            <w:u w:val="single"/>
            <w:bdr w:val="nil"/>
            <w:lang w:val="fr-FR"/>
          </w:rPr>
          <w:t>https</w:t>
        </w:r>
        <w:r w:rsidR="00FD3DDA">
          <w:rPr>
            <w:rFonts w:ascii="Arial" w:eastAsia="Arial" w:hAnsi="Arial" w:cs="Arial"/>
            <w:color w:val="0563C1"/>
            <w:sz w:val="22"/>
            <w:szCs w:val="22"/>
            <w:u w:val="single"/>
            <w:bdr w:val="nil"/>
            <w:lang w:val="fr-FR"/>
          </w:rPr>
          <w:t xml:space="preserve"> : </w:t>
        </w:r>
        <w:r>
          <w:rPr>
            <w:rFonts w:ascii="Arial" w:eastAsia="Arial" w:hAnsi="Arial" w:cs="Arial"/>
            <w:color w:val="0563C1"/>
            <w:sz w:val="22"/>
            <w:szCs w:val="22"/>
            <w:u w:val="single"/>
            <w:bdr w:val="nil"/>
            <w:lang w:val="fr-FR"/>
          </w:rPr>
          <w:t>//clinicaltrials.gov/ct2/show/NCT03694366?term=NCT03694366&amp;rank=1</w:t>
        </w:r>
      </w:hyperlink>
    </w:p>
    <w:p w:rsidR="001C0DEE" w:rsidRDefault="001C0DEE">
      <w:pPr>
        <w:pStyle w:val="NoSpacing"/>
        <w:rPr>
          <w:rFonts w:ascii="Arial" w:hAnsi="Arial" w:cs="Arial"/>
          <w:b/>
          <w:sz w:val="22"/>
          <w:szCs w:val="22"/>
          <w:lang w:val="es-US"/>
        </w:rPr>
      </w:pPr>
    </w:p>
    <w:p w:rsidR="001C0DEE" w:rsidRPr="00B95CE8" w:rsidRDefault="00767532">
      <w:pPr>
        <w:pStyle w:val="NoSpacing"/>
        <w:rPr>
          <w:rFonts w:ascii="Arial" w:hAnsi="Arial" w:cs="Arial"/>
          <w:sz w:val="22"/>
          <w:szCs w:val="22"/>
          <w:lang w:val="es-US"/>
        </w:rPr>
      </w:pPr>
      <w:r w:rsidRPr="00B95CE8">
        <w:rPr>
          <w:rFonts w:ascii="Arial" w:eastAsia="Arial" w:hAnsi="Arial" w:cs="Arial"/>
          <w:b/>
          <w:bCs/>
          <w:sz w:val="22"/>
          <w:szCs w:val="22"/>
          <w:bdr w:val="nil"/>
          <w:lang w:val="fr-FR"/>
        </w:rPr>
        <w:t>Mots clés :</w:t>
      </w:r>
      <w:r w:rsidRPr="00B95CE8">
        <w:rPr>
          <w:rFonts w:ascii="Arial" w:eastAsia="Arial" w:hAnsi="Arial" w:cs="Arial"/>
          <w:sz w:val="22"/>
          <w:szCs w:val="22"/>
          <w:bdr w:val="nil"/>
          <w:lang w:val="fr-FR"/>
        </w:rPr>
        <w:t xml:space="preserve"> reproduction, maternel, santé infantile</w:t>
      </w:r>
      <w:r w:rsidR="00FD3DDA">
        <w:rPr>
          <w:rFonts w:ascii="Arial" w:eastAsia="Arial" w:hAnsi="Arial" w:cs="Arial"/>
          <w:sz w:val="22"/>
          <w:szCs w:val="22"/>
          <w:bdr w:val="nil"/>
          <w:lang w:val="fr-FR"/>
        </w:rPr>
        <w:t> </w:t>
      </w:r>
      <w:r w:rsidRPr="00B95CE8">
        <w:rPr>
          <w:rFonts w:ascii="Arial" w:eastAsia="Arial" w:hAnsi="Arial" w:cs="Arial"/>
          <w:sz w:val="22"/>
          <w:szCs w:val="22"/>
          <w:bdr w:val="nil"/>
          <w:lang w:val="fr-FR"/>
        </w:rPr>
        <w:t xml:space="preserve">; </w:t>
      </w:r>
      <w:r w:rsidR="0091671F" w:rsidRPr="00B95CE8">
        <w:rPr>
          <w:rFonts w:ascii="Arial" w:eastAsia="Arial" w:hAnsi="Arial" w:cs="Arial"/>
          <w:sz w:val="22"/>
          <w:szCs w:val="22"/>
          <w:bdr w:val="nil"/>
          <w:lang w:val="fr-FR"/>
        </w:rPr>
        <w:t>RE</w:t>
      </w:r>
      <w:r w:rsidR="00FC4499" w:rsidRPr="00B95CE8">
        <w:rPr>
          <w:rFonts w:ascii="Arial" w:eastAsia="Arial" w:hAnsi="Arial" w:cs="Arial"/>
          <w:sz w:val="22"/>
          <w:szCs w:val="22"/>
          <w:bdr w:val="nil"/>
          <w:lang w:val="fr-FR"/>
        </w:rPr>
        <w:t>-</w:t>
      </w:r>
      <w:r w:rsidR="0091671F" w:rsidRPr="00B95CE8">
        <w:rPr>
          <w:rFonts w:ascii="Arial" w:eastAsia="Arial" w:hAnsi="Arial" w:cs="Arial"/>
          <w:sz w:val="22"/>
          <w:szCs w:val="22"/>
          <w:bdr w:val="nil"/>
          <w:lang w:val="fr-FR"/>
        </w:rPr>
        <w:t>AIM</w:t>
      </w:r>
      <w:r w:rsidRPr="00B95CE8">
        <w:rPr>
          <w:rFonts w:ascii="Arial" w:eastAsia="Arial" w:hAnsi="Arial" w:cs="Arial"/>
          <w:sz w:val="22"/>
          <w:szCs w:val="22"/>
          <w:bdr w:val="nil"/>
          <w:lang w:val="fr-FR"/>
        </w:rPr>
        <w:t xml:space="preserve">, systèmes de santé, agents de santé communautaires, supervision de soutien, </w:t>
      </w:r>
      <w:r w:rsidR="00452E0D" w:rsidRPr="00B95CE8">
        <w:rPr>
          <w:rFonts w:ascii="Arial" w:eastAsia="Arial" w:hAnsi="Arial" w:cs="Arial"/>
          <w:sz w:val="22"/>
          <w:szCs w:val="22"/>
          <w:bdr w:val="nil"/>
          <w:lang w:val="fr-FR"/>
        </w:rPr>
        <w:t>PCIME</w:t>
      </w:r>
      <w:r w:rsidRPr="00B95CE8">
        <w:rPr>
          <w:rFonts w:ascii="Arial" w:eastAsia="Arial" w:hAnsi="Arial" w:cs="Arial"/>
          <w:sz w:val="22"/>
          <w:szCs w:val="22"/>
          <w:bdr w:val="nil"/>
          <w:lang w:val="fr-FR"/>
        </w:rPr>
        <w:t xml:space="preserve">, </w:t>
      </w:r>
      <w:r w:rsidR="002157ED" w:rsidRPr="00B95CE8">
        <w:rPr>
          <w:rFonts w:ascii="Arial" w:eastAsia="Arial" w:hAnsi="Arial" w:cs="Arial"/>
          <w:sz w:val="22"/>
          <w:szCs w:val="22"/>
          <w:bdr w:val="nil"/>
          <w:lang w:val="fr-FR"/>
        </w:rPr>
        <w:t>PCIME-</w:t>
      </w:r>
      <w:r w:rsidRPr="00B95CE8">
        <w:rPr>
          <w:rFonts w:ascii="Arial" w:eastAsia="Arial" w:hAnsi="Arial" w:cs="Arial"/>
          <w:sz w:val="22"/>
          <w:szCs w:val="22"/>
          <w:bdr w:val="nil"/>
          <w:lang w:val="fr-FR"/>
        </w:rPr>
        <w:t>C, Togo</w:t>
      </w:r>
    </w:p>
    <w:p w:rsidR="001C0DEE" w:rsidRDefault="001C0DEE">
      <w:pPr>
        <w:pStyle w:val="NoSpacing"/>
        <w:rPr>
          <w:rFonts w:ascii="Arial" w:hAnsi="Arial" w:cs="Arial"/>
          <w:sz w:val="22"/>
          <w:szCs w:val="22"/>
          <w:lang w:val="es-US"/>
        </w:rPr>
      </w:pPr>
    </w:p>
    <w:p w:rsidR="001C0DEE" w:rsidRDefault="001C0DEE">
      <w:pPr>
        <w:pStyle w:val="NoSpacing"/>
        <w:rPr>
          <w:rFonts w:ascii="Arial" w:hAnsi="Arial" w:cs="Arial"/>
          <w:b/>
          <w:sz w:val="22"/>
          <w:szCs w:val="22"/>
          <w:lang w:val="es-US"/>
        </w:rPr>
      </w:pPr>
    </w:p>
    <w:p w:rsidR="00E60186" w:rsidRDefault="00E60186">
      <w:pPr>
        <w:pStyle w:val="NoSpacing"/>
        <w:outlineLvl w:val="0"/>
        <w:rPr>
          <w:rFonts w:ascii="Arial" w:eastAsia="Arial" w:hAnsi="Arial" w:cs="Arial"/>
          <w:b/>
          <w:bCs/>
          <w:sz w:val="22"/>
          <w:szCs w:val="22"/>
          <w:bdr w:val="nil"/>
          <w:lang w:val="fr-FR"/>
        </w:rPr>
      </w:pPr>
    </w:p>
    <w:p w:rsidR="001C0DEE" w:rsidRDefault="00767532">
      <w:pPr>
        <w:pStyle w:val="NoSpacing"/>
        <w:outlineLvl w:val="0"/>
        <w:rPr>
          <w:rFonts w:ascii="Arial" w:hAnsi="Arial" w:cs="Arial"/>
          <w:b/>
          <w:sz w:val="22"/>
          <w:szCs w:val="22"/>
        </w:rPr>
      </w:pPr>
      <w:r>
        <w:rPr>
          <w:rFonts w:ascii="Arial" w:eastAsia="Arial" w:hAnsi="Arial" w:cs="Arial"/>
          <w:b/>
          <w:bCs/>
          <w:sz w:val="22"/>
          <w:szCs w:val="22"/>
          <w:bdr w:val="nil"/>
          <w:lang w:val="fr-FR"/>
        </w:rPr>
        <w:lastRenderedPageBreak/>
        <w:t>Contribution à la littérature</w:t>
      </w:r>
    </w:p>
    <w:p w:rsidR="001C0DEE" w:rsidRDefault="00767532">
      <w:pPr>
        <w:pStyle w:val="NoSpacing"/>
        <w:numPr>
          <w:ilvl w:val="0"/>
          <w:numId w:val="43"/>
        </w:numPr>
        <w:rPr>
          <w:rFonts w:ascii="Arial" w:hAnsi="Arial" w:cs="Arial"/>
          <w:sz w:val="22"/>
          <w:szCs w:val="22"/>
          <w:lang w:val="es-US"/>
        </w:rPr>
      </w:pPr>
      <w:r>
        <w:rPr>
          <w:rFonts w:ascii="Arial" w:eastAsia="Arial" w:hAnsi="Arial" w:cs="Arial"/>
          <w:sz w:val="22"/>
          <w:szCs w:val="22"/>
          <w:bdr w:val="nil"/>
          <w:lang w:val="fr-FR"/>
        </w:rPr>
        <w:t xml:space="preserve">Ce protocole présente la manière d’utiliser les méthodologies scientifiques de </w:t>
      </w:r>
      <w:r w:rsidR="00C24D86">
        <w:rPr>
          <w:rFonts w:ascii="Arial" w:eastAsia="Arial" w:hAnsi="Arial" w:cs="Arial"/>
          <w:sz w:val="22"/>
          <w:szCs w:val="22"/>
          <w:bdr w:val="nil"/>
          <w:lang w:val="fr-FR"/>
        </w:rPr>
        <w:t xml:space="preserve">la </w:t>
      </w:r>
      <w:r>
        <w:rPr>
          <w:rFonts w:ascii="Arial" w:eastAsia="Arial" w:hAnsi="Arial" w:cs="Arial"/>
          <w:sz w:val="22"/>
          <w:szCs w:val="22"/>
          <w:bdr w:val="nil"/>
          <w:lang w:val="fr-FR"/>
        </w:rPr>
        <w:t>mise en œuvre pour conduire un essai pragmatique dans un contexte de faibles revenus de façon à améliorer la prestat</w:t>
      </w:r>
      <w:r w:rsidR="00CF4687">
        <w:rPr>
          <w:rFonts w:ascii="Arial" w:eastAsia="Arial" w:hAnsi="Arial" w:cs="Arial"/>
          <w:sz w:val="22"/>
          <w:szCs w:val="22"/>
          <w:bdr w:val="nil"/>
          <w:lang w:val="fr-FR"/>
        </w:rPr>
        <w:t xml:space="preserve">ion de services sanitaires et à </w:t>
      </w:r>
      <w:r>
        <w:rPr>
          <w:rFonts w:ascii="Arial" w:eastAsia="Arial" w:hAnsi="Arial" w:cs="Arial"/>
          <w:sz w:val="22"/>
          <w:szCs w:val="22"/>
          <w:bdr w:val="nil"/>
          <w:lang w:val="fr-FR"/>
        </w:rPr>
        <w:t xml:space="preserve">appliquer les conclusions dans la pratique. </w:t>
      </w:r>
    </w:p>
    <w:p w:rsidR="001C0DEE" w:rsidRDefault="002574B6">
      <w:pPr>
        <w:pStyle w:val="NoSpacing"/>
        <w:numPr>
          <w:ilvl w:val="0"/>
          <w:numId w:val="43"/>
        </w:numPr>
        <w:rPr>
          <w:rFonts w:ascii="Arial" w:hAnsi="Arial" w:cs="Arial"/>
          <w:sz w:val="22"/>
          <w:szCs w:val="22"/>
          <w:lang w:val="fr-FR"/>
        </w:rPr>
      </w:pPr>
      <w:r>
        <w:rPr>
          <w:rFonts w:ascii="Arial" w:eastAsia="Arial" w:hAnsi="Arial" w:cs="Arial"/>
          <w:sz w:val="22"/>
          <w:szCs w:val="22"/>
          <w:bdr w:val="nil"/>
          <w:lang w:val="fr-FR"/>
        </w:rPr>
        <w:t xml:space="preserve">Il fournit un modèle de </w:t>
      </w:r>
      <w:r w:rsidR="00767532">
        <w:rPr>
          <w:rFonts w:ascii="Arial" w:eastAsia="Arial" w:hAnsi="Arial" w:cs="Arial"/>
          <w:sz w:val="22"/>
          <w:szCs w:val="22"/>
          <w:bdr w:val="nil"/>
          <w:lang w:val="fr-FR"/>
        </w:rPr>
        <w:t xml:space="preserve">recherche sur la mise en œuvre intégrée dans le domaine des prestations de services du secteur public afin de faciliter la recherche fondée sur la demande et l’adoption des conclusions scientifiques dans la mise en œuvre de la politique. Une collaboration étroite et une appropriation parmi les praticiens, les décideurs politiques et les chercheurs sont cruciales afin d’aborder les questions de recherche pour un changement politique de valeur empirique dans les communautés locales. </w:t>
      </w:r>
    </w:p>
    <w:p w:rsidR="001C0DEE" w:rsidRDefault="00767532">
      <w:pPr>
        <w:pStyle w:val="NoSpacing"/>
        <w:numPr>
          <w:ilvl w:val="0"/>
          <w:numId w:val="43"/>
        </w:numPr>
        <w:rPr>
          <w:rFonts w:ascii="Arial" w:hAnsi="Arial" w:cs="Arial"/>
          <w:sz w:val="22"/>
          <w:szCs w:val="22"/>
          <w:lang w:val="fr-FR"/>
        </w:rPr>
      </w:pPr>
      <w:r>
        <w:rPr>
          <w:rFonts w:ascii="Arial" w:eastAsia="Arial" w:hAnsi="Arial" w:cs="Arial"/>
          <w:sz w:val="22"/>
          <w:szCs w:val="22"/>
          <w:bdr w:val="nil"/>
          <w:lang w:val="fr-FR"/>
        </w:rPr>
        <w:t>Cette étude évaluera l’efficacité et la stratégie de mise en œuvre d’une initiati</w:t>
      </w:r>
      <w:r w:rsidR="005F6475">
        <w:rPr>
          <w:rFonts w:ascii="Arial" w:eastAsia="Arial" w:hAnsi="Arial" w:cs="Arial"/>
          <w:sz w:val="22"/>
          <w:szCs w:val="22"/>
          <w:bdr w:val="nil"/>
          <w:lang w:val="fr-FR"/>
        </w:rPr>
        <w:t>ve communautaire et clinique</w:t>
      </w:r>
      <w:r>
        <w:rPr>
          <w:rFonts w:ascii="Arial" w:eastAsia="Arial" w:hAnsi="Arial" w:cs="Arial"/>
          <w:sz w:val="22"/>
          <w:szCs w:val="22"/>
          <w:bdr w:val="nil"/>
          <w:lang w:val="fr-FR"/>
        </w:rPr>
        <w:t xml:space="preserve"> intégrée dans le cadre d’un système de santé à faible revenu et vise à fournir des preuves aux décideurs politiques pouvant être généralisées afin d’aider à la prise de décisions nationales en matière de stratégie de santé communautaire.</w:t>
      </w:r>
    </w:p>
    <w:p w:rsidR="001C0DEE" w:rsidRDefault="001C0DEE">
      <w:pPr>
        <w:pStyle w:val="NoSpacing"/>
        <w:rPr>
          <w:rFonts w:ascii="Arial" w:hAnsi="Arial" w:cs="Arial"/>
          <w:b/>
          <w:sz w:val="22"/>
          <w:szCs w:val="22"/>
          <w:lang w:val="fr-FR"/>
        </w:rPr>
      </w:pPr>
    </w:p>
    <w:p w:rsidR="001C0DEE" w:rsidRDefault="001C0DEE">
      <w:pPr>
        <w:pStyle w:val="NoSpacing"/>
        <w:rPr>
          <w:rFonts w:ascii="Arial" w:hAnsi="Arial" w:cs="Arial"/>
          <w:b/>
          <w:sz w:val="22"/>
          <w:szCs w:val="22"/>
          <w:lang w:val="fr-FR"/>
        </w:rPr>
      </w:pPr>
    </w:p>
    <w:p w:rsidR="001C0DEE" w:rsidRDefault="001C0DEE">
      <w:pPr>
        <w:pStyle w:val="NoSpacing"/>
        <w:rPr>
          <w:rFonts w:ascii="Arial" w:hAnsi="Arial" w:cs="Arial"/>
          <w:b/>
          <w:sz w:val="22"/>
          <w:szCs w:val="22"/>
          <w:lang w:val="fr-FR"/>
        </w:rPr>
      </w:pPr>
    </w:p>
    <w:p w:rsidR="001C0DEE" w:rsidRDefault="001C0DEE">
      <w:pPr>
        <w:pStyle w:val="NoSpacing"/>
        <w:rPr>
          <w:rFonts w:ascii="Arial" w:hAnsi="Arial" w:cs="Arial"/>
          <w:b/>
          <w:sz w:val="22"/>
          <w:szCs w:val="22"/>
          <w:lang w:val="fr-FR"/>
        </w:rPr>
      </w:pPr>
    </w:p>
    <w:p w:rsidR="001C0DEE" w:rsidRDefault="001C0DEE">
      <w:pPr>
        <w:pStyle w:val="NoSpacing"/>
        <w:rPr>
          <w:rFonts w:ascii="Arial" w:hAnsi="Arial" w:cs="Arial"/>
          <w:b/>
          <w:sz w:val="22"/>
          <w:szCs w:val="22"/>
          <w:lang w:val="fr-FR"/>
        </w:rPr>
      </w:pPr>
    </w:p>
    <w:p w:rsidR="001C0DEE" w:rsidRDefault="001C0DEE">
      <w:pPr>
        <w:pStyle w:val="NoSpacing"/>
        <w:rPr>
          <w:rFonts w:ascii="Arial" w:hAnsi="Arial" w:cs="Arial"/>
          <w:b/>
          <w:sz w:val="22"/>
          <w:szCs w:val="22"/>
          <w:lang w:val="fr-FR"/>
        </w:rPr>
      </w:pPr>
    </w:p>
    <w:p w:rsidR="001C0DEE" w:rsidRDefault="001C0DEE">
      <w:pPr>
        <w:pStyle w:val="NoSpacing"/>
        <w:rPr>
          <w:rFonts w:ascii="Arial" w:hAnsi="Arial" w:cs="Arial"/>
          <w:b/>
          <w:sz w:val="22"/>
          <w:szCs w:val="22"/>
          <w:lang w:val="fr-FR"/>
        </w:rPr>
      </w:pPr>
    </w:p>
    <w:p w:rsidR="001C0DEE" w:rsidRDefault="001C0DEE">
      <w:pPr>
        <w:pStyle w:val="NoSpacing"/>
        <w:rPr>
          <w:rFonts w:ascii="Arial" w:hAnsi="Arial" w:cs="Arial"/>
          <w:b/>
          <w:sz w:val="22"/>
          <w:szCs w:val="22"/>
          <w:lang w:val="fr-FR"/>
        </w:rPr>
      </w:pPr>
    </w:p>
    <w:p w:rsidR="001C0DEE" w:rsidRDefault="001C0DEE">
      <w:pPr>
        <w:pStyle w:val="NoSpacing"/>
        <w:rPr>
          <w:rFonts w:ascii="Arial" w:hAnsi="Arial" w:cs="Arial"/>
          <w:b/>
          <w:sz w:val="22"/>
          <w:szCs w:val="22"/>
          <w:lang w:val="fr-FR"/>
        </w:rPr>
      </w:pPr>
    </w:p>
    <w:p w:rsidR="001C0DEE" w:rsidRDefault="00767532">
      <w:pPr>
        <w:pStyle w:val="NoSpacing"/>
        <w:outlineLvl w:val="0"/>
        <w:rPr>
          <w:rFonts w:ascii="Arial" w:hAnsi="Arial" w:cs="Arial"/>
          <w:b/>
          <w:sz w:val="22"/>
          <w:szCs w:val="22"/>
          <w:lang w:val="fr-FR"/>
        </w:rPr>
      </w:pPr>
      <w:r>
        <w:rPr>
          <w:rFonts w:ascii="Arial" w:eastAsia="Arial" w:hAnsi="Arial" w:cs="Arial"/>
          <w:b/>
          <w:bCs/>
          <w:sz w:val="22"/>
          <w:szCs w:val="22"/>
          <w:bdr w:val="nil"/>
          <w:lang w:val="fr-FR"/>
        </w:rPr>
        <w:lastRenderedPageBreak/>
        <w:t>Contexte</w:t>
      </w:r>
    </w:p>
    <w:p w:rsidR="001C0DEE" w:rsidRPr="00E60186" w:rsidRDefault="00767532" w:rsidP="000A44DB">
      <w:pPr>
        <w:pStyle w:val="NoSpacing"/>
        <w:rPr>
          <w:rFonts w:ascii="Arial" w:hAnsi="Arial" w:cs="Arial"/>
          <w:sz w:val="22"/>
          <w:szCs w:val="22"/>
          <w:lang w:val="es-US"/>
        </w:rPr>
      </w:pPr>
      <w:r>
        <w:rPr>
          <w:rFonts w:ascii="Arial" w:eastAsia="Arial" w:hAnsi="Arial" w:cs="Arial"/>
          <w:sz w:val="22"/>
          <w:szCs w:val="22"/>
          <w:bdr w:val="nil"/>
          <w:lang w:val="fr-FR"/>
        </w:rPr>
        <w:t xml:space="preserve">Tandis que le Togo a observé des réductions dans la mortalité infantile au cours des dernières décennies, une accélération du progrès est nécessaire pour atteindre </w:t>
      </w:r>
      <w:r w:rsidRPr="00365057">
        <w:rPr>
          <w:rFonts w:ascii="Arial" w:eastAsia="Arial" w:hAnsi="Arial" w:cs="Arial"/>
          <w:sz w:val="22"/>
          <w:szCs w:val="22"/>
          <w:bdr w:val="nil"/>
          <w:lang w:val="fr-FR"/>
        </w:rPr>
        <w:t xml:space="preserve">l’Objectif de </w:t>
      </w:r>
      <w:r w:rsidRPr="00E60186">
        <w:rPr>
          <w:rFonts w:ascii="Arial" w:eastAsia="Arial" w:hAnsi="Arial" w:cs="Arial"/>
          <w:sz w:val="22"/>
          <w:szCs w:val="22"/>
          <w:bdr w:val="nil"/>
          <w:lang w:val="fr-FR"/>
        </w:rPr>
        <w:t>développement durable (ODD) 3.2 et réduire la mortalité néonatale à 12 pour 1</w:t>
      </w:r>
      <w:r w:rsidR="00FD3DDA">
        <w:rPr>
          <w:rFonts w:ascii="Arial" w:eastAsia="Arial" w:hAnsi="Arial" w:cs="Arial"/>
          <w:sz w:val="22"/>
          <w:szCs w:val="22"/>
          <w:bdr w:val="nil"/>
          <w:lang w:val="fr-FR"/>
        </w:rPr>
        <w:t> </w:t>
      </w:r>
      <w:r w:rsidRPr="00E60186">
        <w:rPr>
          <w:rFonts w:ascii="Arial" w:eastAsia="Arial" w:hAnsi="Arial" w:cs="Arial"/>
          <w:sz w:val="22"/>
          <w:szCs w:val="22"/>
          <w:bdr w:val="nil"/>
          <w:lang w:val="fr-FR"/>
        </w:rPr>
        <w:t>000 naissances vivantes et la mortalité des enfants âgés de moins de 5 ans à 25 pour 1</w:t>
      </w:r>
      <w:r w:rsidR="00FD3DDA">
        <w:rPr>
          <w:rFonts w:ascii="Arial" w:eastAsia="Arial" w:hAnsi="Arial" w:cs="Arial"/>
          <w:sz w:val="22"/>
          <w:szCs w:val="22"/>
          <w:bdr w:val="nil"/>
          <w:lang w:val="fr-FR"/>
        </w:rPr>
        <w:t> </w:t>
      </w:r>
      <w:r w:rsidRPr="00E60186">
        <w:rPr>
          <w:rFonts w:ascii="Arial" w:eastAsia="Arial" w:hAnsi="Arial" w:cs="Arial"/>
          <w:sz w:val="22"/>
          <w:szCs w:val="22"/>
          <w:bdr w:val="nil"/>
          <w:lang w:val="fr-FR"/>
        </w:rPr>
        <w:t>000 naissances vivantes</w:t>
      </w:r>
      <w:r w:rsidRPr="00E60186">
        <w:rPr>
          <w:rFonts w:ascii="Arial" w:hAnsi="Arial" w:cs="Arial"/>
          <w:sz w:val="22"/>
          <w:szCs w:val="22"/>
        </w:rPr>
        <w:fldChar w:fldCharType="begin" w:fldLock="1"/>
      </w:r>
      <w:r w:rsidRPr="00E60186">
        <w:rPr>
          <w:rFonts w:ascii="Arial" w:hAnsi="Arial" w:cs="Arial"/>
          <w:sz w:val="22"/>
          <w:szCs w:val="22"/>
          <w:lang w:val="fr-FR"/>
        </w:rPr>
        <w:instrText>ADDIN CSL_CITATION {"citationItems":[{"id":"ITEM-1","itemData":{"author":[{"dropping-particle":"","family":"World Health Organization","given":"","non-dropping-particle":"","parse-names":false,"suffix":""}],"id":"ITEM-1","issued":{"date-parts":[["2015"]]},"number-of-pages":"161","title":"World Health Statistics 2015","type":"report"},"uris":["http://www.mendeley.com/documents/?uuid=08d9d4d7-7cde-3616-bfe5-dab630d5c804","http://www.mendeley.com/documents/?uuid=969b1287-a95f-4c80-a1a0-92cc475340e3"]},{"id":"ITEM-2","itemData":{"DOI":"10.1016/S0140-6736(17)31758-0","ISSN":"1474-547X","PMID":"28958464","abstract":"BACKGROUND During the Millennium Development Goal (MDG) era, many countries in Africa achieved marked reductions in under-5 and neonatal mortality. Yet the pace of progress toward these goals substantially varied at the national level, demonstrating an essential need for tracking even more local trends in child mortality. With the adoption of the Sustainable Development Goals (SDGs) in 2015, which established ambitious targets for improving child survival by 2030, optimal intervention planning and targeting will require understanding of trends and rates of progress at a higher spatial resolution. In this study, we aimed to generate high-resolution estimates of under-5 and neonatal all-cause mortality across 46 countries in Africa. METHODS We assembled 235 geographically resolved household survey and census data sources on child deaths to produce estimates of under-5 and neonatal mortality at a resolution of 5 × 5 km grid cells across 46 African countries for 2000, 2005, 2010, and 2015. We used a Bayesian geostatistical analytical framework to generate these estimates, and implemented predictive validity tests. In addition to reporting 5 × 5 km estimates, we also aggregated results obtained from these estimates into three different levels-national, and subnational administrative levels 1 and 2-to provide the full range of geospatial resolution that local, national, and global decision makers might require. FINDINGS Amid improving child survival in Africa, there was substantial heterogeneity in absolute levels of under-5 and neonatal mortality in 2015, as well as the annualised rates of decline achieved from 2000 to 2015. Subnational areas in countries such as Botswana, Rwanda, and Ethiopia recorded some of the largest decreases in child mortality rates since 2000, positioning them well to achieve SDG targets by 2030 or earlier. Yet these places were the exception for Africa, since many areas, particularly in central and western Africa, must reduce under-5 mortality rates by at leas</w:instrText>
      </w:r>
      <w:r w:rsidRPr="00E60186">
        <w:rPr>
          <w:rFonts w:ascii="Arial" w:hAnsi="Arial" w:cs="Arial"/>
          <w:sz w:val="22"/>
          <w:szCs w:val="22"/>
        </w:rPr>
        <w:instrText>t 8·8% per year, between 2015 and 2030, to achieve the SDG 3.2 target for under-5 mortality by 2030. INTERPRETATION In the absence of unprecedented political commitment, financial support, and medical advances, the viability of SDG 3.2 achievement in Africa is precarious at best. By producing under-5 and neonatal mortality rates at multiple levels of geospatial resolution over time, this study provides key information for decision makers to target interventions at populations i…","author":[{"dropping-particle":"","family":"Golding","given":"Nick","non-dropping-particle":"","parse-names":false,"suffix":""},{"dropping-particle":"","family":"Burstein","given":"Roy","non-dropping-particle":"","parse-names":false,"suffix":""},{"dropping-particle":"","family":"Longbottom","given":"Joshua","non-dropping-particle":"","parse-names":false,"suffix":""},{"dropping-particle":"","family":"Browne","given":"Annie J","non-dropping-particle":"","parse-names":false,"suffix":""},{"dropping-particle":"","family":"Fullman","given":"Nancy","non-dropping-particle":"","parse-names":false,"suffix":""},{"dropping-particle":"","family":"Osgood-Zimmerman","given":"Aaron","non-dropping-particle":"","parse-names":false,"suffix":""},{"dropping-particle":"","family":"Earl","given":"Lucas","non-dropping-particle":"","parse-names":false,"suffix":""},{"dropping-particle":"","family":"Bhatt","given":"Samir","non-dropping-particle":"","parse-names":false,"suffix":""},{"dropping-particle":"","family":"Cameron","given":"Ewan","non-dropping-particle":"","parse-names":false,"suffix":""},{"dropping-particle":"","family":"Casey","given":"Daniel C","non-dropping-particle":"","parse-names":false,"suffix":""},{"dropping-particle":"","family":"Dwyer-Lindgren","given":"Laura","non-dropping-particle":"","parse-names":false,"suffix":""},{"dropping-particle":"","family":"Farag","given":"Tamer H","non-dropping-particle":"","parse-names":false,"suffix":""},{"dropping-particle":"","family":"Flaxman","given":"Abraham D","non-dropping-particle":"","parse-names":false,"suffix":""},{"dropping-particle":"","family":"Fraser","given":"Maya S","non-dropping-particle":"","parse-names":false,"suffix":""},{"dropping-particle":"","family":"Gething","given":"Peter W","non-dropping-particle":"","parse-names":false,"suffix":""},{"dropping-particle":"","family":"Gibson","given":"Harry S","non-dropping-particle":"","parse-names":false,"suffix":""},{"dropping-particle":"","family":"Graetz","given":"Nicholas","non-dropping-particle":"","parse-names":false,"suffix":""},{"dropping-particle":"","family":"Krause","given":"L Kendall","non-dropping-particle":"","parse-names":false,"suffix":""},{"dropping-particle":"","family":"Kulikoff","given":"Xie Rachel","non-dropping-particle":"","parse-names":false,"suffix":""},{"dropping-particle":"","family":"Lim","given":"Stephen S","non-dropping-particle":"","parse-names":false,"suffix":""},{"dropping-particle":"","family":"Mappin","given":"Bonnie","non-dropping-particle":"","parse-names":false,"suffix":""},{"dropping-particle":"","family":"Morozoff","given":"Chloe","non-dropping-particle":"","parse-names":false,"suffix":""},{"dropping-particle":"","family":"Reiner","given":"Robert C","non-dropping-particle":"","parse-names":false,"suffix":""},{</w:instrText>
      </w:r>
      <w:r w:rsidRPr="00E60186">
        <w:rPr>
          <w:rFonts w:ascii="Arial" w:hAnsi="Arial" w:cs="Arial"/>
          <w:sz w:val="22"/>
          <w:szCs w:val="22"/>
          <w:lang w:val="es-US"/>
        </w:rPr>
        <w:instrText>"dropping-particle":"","family":"Sligar","given":"Amber","non-dropping-particle":"","parse-names":false,"suffix":""},{"dropping-particle":"","family":"Smith","given":"David L","non-dropping-particle":"","parse-names":false,"suffix":""},{"dropping-particle":"","family":"Wang","given":"Haidong","non-dropping-particle":"","parse-names":false,"suffix":""},{"dropping-particle":"","family":"Weiss","given":"Daniel J","non-dropping-particle":"","parse-names":false,"suffix":""},{"dropping-particle":"","family":"Murray","given":"Christopher J L","non-dropping-particle":"","parse-names":false,"suffix":""},{"dropping-particle":"","family":"Moyes","given":"Catherine L","non-dropping-particle":"","parse-names":false,"suffix":""},{"dropping-particle":"","family":"Hay","given":"Simon I","non-dropping-particle":"","parse-names":false,"suffix":""}],"container-title":"Lancet (London, England)","id":"ITEM-2","issue":"10108","issued":{"date-parts":[["2017","11","11"]]},"page":"2171-2182","publisher":"Elsevier","title":"Mapping under-5 and neonatal mortality in Africa, 2000-15: a baseline analysis for the Sustainable Development Goals.","type":"article-journal","volume":"390"},"uris":["http://www.mendeley.com/documents/?uuid=06e09a0c-4b8a-305a-a43c-62065ff4d07a"]}],"mendeley":{"formattedCitation":"(1,2)","plainTextFormattedCitation":"(1,2)","previouslyFormattedCitation":"(1,2)"},"properties":{"noteIndex":0},"schema":"https://github.com/citation-style-language/schema/raw/master/csl-citation.json"}</w:instrText>
      </w:r>
      <w:r w:rsidRPr="00E60186">
        <w:rPr>
          <w:rFonts w:ascii="Arial" w:hAnsi="Arial" w:cs="Arial"/>
          <w:sz w:val="22"/>
          <w:szCs w:val="22"/>
        </w:rPr>
        <w:fldChar w:fldCharType="separate"/>
      </w:r>
      <w:r w:rsidR="00FD3DDA">
        <w:rPr>
          <w:rFonts w:ascii="Arial" w:hAnsi="Arial" w:cs="Arial"/>
          <w:sz w:val="22"/>
          <w:szCs w:val="22"/>
        </w:rPr>
        <w:t xml:space="preserve"> </w:t>
      </w:r>
      <w:r w:rsidRPr="00E60186">
        <w:rPr>
          <w:rFonts w:ascii="Arial" w:eastAsia="Arial" w:hAnsi="Arial" w:cs="Arial"/>
          <w:noProof/>
          <w:sz w:val="22"/>
          <w:szCs w:val="22"/>
          <w:bdr w:val="nil"/>
          <w:lang w:val="fr-FR"/>
        </w:rPr>
        <w:t>(1,2)</w:t>
      </w:r>
      <w:r w:rsidRPr="00E60186">
        <w:rPr>
          <w:rFonts w:ascii="Arial" w:hAnsi="Arial" w:cs="Arial"/>
          <w:sz w:val="22"/>
          <w:szCs w:val="22"/>
        </w:rPr>
        <w:fldChar w:fldCharType="end"/>
      </w:r>
      <w:r w:rsidRPr="00E60186">
        <w:rPr>
          <w:rFonts w:ascii="Arial" w:eastAsia="Arial" w:hAnsi="Arial" w:cs="Arial"/>
          <w:sz w:val="22"/>
          <w:szCs w:val="22"/>
          <w:bdr w:val="nil"/>
          <w:lang w:val="fr-FR"/>
        </w:rPr>
        <w:t xml:space="preserve">. Les estimations </w:t>
      </w:r>
      <w:r w:rsidR="00936C2C" w:rsidRPr="00E60186">
        <w:rPr>
          <w:rFonts w:ascii="Arial" w:eastAsia="Arial" w:hAnsi="Arial" w:cs="Arial"/>
          <w:sz w:val="22"/>
          <w:szCs w:val="22"/>
          <w:bdr w:val="nil"/>
          <w:lang w:val="fr-FR"/>
        </w:rPr>
        <w:t>régionales</w:t>
      </w:r>
      <w:r w:rsidRPr="00E60186">
        <w:rPr>
          <w:rFonts w:ascii="Arial" w:eastAsia="Arial" w:hAnsi="Arial" w:cs="Arial"/>
          <w:sz w:val="22"/>
          <w:szCs w:val="22"/>
          <w:bdr w:val="nil"/>
          <w:lang w:val="fr-FR"/>
        </w:rPr>
        <w:t xml:space="preserve"> les plus récentes de 2013 et 2014 ont révélé</w:t>
      </w:r>
      <w:r w:rsidRPr="00E60186">
        <w:rPr>
          <w:rFonts w:ascii="Arial" w:eastAsia="Arial" w:hAnsi="Arial" w:cs="Arial"/>
          <w:sz w:val="22"/>
          <w:szCs w:val="22"/>
          <w:bdr w:val="nil"/>
          <w:shd w:val="clear" w:color="auto" w:fill="FFFFFF"/>
          <w:lang w:val="fr-FR"/>
        </w:rPr>
        <w:t xml:space="preserve"> que le taux de mortalité infantile dans la région de Kara, située dans le Nord, s’élève à 62 pour 1</w:t>
      </w:r>
      <w:r w:rsidR="00FD3DDA">
        <w:rPr>
          <w:rFonts w:ascii="Arial" w:eastAsia="Arial" w:hAnsi="Arial" w:cs="Arial"/>
          <w:sz w:val="22"/>
          <w:szCs w:val="22"/>
          <w:bdr w:val="nil"/>
          <w:shd w:val="clear" w:color="auto" w:fill="FFFFFF"/>
          <w:lang w:val="fr-FR"/>
        </w:rPr>
        <w:t> </w:t>
      </w:r>
      <w:r w:rsidRPr="00E60186">
        <w:rPr>
          <w:rFonts w:ascii="Arial" w:eastAsia="Arial" w:hAnsi="Arial" w:cs="Arial"/>
          <w:sz w:val="22"/>
          <w:szCs w:val="22"/>
          <w:bdr w:val="nil"/>
          <w:shd w:val="clear" w:color="auto" w:fill="FFFFFF"/>
          <w:lang w:val="fr-FR"/>
        </w:rPr>
        <w:t>000 naissances vivantes et que le taux de mortalité chez les enfants âgés de moins de 5 ans s’élève à 130 pour 1</w:t>
      </w:r>
      <w:r w:rsidR="00FD3DDA">
        <w:rPr>
          <w:rFonts w:ascii="Arial" w:eastAsia="Arial" w:hAnsi="Arial" w:cs="Arial"/>
          <w:sz w:val="22"/>
          <w:szCs w:val="22"/>
          <w:bdr w:val="nil"/>
          <w:shd w:val="clear" w:color="auto" w:fill="FFFFFF"/>
          <w:lang w:val="fr-FR"/>
        </w:rPr>
        <w:t> </w:t>
      </w:r>
      <w:r w:rsidRPr="00E60186">
        <w:rPr>
          <w:rFonts w:ascii="Arial" w:eastAsia="Arial" w:hAnsi="Arial" w:cs="Arial"/>
          <w:sz w:val="22"/>
          <w:szCs w:val="22"/>
          <w:bdr w:val="nil"/>
          <w:shd w:val="clear" w:color="auto" w:fill="FFFFFF"/>
          <w:lang w:val="fr-FR"/>
        </w:rPr>
        <w:t>000 naissances vivantes, par rapport aux taux nationaux de 49 et 88 pour 1</w:t>
      </w:r>
      <w:r w:rsidR="00FD3DDA">
        <w:rPr>
          <w:rFonts w:ascii="Arial" w:eastAsia="Arial" w:hAnsi="Arial" w:cs="Arial"/>
          <w:sz w:val="22"/>
          <w:szCs w:val="22"/>
          <w:bdr w:val="nil"/>
          <w:shd w:val="clear" w:color="auto" w:fill="FFFFFF"/>
          <w:lang w:val="fr-FR"/>
        </w:rPr>
        <w:t> </w:t>
      </w:r>
      <w:r w:rsidRPr="00E60186">
        <w:rPr>
          <w:rFonts w:ascii="Arial" w:eastAsia="Arial" w:hAnsi="Arial" w:cs="Arial"/>
          <w:sz w:val="22"/>
          <w:szCs w:val="22"/>
          <w:bdr w:val="nil"/>
          <w:shd w:val="clear" w:color="auto" w:fill="FFFFFF"/>
          <w:lang w:val="fr-FR"/>
        </w:rPr>
        <w:t>000 naissances vivantes, respectivement</w:t>
      </w:r>
      <w:r w:rsidRPr="00E60186">
        <w:rPr>
          <w:rFonts w:ascii="Arial" w:hAnsi="Arial" w:cs="Arial"/>
          <w:sz w:val="22"/>
          <w:szCs w:val="22"/>
          <w:shd w:val="clear" w:color="auto" w:fill="FFFFFF"/>
        </w:rPr>
        <w:fldChar w:fldCharType="begin" w:fldLock="1"/>
      </w:r>
      <w:r w:rsidRPr="00E60186">
        <w:rPr>
          <w:rFonts w:ascii="Arial" w:hAnsi="Arial" w:cs="Arial"/>
          <w:sz w:val="22"/>
          <w:szCs w:val="22"/>
          <w:shd w:val="clear" w:color="auto" w:fill="FFFFFF"/>
          <w:lang w:val="es-US"/>
        </w:rPr>
        <w:instrText>ADDIN CSL_CITATION {"citationItems":[{"id":"ITEM-1","itemData":{"author":[{"dropping-particle":"","family":"Ministère de la Planification du Développement et de l’Aménagement du Territoire (MPDAT)","given":"Ministère de la Sante MS) et ICF International","non-dropping-particle":"","parse-names":false,"suffix":""}],"id":"ITEM-1","issued":{"date-parts":[["2015"]]},"publisher-place":"Rockville, Maryland, USA","title":"Enquête Démographique et de Sante au Togo 2013 – 2014","type":"report"},"uris":["http://www.mendeley.com/documents/?uuid=99d7c37e-51ef-465d-9051-67111b15ece1","http://www.mendeley.com/documents/?uuid=f46ac673-8ec9-413d-b2c5-498d6c694684"]}],"mendeley":{"formattedCitation":"(3)","plainTextFormattedCitation":"(3)","previouslyFormattedCitation":"(3)"},"properties":{"noteIndex":0},"schema":"https://github.com/citation-style-language/schema/raw/master/csl-citation.json"}</w:instrText>
      </w:r>
      <w:r w:rsidRPr="00E60186">
        <w:rPr>
          <w:rFonts w:ascii="Arial" w:hAnsi="Arial" w:cs="Arial"/>
          <w:sz w:val="22"/>
          <w:szCs w:val="22"/>
          <w:shd w:val="clear" w:color="auto" w:fill="FFFFFF"/>
        </w:rPr>
        <w:fldChar w:fldCharType="separate"/>
      </w:r>
      <w:r w:rsidR="00FD3DDA">
        <w:rPr>
          <w:rFonts w:ascii="Arial" w:hAnsi="Arial" w:cs="Arial"/>
          <w:sz w:val="22"/>
          <w:szCs w:val="22"/>
          <w:shd w:val="clear" w:color="auto" w:fill="FFFFFF"/>
        </w:rPr>
        <w:t xml:space="preserve"> </w:t>
      </w:r>
      <w:r w:rsidRPr="00E60186">
        <w:rPr>
          <w:rFonts w:ascii="Arial" w:eastAsia="Arial" w:hAnsi="Arial" w:cs="Arial"/>
          <w:noProof/>
          <w:sz w:val="22"/>
          <w:szCs w:val="22"/>
          <w:bdr w:val="nil"/>
          <w:shd w:val="clear" w:color="auto" w:fill="FFFFFF"/>
          <w:lang w:val="fr-FR"/>
        </w:rPr>
        <w:t>(3)</w:t>
      </w:r>
      <w:r w:rsidRPr="00E60186">
        <w:rPr>
          <w:rFonts w:ascii="Arial" w:hAnsi="Arial" w:cs="Arial"/>
          <w:sz w:val="22"/>
          <w:szCs w:val="22"/>
          <w:shd w:val="clear" w:color="auto" w:fill="FFFFFF"/>
        </w:rPr>
        <w:fldChar w:fldCharType="end"/>
      </w:r>
      <w:r w:rsidRPr="00E60186">
        <w:rPr>
          <w:rFonts w:ascii="Arial" w:eastAsia="Arial" w:hAnsi="Arial" w:cs="Arial"/>
          <w:sz w:val="22"/>
          <w:szCs w:val="22"/>
          <w:bdr w:val="nil"/>
          <w:shd w:val="clear" w:color="auto" w:fill="FFFFFF"/>
          <w:lang w:val="fr-FR"/>
        </w:rPr>
        <w:t>. La mortalité chez les enfants âgés de moins de cinq ans au Togo est due principalement à des maladies pour lesquelles il existe des interventions et traitements efficaces et de faible coût, telles que le paludisme, les infections</w:t>
      </w:r>
      <w:r w:rsidR="005F6475">
        <w:rPr>
          <w:rFonts w:ascii="Arial" w:eastAsia="Arial" w:hAnsi="Arial" w:cs="Arial"/>
          <w:sz w:val="22"/>
          <w:szCs w:val="22"/>
          <w:bdr w:val="nil"/>
          <w:shd w:val="clear" w:color="auto" w:fill="FFFFFF"/>
          <w:lang w:val="fr-FR"/>
        </w:rPr>
        <w:t xml:space="preserve"> </w:t>
      </w:r>
      <w:r w:rsidR="005F6475" w:rsidRPr="00E60186">
        <w:rPr>
          <w:rFonts w:ascii="Arial" w:eastAsia="Arial" w:hAnsi="Arial" w:cs="Arial"/>
          <w:sz w:val="22"/>
          <w:szCs w:val="22"/>
          <w:bdr w:val="nil"/>
          <w:shd w:val="clear" w:color="auto" w:fill="FFFFFF"/>
          <w:lang w:val="fr-FR"/>
        </w:rPr>
        <w:t>aiguës</w:t>
      </w:r>
      <w:r w:rsidRPr="00E60186">
        <w:rPr>
          <w:rFonts w:ascii="Arial" w:eastAsia="Arial" w:hAnsi="Arial" w:cs="Arial"/>
          <w:sz w:val="22"/>
          <w:szCs w:val="22"/>
          <w:bdr w:val="nil"/>
          <w:shd w:val="clear" w:color="auto" w:fill="FFFFFF"/>
          <w:lang w:val="fr-FR"/>
        </w:rPr>
        <w:t xml:space="preserve"> des voies respiratoires inférieures </w:t>
      </w:r>
      <w:r w:rsidR="005F6475">
        <w:rPr>
          <w:rFonts w:ascii="Arial" w:eastAsia="Arial" w:hAnsi="Arial" w:cs="Arial"/>
          <w:sz w:val="22"/>
          <w:szCs w:val="22"/>
          <w:bdr w:val="nil"/>
          <w:shd w:val="clear" w:color="auto" w:fill="FFFFFF"/>
          <w:lang w:val="fr-FR"/>
        </w:rPr>
        <w:t xml:space="preserve">et les maladies diarrhéiques </w:t>
      </w:r>
      <w:r w:rsidRPr="00E60186">
        <w:rPr>
          <w:rFonts w:ascii="Arial" w:hAnsi="Arial" w:cs="Arial"/>
          <w:sz w:val="22"/>
          <w:szCs w:val="22"/>
          <w:shd w:val="clear" w:color="auto" w:fill="FFFFFF"/>
        </w:rPr>
        <w:fldChar w:fldCharType="begin" w:fldLock="1"/>
      </w:r>
      <w:r w:rsidRPr="00E60186">
        <w:rPr>
          <w:rFonts w:ascii="Arial" w:hAnsi="Arial" w:cs="Arial"/>
          <w:sz w:val="22"/>
          <w:szCs w:val="22"/>
          <w:shd w:val="clear" w:color="auto" w:fill="FFFFFF"/>
          <w:lang w:val="es-US"/>
        </w:rPr>
        <w:instrText>ADDIN CSL_CITATION {"citationItems":[{"id":"ITEM-1","itemData":{"author":[{"dropping-particle":"","family":"Ministère de la Planification du Développement et de l’Aménagement du Territoire (MPDAT)","given":"Ministère de la Sante MS) et ICF International","non-dropping-particle":"","parse-names":false,"suffix":""}],"id":"ITEM-1","issued":{"date-parts":[["2015"]]},"publisher-place":"Rockville, Maryland, USA","title":"Enquête Démographique et de Sante au Togo 2013 – 2014","type":"report"},"uris":["http://www.mendeley.com/documents/?uuid=f46ac673-8ec9-413d-b2c5-498d6c694684","http://www.mendeley.com/documents/?uuid=99d7c37e-51ef-465d-9051-67111b15ece1"]}],"mendeley":{"formattedCitation":"(3)","plainTextFormattedCitation":"(3)","previouslyFormattedCitation":"(3)"},"properties":{"noteIndex":0},"schema":"https://github.com/citation-style-language/schema/raw/master/csl-citation.json"}</w:instrText>
      </w:r>
      <w:r w:rsidRPr="00E60186">
        <w:rPr>
          <w:rFonts w:ascii="Arial" w:hAnsi="Arial" w:cs="Arial"/>
          <w:sz w:val="22"/>
          <w:szCs w:val="22"/>
          <w:shd w:val="clear" w:color="auto" w:fill="FFFFFF"/>
        </w:rPr>
        <w:fldChar w:fldCharType="separate"/>
      </w:r>
      <w:r w:rsidRPr="00E60186">
        <w:rPr>
          <w:rFonts w:ascii="Arial" w:eastAsia="Arial" w:hAnsi="Arial" w:cs="Arial"/>
          <w:noProof/>
          <w:sz w:val="22"/>
          <w:szCs w:val="22"/>
          <w:bdr w:val="nil"/>
          <w:shd w:val="clear" w:color="auto" w:fill="FFFFFF"/>
          <w:lang w:val="fr-FR"/>
        </w:rPr>
        <w:t>(3)</w:t>
      </w:r>
      <w:r w:rsidRPr="00E60186">
        <w:rPr>
          <w:rFonts w:ascii="Arial" w:hAnsi="Arial" w:cs="Arial"/>
          <w:sz w:val="22"/>
          <w:szCs w:val="22"/>
          <w:shd w:val="clear" w:color="auto" w:fill="FFFFFF"/>
        </w:rPr>
        <w:fldChar w:fldCharType="end"/>
      </w:r>
      <w:r w:rsidRPr="00E60186">
        <w:rPr>
          <w:rFonts w:ascii="Arial" w:eastAsia="Arial" w:hAnsi="Arial" w:cs="Arial"/>
          <w:sz w:val="22"/>
          <w:szCs w:val="22"/>
          <w:bdr w:val="nil"/>
          <w:shd w:val="clear" w:color="auto" w:fill="FFFFFF"/>
          <w:lang w:val="fr-FR"/>
        </w:rPr>
        <w:t xml:space="preserve">. Bien que le Togo dispose </w:t>
      </w:r>
      <w:r w:rsidR="00AE4FBB" w:rsidRPr="00E60186">
        <w:rPr>
          <w:rFonts w:ascii="Arial" w:eastAsia="Arial" w:hAnsi="Arial" w:cs="Arial"/>
          <w:sz w:val="22"/>
          <w:szCs w:val="22"/>
          <w:bdr w:val="nil"/>
          <w:shd w:val="clear" w:color="auto" w:fill="FFFFFF"/>
          <w:lang w:val="fr-FR"/>
        </w:rPr>
        <w:t xml:space="preserve">d’un plan pour </w:t>
      </w:r>
      <w:r w:rsidR="005F6475">
        <w:rPr>
          <w:rFonts w:ascii="Arial" w:hAnsi="Arial" w:cs="Arial"/>
          <w:sz w:val="22"/>
          <w:szCs w:val="22"/>
          <w:lang w:val="fr-FR"/>
        </w:rPr>
        <w:t>la Prise en Charge Intégrée des M</w:t>
      </w:r>
      <w:r w:rsidR="00AE4FBB" w:rsidRPr="00E60186">
        <w:rPr>
          <w:rFonts w:ascii="Arial" w:hAnsi="Arial" w:cs="Arial"/>
          <w:sz w:val="22"/>
          <w:szCs w:val="22"/>
          <w:lang w:val="fr-FR"/>
        </w:rPr>
        <w:t>aladie</w:t>
      </w:r>
      <w:r w:rsidR="005F6475">
        <w:rPr>
          <w:rFonts w:ascii="Arial" w:hAnsi="Arial" w:cs="Arial"/>
          <w:sz w:val="22"/>
          <w:szCs w:val="22"/>
          <w:lang w:val="fr-FR"/>
        </w:rPr>
        <w:t>s de l</w:t>
      </w:r>
      <w:r w:rsidR="00FD3DDA">
        <w:rPr>
          <w:rFonts w:ascii="Arial" w:hAnsi="Arial" w:cs="Arial"/>
          <w:sz w:val="22"/>
          <w:szCs w:val="22"/>
          <w:lang w:val="fr-FR"/>
        </w:rPr>
        <w:t>’</w:t>
      </w:r>
      <w:r w:rsidR="005F6475">
        <w:rPr>
          <w:rFonts w:ascii="Arial" w:hAnsi="Arial" w:cs="Arial"/>
          <w:sz w:val="22"/>
          <w:szCs w:val="22"/>
          <w:lang w:val="fr-FR"/>
        </w:rPr>
        <w:t>Enfant</w:t>
      </w:r>
      <w:r w:rsidR="00AE4FBB" w:rsidRPr="00E60186">
        <w:rPr>
          <w:rFonts w:ascii="Arial" w:hAnsi="Arial" w:cs="Arial"/>
          <w:sz w:val="22"/>
          <w:szCs w:val="22"/>
          <w:lang w:val="fr-FR"/>
        </w:rPr>
        <w:t xml:space="preserve"> (PCIME</w:t>
      </w:r>
      <w:r w:rsidRPr="00E60186">
        <w:rPr>
          <w:rFonts w:ascii="Arial" w:eastAsia="Arial" w:hAnsi="Arial" w:cs="Arial"/>
          <w:sz w:val="22"/>
          <w:szCs w:val="22"/>
          <w:bdr w:val="nil"/>
          <w:lang w:val="fr-FR"/>
        </w:rPr>
        <w:t xml:space="preserve">), d’une politique concernant </w:t>
      </w:r>
      <w:r w:rsidR="001C6F86" w:rsidRPr="00E60186">
        <w:rPr>
          <w:rFonts w:ascii="Arial" w:eastAsia="Arial" w:hAnsi="Arial" w:cs="Arial"/>
          <w:sz w:val="22"/>
          <w:szCs w:val="22"/>
          <w:bdr w:val="nil"/>
          <w:lang w:val="fr-FR"/>
        </w:rPr>
        <w:t xml:space="preserve">la prise en charge intégrée des cas au niveau communautaire (PCIME-C), </w:t>
      </w:r>
      <w:r w:rsidR="005F6475">
        <w:rPr>
          <w:rFonts w:ascii="Arial" w:eastAsia="Arial" w:hAnsi="Arial" w:cs="Arial"/>
          <w:sz w:val="22"/>
          <w:szCs w:val="22"/>
          <w:bdr w:val="nil"/>
          <w:lang w:val="fr-FR"/>
        </w:rPr>
        <w:t>et d’un Programme Elargi de V</w:t>
      </w:r>
      <w:r w:rsidRPr="00E60186">
        <w:rPr>
          <w:rFonts w:ascii="Arial" w:eastAsia="Arial" w:hAnsi="Arial" w:cs="Arial"/>
          <w:sz w:val="22"/>
          <w:szCs w:val="22"/>
          <w:bdr w:val="nil"/>
          <w:lang w:val="fr-FR"/>
        </w:rPr>
        <w:t>accination (PEV), le pays n’a pas observé de réductions de la</w:t>
      </w:r>
      <w:r w:rsidR="005F6475">
        <w:rPr>
          <w:rFonts w:ascii="Arial" w:eastAsia="Arial" w:hAnsi="Arial" w:cs="Arial"/>
          <w:sz w:val="22"/>
          <w:szCs w:val="22"/>
          <w:bdr w:val="nil"/>
          <w:lang w:val="fr-FR"/>
        </w:rPr>
        <w:t xml:space="preserve"> mortalité infantile </w:t>
      </w:r>
      <w:r w:rsidR="005F6475" w:rsidRPr="00E60186">
        <w:rPr>
          <w:rFonts w:ascii="Arial" w:eastAsia="Arial" w:hAnsi="Arial" w:cs="Arial"/>
          <w:sz w:val="22"/>
          <w:szCs w:val="22"/>
          <w:bdr w:val="nil"/>
          <w:lang w:val="fr-FR"/>
        </w:rPr>
        <w:t>comparables</w:t>
      </w:r>
      <w:r w:rsidR="005F6475">
        <w:rPr>
          <w:rFonts w:ascii="Arial" w:eastAsia="Arial" w:hAnsi="Arial" w:cs="Arial"/>
          <w:sz w:val="22"/>
          <w:szCs w:val="22"/>
          <w:bdr w:val="nil"/>
          <w:lang w:val="fr-FR"/>
        </w:rPr>
        <w:t xml:space="preserve"> à celle des</w:t>
      </w:r>
      <w:r w:rsidRPr="00E60186">
        <w:rPr>
          <w:rFonts w:ascii="Arial" w:eastAsia="Arial" w:hAnsi="Arial" w:cs="Arial"/>
          <w:sz w:val="22"/>
          <w:szCs w:val="22"/>
          <w:bdr w:val="nil"/>
          <w:lang w:val="fr-FR"/>
        </w:rPr>
        <w:t xml:space="preserve"> pays voisins homologues tels que le Burkina Faso, le Ghana et la Guinée</w:t>
      </w:r>
      <w:r w:rsidRPr="00E60186">
        <w:rPr>
          <w:rFonts w:ascii="Arial" w:hAnsi="Arial" w:cs="Arial"/>
          <w:sz w:val="22"/>
          <w:szCs w:val="22"/>
        </w:rPr>
        <w:fldChar w:fldCharType="begin" w:fldLock="1"/>
      </w:r>
      <w:r w:rsidRPr="00E60186">
        <w:rPr>
          <w:rFonts w:ascii="Arial" w:hAnsi="Arial" w:cs="Arial"/>
          <w:sz w:val="22"/>
          <w:szCs w:val="22"/>
          <w:lang w:val="es-US"/>
        </w:rPr>
        <w:instrText>ADDIN CSL_CITATION {"citationItems":[{"id":"ITEM-1","itemData":{"URL":"https://data.unicef.org/topic/child-survival/under-five-mortality/","accessed":{"date-parts":[["2018","12","1"]]},"author":[{"dropping-particle":"","family":"UN Inter-agency Group for Child Mortality Estimation (UN IGME)","given":"","non-dropping-particle":"","parse-names":false,"suffix":""}],"id":"ITEM-1","issued":{"date-parts":[["2018"]]},"title":"Country-specific under-five mortality rate, 2018","type":"webpage"},"uris":["http://www.mendeley.com/documents/?uuid=f5a8f05c-4d6f-4edb-acbe-c99134bc4336"]}],"mendeley":{"formattedCitation":"(4)","plainTextFormattedCitation":"(4)","previouslyFormattedCitation":"(4)"},"properties":{"noteIndex":0},"schema":"https://github.com/citation-style-language/schema/raw/master/csl-citation.json"}</w:instrText>
      </w:r>
      <w:r w:rsidRPr="00E60186">
        <w:rPr>
          <w:rFonts w:ascii="Arial" w:hAnsi="Arial" w:cs="Arial"/>
          <w:sz w:val="22"/>
          <w:szCs w:val="22"/>
        </w:rPr>
        <w:fldChar w:fldCharType="separate"/>
      </w:r>
      <w:r w:rsidRPr="00E60186">
        <w:rPr>
          <w:rFonts w:ascii="Arial" w:eastAsia="Arial" w:hAnsi="Arial" w:cs="Arial"/>
          <w:noProof/>
          <w:sz w:val="22"/>
          <w:szCs w:val="22"/>
          <w:bdr w:val="nil"/>
          <w:lang w:val="fr-FR"/>
        </w:rPr>
        <w:t>(4)</w:t>
      </w:r>
      <w:r w:rsidRPr="00E60186">
        <w:rPr>
          <w:rFonts w:ascii="Arial" w:hAnsi="Arial" w:cs="Arial"/>
          <w:sz w:val="22"/>
          <w:szCs w:val="22"/>
        </w:rPr>
        <w:fldChar w:fldCharType="end"/>
      </w:r>
      <w:r w:rsidR="005F6475">
        <w:rPr>
          <w:rFonts w:ascii="Arial" w:eastAsia="Arial" w:hAnsi="Arial" w:cs="Arial"/>
          <w:sz w:val="22"/>
          <w:szCs w:val="22"/>
          <w:bdr w:val="nil"/>
          <w:lang w:val="fr-FR"/>
        </w:rPr>
        <w:t>. Par ailleurs, le M</w:t>
      </w:r>
      <w:r w:rsidRPr="00E60186">
        <w:rPr>
          <w:rFonts w:ascii="Arial" w:eastAsia="Arial" w:hAnsi="Arial" w:cs="Arial"/>
          <w:sz w:val="22"/>
          <w:szCs w:val="22"/>
          <w:bdr w:val="nil"/>
          <w:lang w:val="fr-FR"/>
        </w:rPr>
        <w:t xml:space="preserve">inistère de la Santé (MS) </w:t>
      </w:r>
      <w:r w:rsidR="005F6475">
        <w:rPr>
          <w:rFonts w:ascii="Arial" w:eastAsia="Arial" w:hAnsi="Arial" w:cs="Arial"/>
          <w:sz w:val="22"/>
          <w:szCs w:val="22"/>
          <w:bdr w:val="nil"/>
          <w:lang w:val="fr-FR"/>
        </w:rPr>
        <w:t>du Togo</w:t>
      </w:r>
      <w:r w:rsidRPr="00E60186">
        <w:rPr>
          <w:rFonts w:ascii="Arial" w:eastAsia="Arial" w:hAnsi="Arial" w:cs="Arial"/>
          <w:sz w:val="22"/>
          <w:szCs w:val="22"/>
          <w:bdr w:val="nil"/>
          <w:lang w:val="fr-FR"/>
        </w:rPr>
        <w:t xml:space="preserve"> a rapporté que les taux nationaux d’utilisation des </w:t>
      </w:r>
      <w:r w:rsidR="00563657" w:rsidRPr="00E60186">
        <w:rPr>
          <w:rFonts w:ascii="Arial" w:eastAsia="Arial" w:hAnsi="Arial" w:cs="Arial"/>
          <w:sz w:val="22"/>
          <w:szCs w:val="22"/>
          <w:bdr w:val="nil"/>
          <w:lang w:val="fr-FR"/>
        </w:rPr>
        <w:t xml:space="preserve">formations </w:t>
      </w:r>
      <w:r w:rsidRPr="00E60186">
        <w:rPr>
          <w:rFonts w:ascii="Arial" w:eastAsia="Arial" w:hAnsi="Arial" w:cs="Arial"/>
          <w:sz w:val="22"/>
          <w:szCs w:val="22"/>
          <w:bdr w:val="nil"/>
          <w:lang w:val="fr-FR"/>
        </w:rPr>
        <w:t>sanitaires du secteur public sont inférieurs à 30 %, bien que 62 % de la population vive dans un rayon de 5 km autour desdit</w:t>
      </w:r>
      <w:r w:rsidR="005D1BEC">
        <w:rPr>
          <w:rFonts w:ascii="Arial" w:eastAsia="Arial" w:hAnsi="Arial" w:cs="Arial"/>
          <w:sz w:val="22"/>
          <w:szCs w:val="22"/>
          <w:bdr w:val="nil"/>
          <w:lang w:val="fr-FR"/>
        </w:rPr>
        <w:t>e</w:t>
      </w:r>
      <w:r w:rsidRPr="00E60186">
        <w:rPr>
          <w:rFonts w:ascii="Arial" w:eastAsia="Arial" w:hAnsi="Arial" w:cs="Arial"/>
          <w:sz w:val="22"/>
          <w:szCs w:val="22"/>
          <w:bdr w:val="nil"/>
          <w:lang w:val="fr-FR"/>
        </w:rPr>
        <w:t xml:space="preserve">s </w:t>
      </w:r>
      <w:r w:rsidR="00563657" w:rsidRPr="00E60186">
        <w:rPr>
          <w:rFonts w:ascii="Arial" w:eastAsia="Arial" w:hAnsi="Arial" w:cs="Arial"/>
          <w:sz w:val="22"/>
          <w:szCs w:val="22"/>
          <w:bdr w:val="nil"/>
          <w:lang w:val="fr-FR"/>
        </w:rPr>
        <w:t>formations sanitaires</w:t>
      </w:r>
      <w:r w:rsidRPr="00E60186">
        <w:rPr>
          <w:rFonts w:ascii="Arial" w:hAnsi="Arial" w:cs="Arial"/>
          <w:sz w:val="22"/>
          <w:szCs w:val="22"/>
        </w:rPr>
        <w:fldChar w:fldCharType="begin" w:fldLock="1"/>
      </w:r>
      <w:r w:rsidRPr="00E60186">
        <w:rPr>
          <w:rFonts w:ascii="Arial" w:hAnsi="Arial" w:cs="Arial"/>
          <w:sz w:val="22"/>
          <w:szCs w:val="22"/>
          <w:lang w:val="es-US"/>
        </w:rPr>
        <w:instrText>ADDIN CSL_CITATION {"citationItems":[{"id":"ITEM-1","itemData":{"author":[{"dropping-particle":"","family":"Togo Ministry of Health","given":"","non-dropping-particle":"","parse-names":false,"suffix":""}],"id":"ITEM-1","issued":{"date-parts":[["2014"]]},"title":"Togo Ministère de la Santé: Rapport Annuel de Performance Gestion 2014","type":"report"},"uris":["http://www.mendeley.com/documents/?uuid=5ca37d98-0261-30ec-b5e3-ea324193c4dc","http://www.mendeley.com/documents/?uuid=878d8a59-7289-4d5a-8ea8-763edeefb6a5"]},{"id":"ITEM-2","itemData":{"author":[{"dropping-particle":"","family":"Togo Ministry of Health","given":"","non-dropping-particle":"","parse-names":false,"suffix":""}],"id":"ITEM-2","issued":{"date-parts":[["2014"]]},"title":"Togo Ministère de la Santé: Principaux Indicateurs de Sante 2014","type":"report"},"uris":["http://www.mendeley.com/documents/?uuid=0339b7bd-99e3-36fd-bb58-9bf65bc2fe3f","http://www.mendeley.com/documents/?uuid=172784d6-7e5d-4b8d-99db-4d5074b31d66"]}],"mendeley":{"formattedCitation":"(5,6)","plainTextFormattedCitation":"(5,6)","previouslyFormattedCitation":"(5,6)"},"properties":{"noteIndex":0},"schema":"https://github.com/citation-style-language/schema/raw/master/csl-citation.json"}</w:instrText>
      </w:r>
      <w:r w:rsidRPr="00E60186">
        <w:rPr>
          <w:rFonts w:ascii="Arial" w:hAnsi="Arial" w:cs="Arial"/>
          <w:sz w:val="22"/>
          <w:szCs w:val="22"/>
        </w:rPr>
        <w:fldChar w:fldCharType="separate"/>
      </w:r>
      <w:r w:rsidR="00FD3DDA">
        <w:rPr>
          <w:rFonts w:ascii="Arial" w:hAnsi="Arial" w:cs="Arial"/>
          <w:sz w:val="22"/>
          <w:szCs w:val="22"/>
        </w:rPr>
        <w:t xml:space="preserve"> </w:t>
      </w:r>
      <w:r w:rsidRPr="00E60186">
        <w:rPr>
          <w:rFonts w:ascii="Arial" w:eastAsia="Arial" w:hAnsi="Arial" w:cs="Arial"/>
          <w:noProof/>
          <w:sz w:val="22"/>
          <w:szCs w:val="22"/>
          <w:bdr w:val="nil"/>
          <w:lang w:val="fr-FR"/>
        </w:rPr>
        <w:t>(5,6)</w:t>
      </w:r>
      <w:r w:rsidRPr="00E60186">
        <w:rPr>
          <w:rFonts w:ascii="Arial" w:hAnsi="Arial" w:cs="Arial"/>
          <w:sz w:val="22"/>
          <w:szCs w:val="22"/>
        </w:rPr>
        <w:fldChar w:fldCharType="end"/>
      </w:r>
      <w:r w:rsidRPr="00E60186">
        <w:rPr>
          <w:rFonts w:ascii="Arial" w:eastAsia="Arial" w:hAnsi="Arial" w:cs="Arial"/>
          <w:sz w:val="22"/>
          <w:szCs w:val="22"/>
          <w:bdr w:val="nil"/>
          <w:lang w:val="fr-FR"/>
        </w:rPr>
        <w:t>.</w:t>
      </w:r>
    </w:p>
    <w:p w:rsidR="001C0DEE" w:rsidRPr="00E60186" w:rsidRDefault="001C0DEE" w:rsidP="000A44DB">
      <w:pPr>
        <w:pStyle w:val="NoSpacing"/>
        <w:rPr>
          <w:rFonts w:ascii="Arial" w:hAnsi="Arial" w:cs="Arial"/>
          <w:sz w:val="22"/>
          <w:szCs w:val="22"/>
          <w:lang w:val="es-US"/>
        </w:rPr>
      </w:pPr>
    </w:p>
    <w:p w:rsidR="00AE4FBB" w:rsidRPr="00E60186" w:rsidRDefault="00767532" w:rsidP="000A44DB">
      <w:pPr>
        <w:pStyle w:val="NoSpacing"/>
        <w:rPr>
          <w:rFonts w:ascii="Arial" w:hAnsi="Arial" w:cs="Arial"/>
          <w:sz w:val="22"/>
          <w:szCs w:val="22"/>
          <w:lang w:val="fr-FR"/>
        </w:rPr>
      </w:pPr>
      <w:r w:rsidRPr="00A72B4C">
        <w:rPr>
          <w:rFonts w:ascii="Arial" w:eastAsia="Arial" w:hAnsi="Arial" w:cs="Arial"/>
          <w:i/>
          <w:iCs/>
          <w:sz w:val="22"/>
          <w:szCs w:val="22"/>
          <w:bdr w:val="nil"/>
          <w:lang w:val="fr-FR"/>
        </w:rPr>
        <w:t xml:space="preserve">Contexte et modèle </w:t>
      </w:r>
      <w:r w:rsidR="00AE4FBB" w:rsidRPr="00A72B4C">
        <w:rPr>
          <w:rFonts w:ascii="Arial" w:eastAsia="Arial" w:hAnsi="Arial" w:cs="Arial"/>
          <w:i/>
          <w:iCs/>
          <w:sz w:val="22"/>
          <w:szCs w:val="22"/>
          <w:bdr w:val="nil"/>
          <w:lang w:val="fr-FR"/>
        </w:rPr>
        <w:t xml:space="preserve">intégré </w:t>
      </w:r>
      <w:r w:rsidRPr="00A72B4C">
        <w:rPr>
          <w:rFonts w:ascii="Arial" w:eastAsia="Arial" w:hAnsi="Arial" w:cs="Arial"/>
          <w:i/>
          <w:iCs/>
          <w:sz w:val="22"/>
          <w:szCs w:val="22"/>
          <w:bdr w:val="nil"/>
          <w:lang w:val="fr-FR"/>
        </w:rPr>
        <w:t xml:space="preserve">de renforcement des systèmes </w:t>
      </w:r>
      <w:r w:rsidR="00AE4FBB" w:rsidRPr="00A72B4C">
        <w:rPr>
          <w:rFonts w:ascii="Arial" w:eastAsia="Arial" w:hAnsi="Arial" w:cs="Arial"/>
          <w:i/>
          <w:iCs/>
          <w:sz w:val="22"/>
          <w:szCs w:val="22"/>
          <w:bdr w:val="nil"/>
          <w:lang w:val="fr-FR"/>
        </w:rPr>
        <w:t>de santé</w:t>
      </w:r>
      <w:r w:rsidR="00A72B4C" w:rsidRPr="00A72B4C">
        <w:rPr>
          <w:rFonts w:ascii="Arial" w:eastAsia="Arial" w:hAnsi="Arial" w:cs="Arial"/>
          <w:i/>
          <w:iCs/>
          <w:sz w:val="22"/>
          <w:szCs w:val="22"/>
          <w:bdr w:val="nil"/>
          <w:lang w:val="fr-FR"/>
        </w:rPr>
        <w:t xml:space="preserve"> et </w:t>
      </w:r>
      <w:r w:rsidR="00220CE5" w:rsidRPr="00A72B4C">
        <w:rPr>
          <w:rFonts w:ascii="Arial" w:eastAsia="Arial" w:hAnsi="Arial" w:cs="Arial"/>
          <w:i/>
          <w:iCs/>
          <w:sz w:val="22"/>
          <w:szCs w:val="22"/>
          <w:bdr w:val="nil"/>
          <w:lang w:val="fr-FR"/>
        </w:rPr>
        <w:t>à</w:t>
      </w:r>
      <w:r w:rsidR="00AE4FBB" w:rsidRPr="00A72B4C">
        <w:rPr>
          <w:rFonts w:ascii="Arial" w:eastAsia="Arial" w:hAnsi="Arial" w:cs="Arial"/>
          <w:i/>
          <w:iCs/>
          <w:sz w:val="22"/>
          <w:szCs w:val="22"/>
          <w:bdr w:val="nil"/>
          <w:lang w:val="fr-FR"/>
        </w:rPr>
        <w:t xml:space="preserve"> base </w:t>
      </w:r>
      <w:r w:rsidRPr="00A72B4C">
        <w:rPr>
          <w:rFonts w:ascii="Arial" w:eastAsia="Arial" w:hAnsi="Arial" w:cs="Arial"/>
          <w:i/>
          <w:iCs/>
          <w:sz w:val="22"/>
          <w:szCs w:val="22"/>
          <w:bdr w:val="nil"/>
          <w:lang w:val="fr-FR"/>
        </w:rPr>
        <w:t xml:space="preserve">communautaire </w:t>
      </w:r>
    </w:p>
    <w:p w:rsidR="00C4713F" w:rsidRDefault="00767532" w:rsidP="000614A5">
      <w:pPr>
        <w:pStyle w:val="NoSpacing"/>
        <w:rPr>
          <w:rFonts w:ascii="Arial" w:eastAsia="Arial" w:hAnsi="Arial" w:cs="Arial"/>
          <w:sz w:val="22"/>
          <w:szCs w:val="22"/>
          <w:bdr w:val="nil"/>
          <w:lang w:val="fr-FR"/>
        </w:rPr>
      </w:pPr>
      <w:r w:rsidRPr="00E60186">
        <w:rPr>
          <w:rFonts w:ascii="Arial" w:eastAsia="Arial" w:hAnsi="Arial" w:cs="Arial"/>
          <w:sz w:val="22"/>
          <w:szCs w:val="22"/>
          <w:bdr w:val="nil"/>
          <w:lang w:val="fr-FR"/>
        </w:rPr>
        <w:t>Santé Intégrée (SI) est une organisation non gouvernementale (ONG) travaillant en collaboration avec le MS togolais depuis 2004 ainsi qu’avec des organisations communautaires (OC). Ce partenariat public-privé se concentre sur l’intégration de services sanitaires</w:t>
      </w:r>
      <w:r w:rsidR="00220CE5" w:rsidRPr="00E60186">
        <w:rPr>
          <w:rFonts w:ascii="Arial" w:eastAsia="Arial" w:hAnsi="Arial" w:cs="Arial"/>
          <w:sz w:val="22"/>
          <w:szCs w:val="22"/>
          <w:bdr w:val="nil"/>
          <w:lang w:val="fr-FR"/>
        </w:rPr>
        <w:t xml:space="preserve"> à base</w:t>
      </w:r>
      <w:r w:rsidRPr="00E60186">
        <w:rPr>
          <w:rFonts w:ascii="Arial" w:eastAsia="Arial" w:hAnsi="Arial" w:cs="Arial"/>
          <w:sz w:val="22"/>
          <w:szCs w:val="22"/>
          <w:bdr w:val="nil"/>
          <w:lang w:val="fr-FR"/>
        </w:rPr>
        <w:t xml:space="preserve"> </w:t>
      </w:r>
      <w:r w:rsidRPr="00E60186">
        <w:rPr>
          <w:rFonts w:ascii="Arial" w:eastAsia="Arial" w:hAnsi="Arial" w:cs="Arial"/>
          <w:sz w:val="22"/>
          <w:szCs w:val="22"/>
          <w:bdr w:val="nil"/>
          <w:lang w:val="fr-FR"/>
        </w:rPr>
        <w:lastRenderedPageBreak/>
        <w:t>communautaires et du secteur public dans la région de Kara, avec une focalisation initiale sur le VIH</w:t>
      </w:r>
      <w:r w:rsidRPr="00E60186">
        <w:rPr>
          <w:rFonts w:ascii="Arial" w:hAnsi="Arial" w:cs="Arial"/>
          <w:sz w:val="22"/>
          <w:szCs w:val="22"/>
        </w:rPr>
        <w:fldChar w:fldCharType="begin" w:fldLock="1"/>
      </w:r>
      <w:r w:rsidRPr="00E60186">
        <w:rPr>
          <w:rFonts w:ascii="Arial" w:hAnsi="Arial" w:cs="Arial"/>
          <w:sz w:val="22"/>
          <w:szCs w:val="22"/>
          <w:lang w:val="fr-FR"/>
        </w:rPr>
        <w:instrText>ADDIN CSL_CITATION {"citationItems":[{"id":"ITEM-1","itemData":{"DOI":"10.1080/09540121.2016.1176678","ISBN":"0954-0121","ISSN":"13600451","PMID":"27391996","abstract":"Providing quality care for all children living with HIV/AIDS remains a global challenge and requires the development of new healthcare delivery strategies. The care delivery value chain (CDVC) is a framework that maps activities required to provide effective and responsive care for a patient with a particular disease across the continuum of care. By mapping activities along a value chain, the CDVC enables managers to better allocate resources, improve communication, and coordinate activities. We report on the successful application of the CDVC as a strategy to optimize care delivery and inform quality improvement (QI) efforts with the overall aim of improving care for Pediatric HIV patients in Togo, West Africa. Over the course of 12 months, 13 distinct QI activities in Pediatric HIV/AIDS care delivery were monitored, and 11 of those activities met or exceeded established targets. Examples included: increase in infants receiving routine polymerase chain reaction testing at 2 months (39-95%), increase in HIV exposed children receiving confirmatory HIV testing at 18 months (67-100%), and increase in patients receiving initial CD4 testing within 3 months of HIV diagnosis (67-100%). The CDVC was an effective approach for evaluating existing systems and prioritizing gaps in delivery for QI over the full cycle of Pediatric HIV/AIDS care in three specific ways: (1) facilitating the first comprehensive mapping of Pediatric HIV/AIDS services, (2) identifying gaps in available services, and (3) catalyzing the creation of a responsive QI plan. The CDVC provided a framework to drive meaningful, strategic action to improve Pediatric HIV care in Togo.","author":[{"dropping-particle":"","family":"Fiori","given":"Kevin","non-dropping-particle":"","parse-names":false,"suffix":""},{"dropping-particle":"","family":"Schechter","given":"Jennifer","non-dropping-particle":"","parse-names":false,"suffix":""},{"dropping-particle":"","family":"Dey","given":"Monica","non-dropping-particle":"","parse-names":false,"suffix":""},{"dropping-particle":"","family":"Braganza","given":"Sandra","non-dropping-particle":"","parse-names":false,"suffix":""},{"dropping-particle":"","family":"Rhatigan","given":"Joseph","non-dropping-particle":"","parse-names":false,"suffix":""},{"dropping-particle":"","family":"Houndenou","given":"Spero","non-dropping-particle":"","parse-names":false,"suffix":""},{"dropping-particle":"","family":"Gbeleou","given":"Christophe","non-</w:instrText>
      </w:r>
      <w:r w:rsidRPr="00E60186">
        <w:rPr>
          <w:rFonts w:ascii="Arial" w:hAnsi="Arial" w:cs="Arial"/>
          <w:sz w:val="22"/>
          <w:szCs w:val="22"/>
        </w:rPr>
        <w:instrText>dropping-particle":"","parse-names":false,"suffix":""},{"dropping-particle":"","family":"Palerbo","given":"Emmanuel","non-dropping-particle":"","parse-names":false,"suffix":""},{"dropping-particle":"","family":"Tchangani","given":"Elfamozo","non-dropping-particle":"","parse-names":false,"suffix":""},{"dropping-particle":"","family":"Lopez","given":"Andrew","non-dropping-particle":"","parse-names":false,"suffix":""},{"dropping-particle":"","family":"Bensen","given":"Emily","non-dropping-particle":"","parse-names":false,"suffix":""},{"dropping-particle":"","family":"Hirschhorn","given":"Lisa R.","non-dropping-particle":"","parse-names":false,"suffix":""}],"container-title":"AIDS Care - Psychological and Socio-Medical Aspects of AIDS/HIV","id":"ITEM-1","issue":"September 2017","issued":{"date-parts":[["2016"]]},"page":"29-33","title":"Closing the delivery gaps in pediatric HIV care in Togo, West Africa: using the care delivery value chain framework to direct quality improvement","type":"article-journal","volume":"28"},"uris":["http://www.mendeley.com/documents/?uuid=0c647df8-64f1-4bc7-b45d-392077290a88"]},{"id":"ITEM-2","itemData":{"DOI":"10.1080/09540121.2019.1626342","ISSN":"0954-0121","abstract":"ABSTRACTTo disseminate lessons learned from the implementation experience of a public-private sector partnership, we describe a comprehensive HIV/AIDS program including 5-year survival outcomes for...","author":[{"dropping-particle":"","family":"Fiori","given":"Kevin P.","non-dropping-particle":"","parse-names":false,"suffix":""},{"dropping-particle":"","family":"Belli","given":"Hayley M.","non-dropping-particle":"","parse-names":false,"suffix":""},{"dropping-particle":"","family":"Lauria","given":"Molly E.","non-dropping-particle":"","parse-names":false,"suffix":""},{"dropping-particle":"","family":"Hirschhorn","given":"Lisa R.","non-dropping-particle":"","parse-names":false,"suffix":""},{"dropping-particle":"","family":"Schechter","given":"Jennifer","non-dropping-particle":"","parse-names":false,"suffix":""},{"dropping-particle":"","family":"Hansman","given":"Emily","non-dropping-particle":"","parse-names":false,"suffix":""},{"dropping-particle":"","family":"Rajshekhar","given":"Nandita","non-dropping-particle":"","parse-names":false,"suffix":""},{"dropping-particle":"","family":"Katin","given":"Venance","non-dropping-particle":"","parse-names":false,"suffix":""},{"dropping-particle":"","family":"Gbeleou","given":"Sesso","non-dropping-particle":"","parse-names":false,"suffix":""},{"dropping-particle":"","family":"Grunitsky-Bekele","given":"Meskerem","non-dropping-particle":"","parse-names":false,"suffix":""},{"dropping-particle":"","family":"Pitche","given":"Vincent Palokinam","non-dropping-particle":"","parse-names":false,"suffix":""}],"container-title":"AIDS Care","id":"ITEM-2","issued":{"date-parts":[["2019","6","6"]]},"page":"1-9","publisher":"Taylor &amp; Francis","title":"Implementing an integrated community based health systems strengthening approach to improve HIV survival in Northern Togo","type":"article-journal"},"uris":["http://www.mendeley.com/documents/?uuid=b432c4d1-9c88-313f-bcd6-6a5703c102a1"]}],"mendeley":{"formattedCitation":"(7,8)","plainTextFormattedCitation":"(7,8)","previouslyFormattedCitation":"(7,8)"},"properties":{"noteIndex":0},"schema":"https://github.com/citation-style-language/schema/raw/master/csl-citation.json"}</w:instrText>
      </w:r>
      <w:r w:rsidRPr="00E60186">
        <w:rPr>
          <w:rFonts w:ascii="Arial" w:hAnsi="Arial" w:cs="Arial"/>
          <w:sz w:val="22"/>
          <w:szCs w:val="22"/>
        </w:rPr>
        <w:fldChar w:fldCharType="separate"/>
      </w:r>
      <w:r w:rsidR="00FD3DDA">
        <w:rPr>
          <w:rFonts w:ascii="Arial" w:hAnsi="Arial" w:cs="Arial"/>
          <w:sz w:val="22"/>
          <w:szCs w:val="22"/>
        </w:rPr>
        <w:t xml:space="preserve"> </w:t>
      </w:r>
      <w:r w:rsidRPr="00E60186">
        <w:rPr>
          <w:rFonts w:ascii="Arial" w:eastAsia="Arial" w:hAnsi="Arial" w:cs="Arial"/>
          <w:noProof/>
          <w:sz w:val="22"/>
          <w:szCs w:val="22"/>
          <w:bdr w:val="nil"/>
          <w:lang w:val="fr-FR"/>
        </w:rPr>
        <w:t>(7,8)</w:t>
      </w:r>
      <w:r w:rsidRPr="00E60186">
        <w:rPr>
          <w:rFonts w:ascii="Arial" w:hAnsi="Arial" w:cs="Arial"/>
          <w:sz w:val="22"/>
          <w:szCs w:val="22"/>
        </w:rPr>
        <w:fldChar w:fldCharType="end"/>
      </w:r>
      <w:r w:rsidRPr="00E60186">
        <w:rPr>
          <w:rFonts w:ascii="Arial" w:eastAsia="Arial" w:hAnsi="Arial" w:cs="Arial"/>
          <w:sz w:val="22"/>
          <w:szCs w:val="22"/>
          <w:bdr w:val="nil"/>
          <w:lang w:val="fr-FR"/>
        </w:rPr>
        <w:t xml:space="preserve"> puis une extension ultérieure aux soins primaires</w:t>
      </w:r>
      <w:r w:rsidRPr="00E60186">
        <w:rPr>
          <w:rFonts w:ascii="Arial" w:hAnsi="Arial" w:cs="Arial"/>
          <w:sz w:val="22"/>
          <w:szCs w:val="22"/>
        </w:rPr>
        <w:fldChar w:fldCharType="begin" w:fldLock="1"/>
      </w:r>
      <w:r w:rsidRPr="00E60186">
        <w:rPr>
          <w:rFonts w:ascii="Arial" w:hAnsi="Arial" w:cs="Arial"/>
          <w:sz w:val="22"/>
          <w:szCs w:val="22"/>
        </w:rPr>
        <w:instrText>ADDIN CSL_CITATION {"citationItems":[{"id":"ITEM-1","itemData":{"DOI":"10.1371/journal.pone.0173445","ISBN":"1111111111","ISSN":"19326203","PMID":"28301539","abstract":"OBJECTIVE: In Togo, substantial progress in maternal and child health is needed to reach global development goals. To better inform clinic and community-based health services, this study identifies factors associated with maternal and child health care utilization in the Kara region of Northern Togo. METHODS: We conducted a population-representative household survey of four health clinic catchment areas of 1,075 women of reproductive age in 2015. Multivariable logistic regression was used to model individual and structural factors associated with utilization of four maternal and child health services. Key outcomes were: facility-based delivery, maternal postnatal health check by a health professional within the first six weeks of birth, childhood vaccination, and receipt of malaria medication for febrile children under age five within 72 hours of symptom onset. RESULTS: 83 percent of women who gave birth in the last 2 years delivered at a health facility. In adjusted models, the strongest predictor of facility delivery in the rural catchment areas was proximity to a health center, with women living under three kilometers having 3.7 (95% CI 1.7, 7.9) times the odds of a facility birth. Only 11 percent of women received a health check by a health provider at any time in the postnatal period. Postnatal health checks were less likely for women in the poorest households and for women who resided in rural areas. Children of polygamous mothers had half the odds of receiving malaria medication for fever within 72 hours of symptom onset, while children with increased household wealth status had increased odds of childhood vaccination and receiving treatment for malaria. CONCLUSION: Our analysis highlights the importance of risk stratification analysis to inform the delivery and scope of maternal and child health programs needed to reach those with the least access to care.","author":[{"dropping-particle":"","family":"McCarthy","given":"Katharine J.","non-dropping-particle":"","parse-names":false,"suffix":""},{"dropping-particle":"","family":"Braganza","given":"Sandra","non-dropping-particle":"","parse-names":false,"suffix":""},{"dropping-particle":"","family":"Fiori","given":"Kevin","non-dropping-particle":"","parse-names":false,"suffix":""},{"dropping-particle":"","family":"Gbeleou","given":"Christophe","non-dropping-particle":"","parse-names":false,"suffix":""},{"dropping-particle":"","family":"Kpakpo","given":"Vivien","non-dropping-particle":"","parse-names":false,"suffix":""},{"dropping-particle":"","family":"Lopez","given":"Andrew","non-dropping-particle":"","parse-names":false,"suffix":""},{"dropping-particle":"","family":"Schechter","given":"Jennifer","non-dropping-particle":"","parse-names":false,"suffix":""},{"dropping-particle":"","family":"Goodwin","given":"Alicia Singham","non-dropping-particle":"","parse-names":false,"suffix":""},{"dropping-particle":"","family":"Jones","given":"Heidi E.","non-dropping-particle":"","parse-names":false,"suffix":""}],"container-title":"PLoS ONE","id":"ITEM-1","issue":"3","issued":{"date-parts":[["2017"]]},"page":"1-19","title":"Identifying inequities in maternal and child health through risk stratification to inform health systems strengthening in Northern Togo","type":"article-journal","volume":"12"},"uris":["http://www.mendeley.com/documents/?uuid=e3594b1d-65d9-4b53-820b-ff34fbcddbb6"]},{"id":"ITEM-2","itemData":{"DOI":"10.1002/wmh3.195","ISSN":"19484682","author":[{"dropping-particle":"","family":"Arnold","given":"Judie","non-dropping-particle":"","parse-names":false,"suffix":""},{"dropping-particle":"","family":"</w:instrText>
      </w:r>
      <w:r w:rsidRPr="00E60186">
        <w:rPr>
          <w:rFonts w:ascii="Arial" w:hAnsi="Arial" w:cs="Arial"/>
          <w:sz w:val="22"/>
          <w:szCs w:val="22"/>
          <w:lang w:val="es-US"/>
        </w:rPr>
        <w:instrText>Samson","given":"Mélanie","non-dropping-particle":"","parse-names":false,"suffix":""},{"dropping-particle":"","family":"Schechter","given":"Jennifer","non-dropping-particle":"","parse-names":false,"suffix":""},{"dropping-particle":"","family":"Goodwin","given":"Alicia Singham","non-dropping-particle":"","parse-names":false,"suffix":""},{"dropping-particle":"","family":"Braganza","given":"Sandra","non-dropping-particle":"","parse-names":false,"suffix":""},{"dropping-particle":"","family":"Sesso","given":"Gbeleou Christophe","non-dropping-particle":"","parse-names":false,"suffix":""},{"dropping-particle":"","family":"Lopez","given":"Andrew","non-dropping-particle":"","parse-names":false,"suffix":""},{"dropping-particle":"","family":"Fiori","given":"Kevin","non-dropping-particle":"","parse-names":false,"suffix":""}],"container-title":"World Medical &amp; Health Policy","id":"ITEM-2","issue":"3","issued":{"date-parts":[["2016","9","1"]]},"page":"223-244","publisher":"John Wiley &amp; Sons, Ltd","title":"Getting There: Overcoming Barriers to Reproductive and Maternal Health Services Access in Northern Togo-A Qualitative Study","type":"article-journal","volume":"8"},"uris":["http://www.mendeley.com/documents/?uuid=7a658f08-7366-32c4-932b-88a3e9cf0b96"]}],"mendeley":{"formattedCitation":"(9,10)","plainTextFormattedCitation":"(9,10)","previouslyFormattedCitation":"(9,10)"},"properties":{"noteIndex":0},"schema":"https://github.com/citation-style-language/schema/raw/master/csl-citation.json"}</w:instrText>
      </w:r>
      <w:r w:rsidRPr="00E60186">
        <w:rPr>
          <w:rFonts w:ascii="Arial" w:hAnsi="Arial" w:cs="Arial"/>
          <w:sz w:val="22"/>
          <w:szCs w:val="22"/>
        </w:rPr>
        <w:fldChar w:fldCharType="separate"/>
      </w:r>
      <w:r w:rsidR="00FD3DDA">
        <w:rPr>
          <w:rFonts w:ascii="Arial" w:hAnsi="Arial" w:cs="Arial"/>
          <w:sz w:val="22"/>
          <w:szCs w:val="22"/>
        </w:rPr>
        <w:t xml:space="preserve"> </w:t>
      </w:r>
      <w:r w:rsidRPr="00E60186">
        <w:rPr>
          <w:rFonts w:ascii="Arial" w:eastAsia="Arial" w:hAnsi="Arial" w:cs="Arial"/>
          <w:noProof/>
          <w:sz w:val="22"/>
          <w:szCs w:val="22"/>
          <w:bdr w:val="nil"/>
          <w:lang w:val="fr-FR"/>
        </w:rPr>
        <w:t>(9,10)</w:t>
      </w:r>
      <w:r w:rsidRPr="00E60186">
        <w:rPr>
          <w:rFonts w:ascii="Arial" w:hAnsi="Arial" w:cs="Arial"/>
          <w:sz w:val="22"/>
          <w:szCs w:val="22"/>
        </w:rPr>
        <w:fldChar w:fldCharType="end"/>
      </w:r>
      <w:r w:rsidRPr="00E60186">
        <w:rPr>
          <w:rFonts w:ascii="Arial" w:eastAsia="Arial" w:hAnsi="Arial" w:cs="Arial"/>
          <w:sz w:val="22"/>
          <w:szCs w:val="22"/>
          <w:bdr w:val="nil"/>
          <w:lang w:val="fr-FR"/>
        </w:rPr>
        <w:t>. Dans le cadre de la poursuite d’un objectif de recherche déterminant visant à améliorer les systèmes de santé</w:t>
      </w:r>
      <w:r w:rsidR="00220CE5" w:rsidRPr="00E60186">
        <w:rPr>
          <w:rFonts w:ascii="Arial" w:eastAsia="Arial" w:hAnsi="Arial" w:cs="Arial"/>
          <w:sz w:val="22"/>
          <w:szCs w:val="22"/>
          <w:bdr w:val="nil"/>
          <w:lang w:val="fr-FR"/>
        </w:rPr>
        <w:t xml:space="preserve"> à base communautaire</w:t>
      </w:r>
      <w:r w:rsidRPr="00E60186">
        <w:rPr>
          <w:rFonts w:ascii="Arial" w:eastAsia="Arial" w:hAnsi="Arial" w:cs="Arial"/>
          <w:sz w:val="22"/>
          <w:szCs w:val="22"/>
          <w:bdr w:val="nil"/>
          <w:lang w:val="fr-FR"/>
        </w:rPr>
        <w:t xml:space="preserve">, SI a formé le </w:t>
      </w:r>
      <w:proofErr w:type="spellStart"/>
      <w:r w:rsidRPr="00A72B4C">
        <w:rPr>
          <w:rFonts w:ascii="Arial" w:eastAsia="Arial" w:hAnsi="Arial" w:cs="Arial"/>
          <w:sz w:val="22"/>
          <w:szCs w:val="22"/>
          <w:bdr w:val="nil"/>
          <w:lang w:val="fr-FR"/>
        </w:rPr>
        <w:t>Community</w:t>
      </w:r>
      <w:proofErr w:type="spellEnd"/>
      <w:r w:rsidRPr="00A72B4C">
        <w:rPr>
          <w:rFonts w:ascii="Arial" w:eastAsia="Arial" w:hAnsi="Arial" w:cs="Arial"/>
          <w:sz w:val="22"/>
          <w:szCs w:val="22"/>
          <w:bdr w:val="nil"/>
          <w:lang w:val="fr-FR"/>
        </w:rPr>
        <w:t xml:space="preserve"> Health </w:t>
      </w:r>
      <w:proofErr w:type="spellStart"/>
      <w:r w:rsidRPr="00A72B4C">
        <w:rPr>
          <w:rFonts w:ascii="Arial" w:eastAsia="Arial" w:hAnsi="Arial" w:cs="Arial"/>
          <w:sz w:val="22"/>
          <w:szCs w:val="22"/>
          <w:bdr w:val="nil"/>
          <w:lang w:val="fr-FR"/>
        </w:rPr>
        <w:t>Systems</w:t>
      </w:r>
      <w:proofErr w:type="spellEnd"/>
      <w:r w:rsidRPr="00A72B4C">
        <w:rPr>
          <w:rFonts w:ascii="Arial" w:eastAsia="Arial" w:hAnsi="Arial" w:cs="Arial"/>
          <w:sz w:val="22"/>
          <w:szCs w:val="22"/>
          <w:bdr w:val="nil"/>
          <w:lang w:val="fr-FR"/>
        </w:rPr>
        <w:t xml:space="preserve"> </w:t>
      </w:r>
      <w:proofErr w:type="spellStart"/>
      <w:r w:rsidRPr="00A72B4C">
        <w:rPr>
          <w:rFonts w:ascii="Arial" w:eastAsia="Arial" w:hAnsi="Arial" w:cs="Arial"/>
          <w:sz w:val="22"/>
          <w:szCs w:val="22"/>
          <w:bdr w:val="nil"/>
          <w:lang w:val="fr-FR"/>
        </w:rPr>
        <w:t>Lab</w:t>
      </w:r>
      <w:proofErr w:type="spellEnd"/>
      <w:r w:rsidRPr="00A72B4C">
        <w:rPr>
          <w:rFonts w:ascii="Arial" w:eastAsia="Arial" w:hAnsi="Arial" w:cs="Arial"/>
          <w:sz w:val="22"/>
          <w:szCs w:val="22"/>
          <w:bdr w:val="nil"/>
          <w:lang w:val="fr-FR"/>
        </w:rPr>
        <w:t xml:space="preserve"> (CHSL), qui intègre </w:t>
      </w:r>
      <w:r w:rsidR="00EF5C18" w:rsidRPr="00A72B4C">
        <w:rPr>
          <w:rFonts w:ascii="Arial" w:eastAsia="Arial" w:hAnsi="Arial" w:cs="Arial"/>
          <w:sz w:val="22"/>
          <w:szCs w:val="22"/>
          <w:bdr w:val="nil"/>
          <w:lang w:val="fr-FR"/>
        </w:rPr>
        <w:t>la</w:t>
      </w:r>
      <w:r w:rsidR="00E60186" w:rsidRPr="00A72B4C">
        <w:rPr>
          <w:rFonts w:ascii="Arial" w:eastAsia="Arial" w:hAnsi="Arial" w:cs="Arial"/>
          <w:sz w:val="22"/>
          <w:szCs w:val="22"/>
          <w:bdr w:val="nil"/>
          <w:lang w:val="fr-FR"/>
        </w:rPr>
        <w:t xml:space="preserve"> </w:t>
      </w:r>
      <w:r w:rsidR="00EF5C18" w:rsidRPr="00A72B4C">
        <w:rPr>
          <w:rFonts w:ascii="Arial" w:eastAsia="Arial" w:hAnsi="Arial" w:cs="Arial"/>
          <w:sz w:val="22"/>
          <w:szCs w:val="22"/>
          <w:bdr w:val="nil"/>
          <w:lang w:val="fr-FR"/>
        </w:rPr>
        <w:t xml:space="preserve">science de la </w:t>
      </w:r>
      <w:r w:rsidRPr="00A72B4C">
        <w:rPr>
          <w:rFonts w:ascii="Arial" w:eastAsia="Arial" w:hAnsi="Arial" w:cs="Arial"/>
          <w:sz w:val="22"/>
          <w:szCs w:val="22"/>
          <w:bdr w:val="nil"/>
          <w:lang w:val="fr-FR"/>
        </w:rPr>
        <w:t xml:space="preserve">mise en œuvre et la diffusion </w:t>
      </w:r>
      <w:r w:rsidR="005D1BEC">
        <w:rPr>
          <w:rFonts w:ascii="Arial" w:eastAsia="Arial" w:hAnsi="Arial" w:cs="Arial"/>
          <w:sz w:val="22"/>
          <w:szCs w:val="22"/>
          <w:bdr w:val="nil"/>
          <w:lang w:val="fr-FR"/>
        </w:rPr>
        <w:t>des résulta</w:t>
      </w:r>
      <w:r w:rsidR="00EF5C18" w:rsidRPr="00A72B4C">
        <w:rPr>
          <w:rFonts w:ascii="Arial" w:eastAsia="Arial" w:hAnsi="Arial" w:cs="Arial"/>
          <w:sz w:val="22"/>
          <w:szCs w:val="22"/>
          <w:bdr w:val="nil"/>
          <w:lang w:val="fr-FR"/>
        </w:rPr>
        <w:t>ts</w:t>
      </w:r>
      <w:r w:rsidRPr="00E60186">
        <w:rPr>
          <w:rFonts w:ascii="Arial" w:eastAsia="Arial" w:hAnsi="Arial" w:cs="Arial"/>
          <w:sz w:val="22"/>
          <w:szCs w:val="22"/>
          <w:bdr w:val="nil"/>
          <w:lang w:val="fr-FR"/>
        </w:rPr>
        <w:t xml:space="preserve"> dans les opérations de SI, y compris le protocole d’étude actuel. Les détails organisationnels du CHSL sont présentés dans la figure</w:t>
      </w:r>
      <w:r w:rsidR="00FD3DDA">
        <w:rPr>
          <w:rFonts w:ascii="Arial" w:eastAsia="Arial" w:hAnsi="Arial" w:cs="Arial"/>
          <w:sz w:val="22"/>
          <w:szCs w:val="22"/>
          <w:bdr w:val="nil"/>
          <w:lang w:val="fr-FR"/>
        </w:rPr>
        <w:t> </w:t>
      </w:r>
      <w:r w:rsidRPr="00E60186">
        <w:rPr>
          <w:rFonts w:ascii="Arial" w:eastAsia="Arial" w:hAnsi="Arial" w:cs="Arial"/>
          <w:sz w:val="22"/>
          <w:szCs w:val="22"/>
          <w:bdr w:val="nil"/>
          <w:lang w:val="fr-FR"/>
        </w:rPr>
        <w:t>1. SI vise à favoriser une approche pédagogique du système sanitaire, via des preuves d’origine locale afin de renforcer l’efficacité de notre partenaire principal, le MS togolais, et de contribuer à la création de connaissances et à l’adoption par la diffusion aux collègues locaux, nationaux</w:t>
      </w:r>
      <w:r w:rsidR="00220CE5" w:rsidRPr="00E60186">
        <w:rPr>
          <w:rFonts w:ascii="Arial" w:eastAsia="Arial" w:hAnsi="Arial" w:cs="Arial"/>
          <w:sz w:val="22"/>
          <w:szCs w:val="22"/>
          <w:bdr w:val="nil"/>
          <w:lang w:val="fr-FR"/>
        </w:rPr>
        <w:t>,</w:t>
      </w:r>
      <w:r w:rsidR="00E60186" w:rsidRPr="000A44DB">
        <w:rPr>
          <w:rFonts w:ascii="Arial" w:eastAsia="Arial" w:hAnsi="Arial" w:cs="Arial"/>
          <w:sz w:val="22"/>
          <w:szCs w:val="22"/>
          <w:bdr w:val="nil"/>
          <w:lang w:val="fr-FR"/>
        </w:rPr>
        <w:t xml:space="preserve"> et mondiaux.</w:t>
      </w:r>
    </w:p>
    <w:p w:rsidR="00C4713F" w:rsidRDefault="00C4713F" w:rsidP="000614A5">
      <w:pPr>
        <w:pStyle w:val="NoSpacing"/>
        <w:rPr>
          <w:rFonts w:eastAsia="Arial"/>
          <w:bdr w:val="nil"/>
          <w:lang w:val="fr-FR"/>
        </w:rPr>
      </w:pPr>
      <w:r>
        <w:rPr>
          <w:rFonts w:eastAsia="Arial"/>
          <w:noProof/>
        </w:rPr>
        <mc:AlternateContent>
          <mc:Choice Requires="wps">
            <w:drawing>
              <wp:anchor distT="0" distB="0" distL="114300" distR="114300" simplePos="0" relativeHeight="251661312" behindDoc="0" locked="0" layoutInCell="1" allowOverlap="1">
                <wp:simplePos x="0" y="0"/>
                <wp:positionH relativeFrom="column">
                  <wp:posOffset>222885</wp:posOffset>
                </wp:positionH>
                <wp:positionV relativeFrom="paragraph">
                  <wp:posOffset>238598</wp:posOffset>
                </wp:positionV>
                <wp:extent cx="5942965" cy="4326890"/>
                <wp:effectExtent l="0" t="0" r="19685" b="16510"/>
                <wp:wrapNone/>
                <wp:docPr id="10" name="Rectangle 10"/>
                <wp:cNvGraphicFramePr/>
                <a:graphic xmlns:a="http://schemas.openxmlformats.org/drawingml/2006/main">
                  <a:graphicData uri="http://schemas.microsoft.com/office/word/2010/wordprocessingShape">
                    <wps:wsp>
                      <wps:cNvSpPr/>
                      <wps:spPr>
                        <a:xfrm>
                          <a:off x="0" y="0"/>
                          <a:ext cx="5942965" cy="432689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FC8FD" id="Rectangle 10" o:spid="_x0000_s1026" style="position:absolute;margin-left:17.55pt;margin-top:18.8pt;width:467.95pt;height:3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" filled="f" strokecolor="black [3213]" strokeweight="1pt"/>
            </w:pict>
          </mc:Fallback>
        </mc:AlternateContent>
      </w:r>
    </w:p>
    <w:p w:rsidR="00C4713F" w:rsidRDefault="000614A5" w:rsidP="00C4713F">
      <w:pPr>
        <w:pStyle w:val="NoSpacing"/>
        <w:spacing w:line="240" w:lineRule="auto"/>
        <w:rPr>
          <w:rFonts w:ascii="Arial" w:eastAsia="Arial" w:hAnsi="Arial" w:cs="Arial"/>
          <w:b/>
          <w:bCs/>
          <w:sz w:val="22"/>
          <w:szCs w:val="22"/>
          <w:lang w:val="fr-FR"/>
        </w:rPr>
      </w:pPr>
      <w:r>
        <w:rPr>
          <w:rFonts w:ascii="Avenir Roman" w:hAnsi="Avenir Roman" w:cstheme="majorHAnsi"/>
          <w:noProof/>
          <w:color w:val="000000"/>
          <w:sz w:val="22"/>
          <w:szCs w:val="22"/>
        </w:rPr>
        <mc:AlternateContent>
          <mc:Choice Requires="wps">
            <w:drawing>
              <wp:anchor distT="0" distB="0" distL="114300" distR="114300" simplePos="0" relativeHeight="251660288" behindDoc="0" locked="0" layoutInCell="1" allowOverlap="1" wp14:anchorId="73D760A3" wp14:editId="28A34C12">
                <wp:simplePos x="0" y="0"/>
                <wp:positionH relativeFrom="column">
                  <wp:posOffset>1923888</wp:posOffset>
                </wp:positionH>
                <wp:positionV relativeFrom="paragraph">
                  <wp:posOffset>275590</wp:posOffset>
                </wp:positionV>
                <wp:extent cx="2286000" cy="893135"/>
                <wp:effectExtent l="0" t="0" r="19050" b="21590"/>
                <wp:wrapNone/>
                <wp:docPr id="6" name="Straight Connector 6"/>
                <wp:cNvGraphicFramePr/>
                <a:graphic xmlns:a="http://schemas.openxmlformats.org/drawingml/2006/main">
                  <a:graphicData uri="http://schemas.microsoft.com/office/word/2010/wordprocessingShape">
                    <wps:wsp>
                      <wps:cNvCnPr/>
                      <wps:spPr>
                        <a:xfrm>
                          <a:off x="0" y="0"/>
                          <a:ext cx="2286000" cy="893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3016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21.7pt" to="331.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" strokecolor="black [3200]" strokeweight=".5pt">
                <v:stroke joinstyle="miter"/>
              </v:line>
            </w:pict>
          </mc:Fallback>
        </mc:AlternateContent>
      </w:r>
      <w:r w:rsidR="00515973">
        <w:rPr>
          <w:rFonts w:ascii="Avenir Roman" w:hAnsi="Avenir Roman" w:cstheme="majorHAnsi"/>
          <w:noProof/>
          <w:color w:val="000000"/>
          <w:sz w:val="22"/>
          <w:szCs w:val="22"/>
        </w:rPr>
        <w:drawing>
          <wp:anchor distT="0" distB="0" distL="114300" distR="114300" simplePos="0" relativeHeight="251659264" behindDoc="1" locked="0" layoutInCell="1" allowOverlap="1" wp14:anchorId="35BD7BEA" wp14:editId="4147A024">
            <wp:simplePos x="0" y="0"/>
            <wp:positionH relativeFrom="column">
              <wp:posOffset>3279155</wp:posOffset>
            </wp:positionH>
            <wp:positionV relativeFrom="paragraph">
              <wp:posOffset>279400</wp:posOffset>
            </wp:positionV>
            <wp:extent cx="2736850" cy="3637915"/>
            <wp:effectExtent l="38100" t="0" r="44450" b="19685"/>
            <wp:wrapThrough wrapText="bothSides">
              <wp:wrapPolygon edited="0">
                <wp:start x="-301" y="0"/>
                <wp:lineTo x="-301" y="21604"/>
                <wp:lineTo x="21800" y="21604"/>
                <wp:lineTo x="21800" y="0"/>
                <wp:lineTo x="-301"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515973">
        <w:rPr>
          <w:rFonts w:ascii="Arial" w:hAnsi="Arial" w:cs="Arial"/>
          <w:b/>
          <w:noProof/>
          <w:sz w:val="22"/>
          <w:szCs w:val="22"/>
        </w:rPr>
        <w:drawing>
          <wp:inline distT="0" distB="0" distL="0" distR="0" wp14:anchorId="1BAA15F3" wp14:editId="6718C2B9">
            <wp:extent cx="3082925" cy="4161760"/>
            <wp:effectExtent l="0" t="0" r="0" b="107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4713F" w:rsidRDefault="00C4713F" w:rsidP="00C4713F">
      <w:pPr>
        <w:pStyle w:val="NoSpacing"/>
        <w:spacing w:line="240" w:lineRule="auto"/>
        <w:rPr>
          <w:rFonts w:ascii="Arial" w:eastAsia="Arial" w:hAnsi="Arial" w:cs="Arial"/>
          <w:b/>
          <w:bCs/>
          <w:sz w:val="22"/>
          <w:szCs w:val="22"/>
          <w:lang w:val="fr-FR"/>
        </w:rPr>
      </w:pPr>
    </w:p>
    <w:p w:rsidR="00C4713F" w:rsidRDefault="00B2330F" w:rsidP="00C4713F">
      <w:pPr>
        <w:pStyle w:val="NoSpacing"/>
        <w:spacing w:line="240" w:lineRule="auto"/>
        <w:rPr>
          <w:rFonts w:ascii="Arial" w:eastAsia="Arial" w:hAnsi="Arial" w:cs="Arial"/>
          <w:sz w:val="22"/>
          <w:szCs w:val="22"/>
          <w:lang w:val="fr-FR"/>
        </w:rPr>
      </w:pPr>
      <w:r w:rsidRPr="00C4713F">
        <w:rPr>
          <w:rFonts w:ascii="Arial" w:eastAsia="Arial" w:hAnsi="Arial" w:cs="Arial"/>
          <w:b/>
          <w:bCs/>
          <w:sz w:val="22"/>
          <w:szCs w:val="22"/>
          <w:lang w:val="fr-FR"/>
        </w:rPr>
        <w:t>Figure 1</w:t>
      </w:r>
      <w:r w:rsidRPr="00C4713F">
        <w:rPr>
          <w:rFonts w:ascii="Arial" w:eastAsia="Arial" w:hAnsi="Arial" w:cs="Arial"/>
          <w:sz w:val="22"/>
          <w:szCs w:val="22"/>
          <w:lang w:val="fr-FR"/>
        </w:rPr>
        <w:t xml:space="preserve">. Organigramme de la structure organisationnelle de </w:t>
      </w:r>
      <w:proofErr w:type="spellStart"/>
      <w:r w:rsidRPr="00C4713F">
        <w:rPr>
          <w:rFonts w:ascii="Arial" w:eastAsia="Arial" w:hAnsi="Arial" w:cs="Arial"/>
          <w:sz w:val="22"/>
          <w:szCs w:val="22"/>
          <w:lang w:val="fr-FR"/>
        </w:rPr>
        <w:t>Community</w:t>
      </w:r>
      <w:proofErr w:type="spellEnd"/>
      <w:r w:rsidRPr="00C4713F">
        <w:rPr>
          <w:rFonts w:ascii="Arial" w:eastAsia="Arial" w:hAnsi="Arial" w:cs="Arial"/>
          <w:sz w:val="22"/>
          <w:szCs w:val="22"/>
          <w:lang w:val="fr-FR"/>
        </w:rPr>
        <w:t xml:space="preserve"> Health </w:t>
      </w:r>
      <w:proofErr w:type="spellStart"/>
      <w:r w:rsidRPr="00C4713F">
        <w:rPr>
          <w:rFonts w:ascii="Arial" w:eastAsia="Arial" w:hAnsi="Arial" w:cs="Arial"/>
          <w:sz w:val="22"/>
          <w:szCs w:val="22"/>
          <w:lang w:val="fr-FR"/>
        </w:rPr>
        <w:t>Systems</w:t>
      </w:r>
      <w:proofErr w:type="spellEnd"/>
      <w:r w:rsidRPr="00C4713F">
        <w:rPr>
          <w:rFonts w:ascii="Arial" w:eastAsia="Arial" w:hAnsi="Arial" w:cs="Arial"/>
          <w:sz w:val="22"/>
          <w:szCs w:val="22"/>
          <w:lang w:val="fr-FR"/>
        </w:rPr>
        <w:t xml:space="preserve"> </w:t>
      </w:r>
      <w:proofErr w:type="spellStart"/>
      <w:r w:rsidRPr="00C4713F">
        <w:rPr>
          <w:rFonts w:ascii="Arial" w:eastAsia="Arial" w:hAnsi="Arial" w:cs="Arial"/>
          <w:sz w:val="22"/>
          <w:szCs w:val="22"/>
          <w:lang w:val="fr-FR"/>
        </w:rPr>
        <w:t>Lab</w:t>
      </w:r>
      <w:proofErr w:type="spellEnd"/>
      <w:r w:rsidRPr="00C4713F">
        <w:rPr>
          <w:rFonts w:ascii="Arial" w:eastAsia="Arial" w:hAnsi="Arial" w:cs="Arial"/>
          <w:sz w:val="22"/>
          <w:szCs w:val="22"/>
          <w:lang w:val="fr-FR"/>
        </w:rPr>
        <w:t xml:space="preserve"> (CHSL) au sein de Santé Intégrée</w:t>
      </w:r>
    </w:p>
    <w:p w:rsidR="000614A5" w:rsidRDefault="00767532" w:rsidP="000614A5">
      <w:pPr>
        <w:pStyle w:val="NoSpacing"/>
        <w:rPr>
          <w:rFonts w:ascii="Arial" w:eastAsia="Arial" w:hAnsi="Arial" w:cs="Arial"/>
          <w:sz w:val="22"/>
          <w:szCs w:val="22"/>
          <w:bdr w:val="nil"/>
          <w:lang w:val="fr-FR"/>
        </w:rPr>
      </w:pPr>
      <w:r w:rsidRPr="000A44DB">
        <w:rPr>
          <w:rFonts w:ascii="Arial" w:eastAsia="Arial" w:hAnsi="Arial" w:cs="Arial"/>
          <w:sz w:val="22"/>
          <w:szCs w:val="22"/>
          <w:bdr w:val="nil"/>
          <w:lang w:val="fr-FR"/>
        </w:rPr>
        <w:lastRenderedPageBreak/>
        <w:t>En 2014, SI a développé un nouveau partenariat avec le MS afin d’améliorer les services de santé primaires en se concentrant sur les c</w:t>
      </w:r>
      <w:r w:rsidR="005D1BEC">
        <w:rPr>
          <w:rFonts w:ascii="Arial" w:eastAsia="Arial" w:hAnsi="Arial" w:cs="Arial"/>
          <w:sz w:val="22"/>
          <w:szCs w:val="22"/>
          <w:bdr w:val="nil"/>
          <w:lang w:val="fr-FR"/>
        </w:rPr>
        <w:t>auses majeures de</w:t>
      </w:r>
      <w:r w:rsidRPr="000A44DB">
        <w:rPr>
          <w:rFonts w:ascii="Arial" w:eastAsia="Arial" w:hAnsi="Arial" w:cs="Arial"/>
          <w:sz w:val="22"/>
          <w:szCs w:val="22"/>
          <w:bdr w:val="nil"/>
          <w:lang w:val="fr-FR"/>
        </w:rPr>
        <w:t xml:space="preserve"> mortalité prématurée dans les zones</w:t>
      </w:r>
      <w:r w:rsidR="005D1BEC">
        <w:rPr>
          <w:rFonts w:ascii="Arial" w:eastAsia="Arial" w:hAnsi="Arial" w:cs="Arial"/>
          <w:sz w:val="22"/>
          <w:szCs w:val="22"/>
          <w:bdr w:val="nil"/>
          <w:lang w:val="fr-FR"/>
        </w:rPr>
        <w:t xml:space="preserve"> desservies par quatre centres de santé </w:t>
      </w:r>
      <w:r w:rsidRPr="00122E24">
        <w:rPr>
          <w:rFonts w:ascii="Arial" w:eastAsia="Arial" w:hAnsi="Arial" w:cs="Arial"/>
          <w:sz w:val="22"/>
          <w:szCs w:val="22"/>
          <w:bdr w:val="nil"/>
          <w:lang w:val="fr-FR"/>
        </w:rPr>
        <w:t xml:space="preserve">du secteur public dans la préfecture de Kozah, située dans le nord de la région de Kara. Ces interventions de santé </w:t>
      </w:r>
      <w:r w:rsidR="005D1BEC">
        <w:rPr>
          <w:rFonts w:ascii="Arial" w:eastAsia="Arial" w:hAnsi="Arial" w:cs="Arial"/>
          <w:sz w:val="22"/>
          <w:szCs w:val="22"/>
          <w:bdr w:val="nil"/>
          <w:lang w:val="fr-FR"/>
        </w:rPr>
        <w:t>à</w:t>
      </w:r>
      <w:r w:rsidR="00A72B4C">
        <w:rPr>
          <w:rFonts w:ascii="Arial" w:eastAsia="Arial" w:hAnsi="Arial" w:cs="Arial"/>
          <w:sz w:val="22"/>
          <w:szCs w:val="22"/>
          <w:bdr w:val="nil"/>
          <w:lang w:val="fr-FR"/>
        </w:rPr>
        <w:t xml:space="preserve"> base</w:t>
      </w:r>
      <w:r w:rsidR="00A72B4C" w:rsidRPr="00122E24">
        <w:rPr>
          <w:rFonts w:ascii="Arial" w:eastAsia="Arial" w:hAnsi="Arial" w:cs="Arial"/>
          <w:sz w:val="22"/>
          <w:szCs w:val="22"/>
          <w:bdr w:val="nil"/>
          <w:lang w:val="fr-FR"/>
        </w:rPr>
        <w:t xml:space="preserve"> </w:t>
      </w:r>
      <w:r w:rsidR="005D1BEC">
        <w:rPr>
          <w:rFonts w:ascii="Arial" w:eastAsia="Arial" w:hAnsi="Arial" w:cs="Arial"/>
          <w:sz w:val="22"/>
          <w:szCs w:val="22"/>
          <w:bdr w:val="nil"/>
          <w:lang w:val="fr-FR"/>
        </w:rPr>
        <w:t>communautaire, cliniques</w:t>
      </w:r>
      <w:r w:rsidRPr="00122E24">
        <w:rPr>
          <w:rFonts w:ascii="Arial" w:eastAsia="Arial" w:hAnsi="Arial" w:cs="Arial"/>
          <w:sz w:val="22"/>
          <w:szCs w:val="22"/>
          <w:bdr w:val="nil"/>
          <w:lang w:val="fr-FR"/>
        </w:rPr>
        <w:t xml:space="preserve"> et p</w:t>
      </w:r>
      <w:r w:rsidRPr="00122E24">
        <w:rPr>
          <w:rFonts w:ascii="Arial" w:eastAsia="Arial" w:hAnsi="Arial" w:cs="Arial"/>
          <w:sz w:val="22"/>
          <w:szCs w:val="22"/>
          <w:bdr w:val="nil"/>
          <w:shd w:val="clear" w:color="auto" w:fill="FFFFFF"/>
          <w:lang w:val="fr-FR"/>
        </w:rPr>
        <w:t>réliminaires, sont désignées par l’expression «</w:t>
      </w:r>
      <w:r w:rsidR="00FD3DDA">
        <w:rPr>
          <w:rFonts w:ascii="Arial" w:eastAsia="Arial" w:hAnsi="Arial" w:cs="Arial"/>
          <w:sz w:val="22"/>
          <w:szCs w:val="22"/>
          <w:bdr w:val="nil"/>
          <w:shd w:val="clear" w:color="auto" w:fill="FFFFFF"/>
          <w:lang w:val="fr-FR"/>
        </w:rPr>
        <w:t> </w:t>
      </w:r>
      <w:r w:rsidRPr="00122E24">
        <w:rPr>
          <w:rFonts w:ascii="Arial" w:eastAsia="Arial" w:hAnsi="Arial" w:cs="Arial"/>
          <w:sz w:val="22"/>
          <w:szCs w:val="22"/>
          <w:bdr w:val="nil"/>
          <w:shd w:val="clear" w:color="auto" w:fill="FFFFFF"/>
          <w:lang w:val="fr-FR"/>
        </w:rPr>
        <w:t xml:space="preserve">modèle </w:t>
      </w:r>
      <w:r w:rsidR="00C505FD" w:rsidRPr="00122E24">
        <w:rPr>
          <w:rFonts w:ascii="Arial" w:eastAsia="Arial" w:hAnsi="Arial" w:cs="Arial"/>
          <w:sz w:val="22"/>
          <w:szCs w:val="22"/>
          <w:bdr w:val="nil"/>
          <w:shd w:val="clear" w:color="auto" w:fill="FFFFFF"/>
          <w:lang w:val="fr-FR"/>
        </w:rPr>
        <w:t xml:space="preserve">intégré </w:t>
      </w:r>
      <w:r w:rsidRPr="00122E24">
        <w:rPr>
          <w:rFonts w:ascii="Arial" w:eastAsia="Arial" w:hAnsi="Arial" w:cs="Arial"/>
          <w:sz w:val="22"/>
          <w:szCs w:val="22"/>
          <w:bdr w:val="nil"/>
          <w:shd w:val="clear" w:color="auto" w:fill="FFFFFF"/>
          <w:lang w:val="fr-FR"/>
        </w:rPr>
        <w:t xml:space="preserve">de renforcement des systèmes </w:t>
      </w:r>
      <w:r w:rsidR="005D1BEC">
        <w:rPr>
          <w:rFonts w:ascii="Arial" w:eastAsia="Arial" w:hAnsi="Arial" w:cs="Arial"/>
          <w:sz w:val="22"/>
          <w:szCs w:val="22"/>
          <w:bdr w:val="nil"/>
          <w:shd w:val="clear" w:color="auto" w:fill="FFFFFF"/>
          <w:lang w:val="fr-FR"/>
        </w:rPr>
        <w:t>de santé à</w:t>
      </w:r>
      <w:r w:rsidR="00C505FD" w:rsidRPr="00122E24">
        <w:rPr>
          <w:rFonts w:ascii="Arial" w:eastAsia="Arial" w:hAnsi="Arial" w:cs="Arial"/>
          <w:sz w:val="22"/>
          <w:szCs w:val="22"/>
          <w:bdr w:val="nil"/>
          <w:shd w:val="clear" w:color="auto" w:fill="FFFFFF"/>
          <w:lang w:val="fr-FR"/>
        </w:rPr>
        <w:t xml:space="preserve"> base communautaires</w:t>
      </w:r>
      <w:r w:rsidRPr="00122E24">
        <w:rPr>
          <w:rFonts w:ascii="Arial" w:eastAsia="Arial" w:hAnsi="Arial" w:cs="Arial"/>
          <w:sz w:val="22"/>
          <w:szCs w:val="22"/>
          <w:bdr w:val="nil"/>
          <w:shd w:val="clear" w:color="auto" w:fill="FFFFFF"/>
          <w:lang w:val="fr-FR"/>
        </w:rPr>
        <w:t xml:space="preserve"> (RS</w:t>
      </w:r>
      <w:r w:rsidR="00C505FD" w:rsidRPr="00122E24">
        <w:rPr>
          <w:rFonts w:ascii="Arial" w:eastAsia="Arial" w:hAnsi="Arial" w:cs="Arial"/>
          <w:sz w:val="22"/>
          <w:szCs w:val="22"/>
          <w:bdr w:val="nil"/>
          <w:shd w:val="clear" w:color="auto" w:fill="FFFFFF"/>
          <w:lang w:val="fr-FR"/>
        </w:rPr>
        <w:t>SBC</w:t>
      </w:r>
      <w:r w:rsidRPr="00122E24">
        <w:rPr>
          <w:rFonts w:ascii="Arial" w:eastAsia="Arial" w:hAnsi="Arial" w:cs="Arial"/>
          <w:sz w:val="22"/>
          <w:szCs w:val="22"/>
          <w:bdr w:val="nil"/>
          <w:shd w:val="clear" w:color="auto" w:fill="FFFFFF"/>
          <w:lang w:val="fr-FR"/>
        </w:rPr>
        <w:t>)</w:t>
      </w:r>
      <w:r w:rsidR="00FD3DDA">
        <w:rPr>
          <w:rFonts w:ascii="Arial" w:eastAsia="Arial" w:hAnsi="Arial" w:cs="Arial"/>
          <w:sz w:val="22"/>
          <w:szCs w:val="22"/>
          <w:bdr w:val="nil"/>
          <w:shd w:val="clear" w:color="auto" w:fill="FFFFFF"/>
          <w:lang w:val="fr-FR"/>
        </w:rPr>
        <w:t xml:space="preserve"> » </w:t>
      </w:r>
      <w:r w:rsidRPr="00122E24">
        <w:rPr>
          <w:rFonts w:ascii="Arial" w:hAnsi="Arial" w:cs="Arial"/>
          <w:sz w:val="22"/>
          <w:szCs w:val="22"/>
          <w:shd w:val="clear" w:color="auto" w:fill="FFFFFF"/>
        </w:rPr>
        <w:fldChar w:fldCharType="begin" w:fldLock="1"/>
      </w:r>
      <w:r w:rsidRPr="00122E24">
        <w:rPr>
          <w:rFonts w:ascii="Arial" w:hAnsi="Arial" w:cs="Arial"/>
          <w:sz w:val="22"/>
          <w:szCs w:val="22"/>
          <w:shd w:val="clear" w:color="auto" w:fill="FFFFFF"/>
          <w:lang w:val="fr-FR"/>
        </w:rPr>
        <w:instrText>ADDIN CSL_CITATION {"citationItems":[{"id":"ITEM-1","itemData":{"abstract":"Background\\nIn 2012, 6.6 million children under age five died worldwide, most from diseases with known means of prevention and treatment. A delivery gap persists between well-validated methods for child survival and equitable, timely access to those methods. We measured early child health care access, morbidity, and mortality over the course of a health system strengthening model intervention in Yirimadjo, Mali. The intervention included Community Health Worker active case finding, user fee removal, infrastructure development, community mobilization, and prevention programming.\\n\\nMethods and Findings\\nWe conducted four household surveys using a cluster-based, population-weighted sampling methodology at baseline and at 12, 24, and 36 months. We defined our outcomes as the percentage of children initiating an effective antimalarial within 24 hours of symptom onset, the percentage of children reported to be febrile within the previous two weeks, and the under-five child mortality rate. We compared prevalence of febrile illness and treatment using chi-square statistics, and estimated and compared under-five mortality rates using Cox proportional hazard regression. There was a statistically significant difference in under-five mortality between the 2008 and 2011 surveys; in 2011, the hazard of under-five mortality in the intervention area was one tenth that of baseline (HR 0.10, p","author":[{"dropping-particle":"","family":"Johnson","given":"Ari D.","non-dropping-particle":"","parse-names":false,"suffix":""},{"dropping-particle":"","family":"Thomson","given":"Dana R.","non-dropping-particle":"","parse-names":false,"suffix":""},{"dropping-particle":"","family":"Atwood","given":"Sidney","non-dropping-particle":"","parse-names":false,"suffix":""},{"dropping-particle":"","family":"Alley","given":"Ian","non-dropping-particle":"","parse-names":false,"suffix":""},{"dropping-particle":"","family":"Beckerman","given":"Jessica L.","non-dropping-particle":"","parse-names":false,"suffix":""},{"dropping-particle":"","family":"Kon??","given":"Ichiaka","non-dropping-particle":"","parse-names":false,"suffix":""},{"dropping-particle":"","family":"Diakit??","given":"Djoum??","non-dropping-particle":"","parse-names":false,"suffix":""},{"dropping-particle":"","family":"Diallo","given":"Hamed","non-dropping-particle":"","parse-names":false,"suffix":""},{"dropping-particle":"","family":"Traor??","</w:instrText>
      </w:r>
      <w:r w:rsidRPr="00122E24">
        <w:rPr>
          <w:rFonts w:ascii="Arial" w:hAnsi="Arial" w:cs="Arial"/>
          <w:sz w:val="22"/>
          <w:szCs w:val="22"/>
          <w:shd w:val="clear" w:color="auto" w:fill="FFFFFF"/>
          <w:lang w:val="es-US"/>
        </w:rPr>
        <w:instrText>given":"Boubacar","non-dropping-particle":"","parse-names":false,"suffix":""},{"dropping-particle":"","family":"Traor??","given":"Klenon","non-dropping-particle":"","parse-names":false,"suffix":""},{"dropping-particle":"","family":"Farmer","given":"Paul E.","non-dropping-particle":"","parse-names":false,"suffix":""},{"dropping-particle":"","family":"Murray","given":"Megan","non-dropping-particle":"","parse-names":false,"suffix":""},{"dropping-particle":"","family":"Mukherjee","given":"Joia","non-dropping-particle":"","parse-names":false,"suffix":""}],"container-title":"PLoS ONE","id":"ITEM-1","issue":"12","issued":{"date-parts":[["2013"]]},"title":"Assessing early access to care and child survival during a health system strengthening intervention in Mali: A repeated cross sectional survey","type":"article-journal","volume":"8"},"uris":["http://www.mendeley.com/documents/?uuid=d6a9543a-b27c-426a-9a8a-0d9748af4234","http://www.mendeley.com/documents/?uuid=6ebea59c-59e5-4166-8aec-741696446f59"]}],"mendeley":{"formattedCitation":"(11)","plainTextFormattedCitation":"(11)","previouslyFormattedCitation":"(11)"},"properties":{"noteIndex":0},"schema":"https://github.com/citation-style-language/schema/raw/master/csl-citation.json"}</w:instrText>
      </w:r>
      <w:r w:rsidRPr="00122E24">
        <w:rPr>
          <w:rFonts w:ascii="Arial" w:hAnsi="Arial" w:cs="Arial"/>
          <w:sz w:val="22"/>
          <w:szCs w:val="22"/>
          <w:shd w:val="clear" w:color="auto" w:fill="FFFFFF"/>
        </w:rPr>
        <w:fldChar w:fldCharType="separate"/>
      </w:r>
      <w:r w:rsidRPr="00122E24">
        <w:rPr>
          <w:rFonts w:ascii="Arial" w:eastAsia="Arial" w:hAnsi="Arial" w:cs="Arial"/>
          <w:noProof/>
          <w:sz w:val="22"/>
          <w:szCs w:val="22"/>
          <w:bdr w:val="nil"/>
          <w:shd w:val="clear" w:color="auto" w:fill="FFFFFF"/>
          <w:lang w:val="fr-FR"/>
        </w:rPr>
        <w:t>(11)</w:t>
      </w:r>
      <w:r w:rsidRPr="00122E24">
        <w:rPr>
          <w:rFonts w:ascii="Arial" w:hAnsi="Arial" w:cs="Arial"/>
          <w:sz w:val="22"/>
          <w:szCs w:val="22"/>
          <w:shd w:val="clear" w:color="auto" w:fill="FFFFFF"/>
        </w:rPr>
        <w:fldChar w:fldCharType="end"/>
      </w:r>
      <w:r w:rsidRPr="00122E24">
        <w:rPr>
          <w:rFonts w:ascii="Arial" w:eastAsia="Arial" w:hAnsi="Arial" w:cs="Arial"/>
          <w:sz w:val="22"/>
          <w:szCs w:val="22"/>
          <w:bdr w:val="nil"/>
          <w:lang w:val="fr-FR"/>
        </w:rPr>
        <w:t xml:space="preserve">. </w:t>
      </w:r>
      <w:r w:rsidRPr="00122E24">
        <w:rPr>
          <w:rFonts w:ascii="Arial" w:eastAsia="Arial" w:hAnsi="Arial" w:cs="Arial"/>
          <w:sz w:val="22"/>
          <w:szCs w:val="22"/>
          <w:bdr w:val="nil"/>
          <w:shd w:val="clear" w:color="auto" w:fill="FFFFFF"/>
          <w:lang w:val="fr-FR"/>
        </w:rPr>
        <w:t>Ce</w:t>
      </w:r>
      <w:r w:rsidRPr="000A44DB">
        <w:rPr>
          <w:rFonts w:ascii="Arial" w:eastAsia="Arial" w:hAnsi="Arial" w:cs="Arial"/>
          <w:sz w:val="22"/>
          <w:szCs w:val="22"/>
          <w:bdr w:val="nil"/>
          <w:shd w:val="clear" w:color="auto" w:fill="FFFFFF"/>
          <w:lang w:val="fr-FR"/>
        </w:rPr>
        <w:t xml:space="preserve"> modèle inclut un ensemble d’</w:t>
      </w:r>
      <w:r w:rsidRPr="000A44DB">
        <w:rPr>
          <w:rFonts w:ascii="Arial" w:eastAsia="Arial" w:hAnsi="Arial" w:cs="Arial"/>
          <w:sz w:val="22"/>
          <w:szCs w:val="22"/>
          <w:bdr w:val="nil"/>
          <w:lang w:val="fr-FR"/>
        </w:rPr>
        <w:t xml:space="preserve">interventions fondées sur des </w:t>
      </w:r>
      <w:r w:rsidRPr="00B469A5">
        <w:rPr>
          <w:rFonts w:ascii="Arial" w:eastAsia="Arial" w:hAnsi="Arial" w:cs="Arial"/>
          <w:sz w:val="22"/>
          <w:szCs w:val="22"/>
          <w:bdr w:val="nil"/>
          <w:lang w:val="fr-FR"/>
        </w:rPr>
        <w:t>preuves adaptées pour</w:t>
      </w:r>
      <w:r w:rsidRPr="000A44DB">
        <w:rPr>
          <w:rFonts w:ascii="Arial" w:eastAsia="Arial" w:hAnsi="Arial" w:cs="Arial"/>
          <w:sz w:val="22"/>
          <w:szCs w:val="22"/>
          <w:bdr w:val="nil"/>
          <w:lang w:val="fr-FR"/>
        </w:rPr>
        <w:t xml:space="preserve"> une mise en œ</w:t>
      </w:r>
      <w:r w:rsidR="004C7D22">
        <w:rPr>
          <w:rFonts w:ascii="Arial" w:eastAsia="Arial" w:hAnsi="Arial" w:cs="Arial"/>
          <w:sz w:val="22"/>
          <w:szCs w:val="22"/>
          <w:bdr w:val="nil"/>
          <w:lang w:val="fr-FR"/>
        </w:rPr>
        <w:t>uvre au Togo et est conforme aux recommandations internationales</w:t>
      </w:r>
      <w:r w:rsidRPr="000A44DB">
        <w:rPr>
          <w:rFonts w:ascii="Arial" w:eastAsia="Arial" w:hAnsi="Arial" w:cs="Arial"/>
          <w:sz w:val="22"/>
          <w:szCs w:val="22"/>
          <w:bdr w:val="nil"/>
          <w:lang w:val="fr-FR"/>
        </w:rPr>
        <w:t>, y compris les directives aux agents de santé communautaires (ASC) émises par l’Organisation mondiale de la Santé (OMS)</w:t>
      </w:r>
      <w:r w:rsidRPr="000A44DB">
        <w:rPr>
          <w:rFonts w:ascii="Arial" w:hAnsi="Arial" w:cs="Arial"/>
          <w:sz w:val="22"/>
          <w:szCs w:val="22"/>
        </w:rPr>
        <w:fldChar w:fldCharType="begin" w:fldLock="1"/>
      </w:r>
      <w:r w:rsidRPr="000A44DB">
        <w:rPr>
          <w:rFonts w:ascii="Arial" w:hAnsi="Arial" w:cs="Arial"/>
          <w:sz w:val="22"/>
          <w:szCs w:val="22"/>
          <w:lang w:val="es-US"/>
        </w:rPr>
        <w:instrText>ADDIN CSL_CITATION {"citationItems":[{"id":"ITEM-1","itemData":{"DOI":"10.1016/S2214-109X(18)30482-0","ISSN":"2214109X","PMID":"30430994","abstract":"Optimising community health worker (CHW) programmes requires evidence-based policies on their education, deployment, and management. This guideline aims to inform efforts by planners, policy makers, and managers to improve CHW programmes as part of an integrated approach to strengthen primary health care and health systems. The development of this guideline followed the standard WHO approach to developing global guidelines. We conducted one overview of reviews, 15 systematic reviews (each one on a specific policy question), and a survey of stakeholders' views on the acceptability and feasibility of the interventions under consideration. We assessed the quality of systematic reviews using the AMSTAR tool, and the certainty of the evidence using the GRADE methodology. The overview of reviews identified 122 eligible articles and the systematic reviews identified 137 eligible primary studies. The stakeholder perception survey obtained inputs from 96 respondents. Recommendations were developed in the areas of CHW selection, preservice education, certificatio</w:instrText>
      </w:r>
      <w:r w:rsidRPr="000A44DB">
        <w:rPr>
          <w:rFonts w:ascii="Arial" w:hAnsi="Arial" w:cs="Arial"/>
          <w:sz w:val="22"/>
          <w:szCs w:val="22"/>
        </w:rPr>
        <w:instrText>n, supervision, remuneration and career advancement, planning, community embeddedness, and health system support. These are the first evidence-based global guidelines for health policy and system support to optimise community health worker programmes. Key considerations for implementation include the need to define the role of CHWs in relation to other health workers and plan for the health workforce as a whole rather than by specific occupational groups; appropriately integrate CHW programmes into the general health system and existing community systems; and ensure internal coherence and consistency across different policies and programmes affecting CHWs.","author":[{"dropping-particle":"","family":"Cometto","given":"Giorgio","non-dropping-particle":"","parse-names":false,"suffix":""},{"dropping-particle":"","family":"Ford","given":"Nathan","non-dropping-particle":"","parse-names":false,"suffix":""},{"dropping-particle":"","family":"Pfaffman-Zambruni","given":"Jerome","non-dropping-particle":"","parse-names":false,"suffix":""},{"dropping-particle":"","family":"Akl","given":"Elie A","non-dropping-particle":"","parse-names":false,"suffix":""},{"dropping-particle":"","family":"Lehmann","given":"Uta","non-dropping-particle":"","parse-names":false,"suffix":""},{"dropping-particle":"","family":"McPake","given":"Barbara","non-dropping-particle":"","parse-names":false,"suffix":""},{"dropping-particle":"","family":"Ballard","given":"Madeleine","non-dropping-particle":"","parse-names":false,"suffix":""},{"dropping-particle":"","family":"Kok","given":"Maryse","non-dropping-particle":"","parse-names":false,"suffix":""},{"dropping-particle":"","family":"Najafizada","given":"Maisam","non-dro</w:instrText>
      </w:r>
      <w:r w:rsidRPr="000A44DB">
        <w:rPr>
          <w:rFonts w:ascii="Arial" w:hAnsi="Arial" w:cs="Arial"/>
          <w:sz w:val="22"/>
          <w:szCs w:val="22"/>
          <w:lang w:val="es-US"/>
        </w:rPr>
        <w:instrText>pping-particle":"","parse-names":false,"suffix":""},{"dropping-particle":"","family":"Olaniran","given":"Abimbola","non-dropping-particle":"","parse-names":false,"suffix":""},{"dropping-particle":"","family":"Ajuebor","given":"Onyema","non-dropping-particle":"","parse-names":false,"suffix":""},{"dropping-particle":"","family":"Perry","given":"Henry B","non-dropping-particle":"","parse-names":false,"suffix":""},{"dropping-particle":"","family":"Scott","given":"Kerry","non-dropping-particle":"","parse-names":false,"suffix":""},{"dropping-particle":"","family":"Albers","given":"Bianca","non-dropping-particle":"","parse-names":false,"suffix":""},{"dropping-particle":"","family":"Shlonsky","given":"Aron","non-dropping-particle":"","parse-names":false,"suffix":""},{"dropping-particle":"","family":"Taylor","given":"David","non-dropping-particle":"","parse-names":false,"suffix":""}],"container-title":"The Lancet Global Health","id":"ITEM-1","issue":"12","issued":{"date-parts":[["2018","12"]]},"page":"e1397-e1404","title":"Health policy and system support to optimise community health worker programmes: an abridged WHO guideline","type":"article-journal","volume":"6"},"uris":["http://www.mendeley.com/documents/?uuid=932cf6dc-2e5e-32f0-b777-ddb1a81923ee"]}],"mendeley":{"formattedCitation":"(12)","plainTextFormattedCitation":"(12)","previouslyFormattedCitation":"(12)"},"properties":{"noteIndex":0},"schema":"https://github.com/citation-style-language/schema/raw/master/csl-citation.json"}</w:instrText>
      </w:r>
      <w:r w:rsidRPr="000A44DB">
        <w:rPr>
          <w:rFonts w:ascii="Arial" w:hAnsi="Arial" w:cs="Arial"/>
          <w:sz w:val="22"/>
          <w:szCs w:val="22"/>
        </w:rPr>
        <w:fldChar w:fldCharType="separate"/>
      </w:r>
      <w:r w:rsidR="00FD3DDA">
        <w:rPr>
          <w:rFonts w:ascii="Arial" w:hAnsi="Arial" w:cs="Arial"/>
          <w:sz w:val="22"/>
          <w:szCs w:val="22"/>
        </w:rPr>
        <w:t xml:space="preserve"> </w:t>
      </w:r>
      <w:r w:rsidRPr="000A44DB">
        <w:rPr>
          <w:rFonts w:ascii="Arial" w:eastAsia="Arial" w:hAnsi="Arial" w:cs="Arial"/>
          <w:noProof/>
          <w:sz w:val="22"/>
          <w:szCs w:val="22"/>
          <w:bdr w:val="nil"/>
          <w:lang w:val="fr-FR"/>
        </w:rPr>
        <w:t>(12)</w:t>
      </w:r>
      <w:r w:rsidRPr="000A44DB">
        <w:rPr>
          <w:rFonts w:ascii="Arial" w:hAnsi="Arial" w:cs="Arial"/>
          <w:sz w:val="22"/>
          <w:szCs w:val="22"/>
        </w:rPr>
        <w:fldChar w:fldCharType="end"/>
      </w:r>
      <w:r w:rsidR="004C7D22">
        <w:rPr>
          <w:rFonts w:ascii="Arial" w:eastAsia="Arial" w:hAnsi="Arial" w:cs="Arial"/>
          <w:sz w:val="22"/>
          <w:szCs w:val="22"/>
          <w:bdr w:val="nil"/>
          <w:lang w:val="fr-FR"/>
        </w:rPr>
        <w:t>. La population cible</w:t>
      </w:r>
      <w:r w:rsidRPr="000A44DB">
        <w:rPr>
          <w:rFonts w:ascii="Arial" w:eastAsia="Arial" w:hAnsi="Arial" w:cs="Arial"/>
          <w:sz w:val="22"/>
          <w:szCs w:val="22"/>
          <w:bdr w:val="nil"/>
          <w:lang w:val="fr-FR"/>
        </w:rPr>
        <w:t xml:space="preserve"> comprend les enfants âgés de moins de cinq ans, les femmes</w:t>
      </w:r>
      <w:r w:rsidR="004C7D22">
        <w:rPr>
          <w:rFonts w:ascii="Arial" w:eastAsia="Arial" w:hAnsi="Arial" w:cs="Arial"/>
          <w:sz w:val="22"/>
          <w:szCs w:val="22"/>
          <w:bdr w:val="nil"/>
          <w:lang w:val="fr-FR"/>
        </w:rPr>
        <w:t xml:space="preserve"> enceintes ou en période post-partum</w:t>
      </w:r>
      <w:r w:rsidRPr="000A44DB">
        <w:rPr>
          <w:rFonts w:ascii="Arial" w:eastAsia="Arial" w:hAnsi="Arial" w:cs="Arial"/>
          <w:sz w:val="22"/>
          <w:szCs w:val="22"/>
          <w:bdr w:val="nil"/>
          <w:lang w:val="fr-FR"/>
        </w:rPr>
        <w:t>, les femmes</w:t>
      </w:r>
      <w:r w:rsidR="004C7D22">
        <w:rPr>
          <w:rFonts w:ascii="Arial" w:eastAsia="Arial" w:hAnsi="Arial" w:cs="Arial"/>
          <w:sz w:val="22"/>
          <w:szCs w:val="22"/>
          <w:bdr w:val="nil"/>
          <w:lang w:val="fr-FR"/>
        </w:rPr>
        <w:t xml:space="preserve"> en âge de procréer</w:t>
      </w:r>
      <w:r w:rsidRPr="000A44DB">
        <w:rPr>
          <w:rFonts w:ascii="Arial" w:eastAsia="Arial" w:hAnsi="Arial" w:cs="Arial"/>
          <w:sz w:val="22"/>
          <w:szCs w:val="22"/>
          <w:bdr w:val="nil"/>
          <w:lang w:val="fr-FR"/>
        </w:rPr>
        <w:t xml:space="preserve"> pour des services de planification familiale et les personnes atteintes du VIH. Comme détaillé dans le tableau 1, l’ensemble R</w:t>
      </w:r>
      <w:r w:rsidR="004F17D5" w:rsidRPr="000A44DB">
        <w:rPr>
          <w:rFonts w:ascii="Arial" w:eastAsia="Arial" w:hAnsi="Arial" w:cs="Arial"/>
          <w:sz w:val="22"/>
          <w:szCs w:val="22"/>
          <w:bdr w:val="nil"/>
          <w:lang w:val="fr-FR"/>
        </w:rPr>
        <w:t>SS</w:t>
      </w:r>
      <w:r w:rsidR="00C505FD" w:rsidRPr="000A44DB">
        <w:rPr>
          <w:rFonts w:ascii="Arial" w:eastAsia="Arial" w:hAnsi="Arial" w:cs="Arial"/>
          <w:sz w:val="22"/>
          <w:szCs w:val="22"/>
          <w:bdr w:val="nil"/>
          <w:lang w:val="fr-FR"/>
        </w:rPr>
        <w:t>B</w:t>
      </w:r>
      <w:r w:rsidR="004F17D5" w:rsidRPr="000A44DB">
        <w:rPr>
          <w:rFonts w:ascii="Arial" w:eastAsia="Arial" w:hAnsi="Arial" w:cs="Arial"/>
          <w:sz w:val="22"/>
          <w:szCs w:val="22"/>
          <w:bdr w:val="nil"/>
          <w:lang w:val="fr-FR"/>
        </w:rPr>
        <w:t xml:space="preserve">C </w:t>
      </w:r>
      <w:r w:rsidR="00A72B4C">
        <w:rPr>
          <w:rFonts w:ascii="Arial" w:eastAsia="Arial" w:hAnsi="Arial" w:cs="Arial"/>
          <w:sz w:val="22"/>
          <w:szCs w:val="22"/>
          <w:bdr w:val="nil"/>
          <w:lang w:val="fr-FR"/>
        </w:rPr>
        <w:t>comprenant</w:t>
      </w:r>
      <w:r w:rsidRPr="000A44DB">
        <w:rPr>
          <w:rFonts w:ascii="Arial" w:eastAsia="Arial" w:hAnsi="Arial" w:cs="Arial"/>
          <w:sz w:val="22"/>
          <w:szCs w:val="22"/>
          <w:bdr w:val="nil"/>
          <w:lang w:val="fr-FR"/>
        </w:rPr>
        <w:t xml:space="preserve"> : (1) </w:t>
      </w:r>
      <w:r w:rsidR="00C505FD" w:rsidRPr="000A44DB">
        <w:rPr>
          <w:rFonts w:ascii="Arial" w:hAnsi="Arial" w:cs="Arial"/>
          <w:sz w:val="22"/>
          <w:szCs w:val="22"/>
          <w:lang w:val="fr-FR"/>
        </w:rPr>
        <w:t>des réunions d</w:t>
      </w:r>
      <w:r w:rsidR="00FD3DDA">
        <w:rPr>
          <w:rFonts w:ascii="Arial" w:hAnsi="Arial" w:cs="Arial"/>
          <w:sz w:val="22"/>
          <w:szCs w:val="22"/>
          <w:lang w:val="fr-FR"/>
        </w:rPr>
        <w:t>’</w:t>
      </w:r>
      <w:r w:rsidR="00C505FD" w:rsidRPr="000A44DB">
        <w:rPr>
          <w:rFonts w:ascii="Arial" w:hAnsi="Arial" w:cs="Arial"/>
          <w:sz w:val="22"/>
          <w:szCs w:val="22"/>
          <w:lang w:val="fr-FR"/>
        </w:rPr>
        <w:t>engagement communautaire et de restitution</w:t>
      </w:r>
      <w:r w:rsidR="00C505FD" w:rsidRPr="000A44DB" w:rsidDel="00C505FD">
        <w:rPr>
          <w:rFonts w:ascii="Arial" w:eastAsia="Arial" w:hAnsi="Arial" w:cs="Arial"/>
          <w:sz w:val="22"/>
          <w:szCs w:val="22"/>
          <w:bdr w:val="nil"/>
          <w:lang w:val="fr-FR"/>
        </w:rPr>
        <w:t xml:space="preserve"> </w:t>
      </w:r>
      <w:r w:rsidRPr="000A44DB">
        <w:rPr>
          <w:rFonts w:ascii="Arial" w:hAnsi="Arial" w:cs="Arial"/>
          <w:sz w:val="22"/>
          <w:szCs w:val="22"/>
        </w:rPr>
        <w:fldChar w:fldCharType="begin" w:fldLock="1"/>
      </w:r>
      <w:r w:rsidRPr="000A44DB">
        <w:rPr>
          <w:rFonts w:ascii="Arial" w:hAnsi="Arial" w:cs="Arial"/>
          <w:sz w:val="22"/>
          <w:szCs w:val="22"/>
          <w:lang w:val="fr-FR"/>
        </w:rPr>
        <w:instrText>ADDIN CSL_CITATION {"citationItems":[{"id":"ITEM-1","itemData":{"DOI":"10.3310/PHR01040","PMID":"25642563","abstract":"BACKGROUND Community engagement has been advanced as a promising way of improving health and reducing health inequalities; however, the approach is not yet supported by a strong evidence base. OBJECTIVES To undertake a multimethod systematic review which builds on the evidence that underpins the current UK guidance on community engagement; to identify theoretical models underpinning community engagement; to explore mechanisms and contexts through which communities are engaged; to identify community engagement approaches that are effective in reducing health inequalities, under what circumstances and for whom; and to determine the processes and costs associated with their implementation. DATA SOURCES Databases including the Cochrane Database of Systematic Reviews (CDSR), The Campbell Library, the Database of Abstracts of Reviews of Effects (DARE), the Health Technology Assessment (HTA) database, the NHS Economic Evaluation Database (NHS EED) and EPPI-Centre’s Trials Register of Promoting Health Interventions (TRoPHI) and Database of Promoting Health Effectiveness Reviews (DoPHER) were searched from 1990 to August 2011 for systematic reviews and primary studies. Trials evaluating community engagement interventions reporting health outcomes were includ</w:instrText>
      </w:r>
      <w:r w:rsidRPr="000A44DB">
        <w:rPr>
          <w:rFonts w:ascii="Arial" w:hAnsi="Arial" w:cs="Arial"/>
          <w:sz w:val="22"/>
          <w:szCs w:val="22"/>
        </w:rPr>
        <w:instrText>ed. REVIEW METHODS Study eligibility criteria: published after 1990; outcome, economic, or process evaluation; intervention relevant to community engagement; written in English; measured and reported health or community outcomes, or presents cost, resource, or implementation data characterises study populations or reports differential impacts in terms of social determinants of health; conducted in an Organisation for Economic Co-operation and Development (OECD) country. Study appraisal: risk of bias for outcome evaluations; assessment of validity and relevance for process evaluations; comparison against an economic evaluation checklist for economic evaluations. Synthesis methods: four synthesis approaches were adopted for the different evidence types: theoretical, quantitative, process, and economic evidence. RESULTS The theoretical synthesis identified key models of community engagement that are underpinned by different theories of changes. Results from 131 studies included in a meta-analysis indicate that there is solid evidence that community engagement interventions have a positive impact on health behaviours, health consequences, self-efficacy and perceived social support outcomes, across various conditi…","author":[{"dropping-particle":"","family":"O’Mara-Eves","given":"A","non-dropping-particle":"","parse-names":false,"suffix":""},{"dropping-particle":"","family":"Brunton","given":"G","non-dropping-particle":"","parse-names":false,"suffix":""},{"dropping-particle":"","family":"McDaid","given":"D","non-dropping-particle":"","parse-names":false,"suffix":""},{"dropping-particle":"","family":"Oliver","given":"S","non-dropping-particle":"","parse-names":false,"suffix":""},{"dropping-particle":"","family":"Kavanagh","given":"J","non-dropping-particle":"","parse-names":false,"suffix":""},{"dropping-particle":"","family":"Jamal","given":"F","non-dropping-particle":"","parse-names":false,"suffix":""},{"dropping-particle":"","family":"Matosevic","given":"T","non-dropping-particle":"","parse-names":false,"suffix":""},{"dropping-particle":"","family":"Harden","given":"A","non-dropping-particle":"","parse-names":false,"suffix":""},{"dropping-particle":"","family":"Thomas","given":"J","non-dropping-particle":"","parse-names":false,"suffix":""}],"container-title":"Community engagement to reduce inequalities in health: a systematic review, meta-analysis and economic analysis","id":"ITEM-1","issued":{"date-parts":[["2013"]]},"publisher":"NIHR Journals Library","title":"Community engagement to reduce inequalities in health: a systematic review, meta-analysis and economic analysis","type":"book"},"uris":["http://www.mendeley.com/documents/?uuid=48ff6e26-9b69-3491-93a6-ed34536eec9e"]},{"id":"ITEM-2","itemData":{"DOI":"10.1186/s12889-015-1352-y","ISSN":"1471-2458","PMID":"25885588","abstract":"BACKGROUND Inequalities in health are acknowledged in many developed countries, whereby disadvantaged groups systematically suffer from worse health outcomes such as lower life expectancy than non-disadvantaged groups. Engaging members of disadvantaged communities in public health initiatives has been suggested as a way to reduce health inequities. This systematic review was conducted to evaluate the effectiveness of public health interventions that engage the community on a range of health outcomes across diverse health issues. METHODS We searched the following sources for systematic reviews of public health interventions: Cochrane CDSR and CENTRAL, Campbell Library, DARE, NIHR HTA programme website, HTA database, and DoPHER. Through the identified reviews, we collated a database of primary studies that appeared to be relevant, and screened the full-text documents of those primary studies against our inclusion criteria. In parallel, we searched the NHS EED and TRoPHI databases for additional primary studies. For the purposes of these analyses, study design was limited to randomised and non-randomised controlled trials. Only interventions conducted in OECD countries and published since 1990 were included. We conducted a random effects meta-analysis of health behaviour, health consequences, self-efficacy, and social support outcomes, and a narrative summary of community outcomes. We tested a range of moderator variables, with a particular emphasis on the model of community engagement used as a potential moderator of intervention effectiveness. RESULTS Of the 9,467 primary studies scanned, we identified 131 for inclusion in the meta-analysis. The overall effect size for health behaviour outcomes is d = .33 (95% CI .26, .40). The interventions were also effective in increasing health consequences (d = .16, 95% CI .06, .27); health behaviour self-efficacy (d = .41, 95% CI .16, .65) and perceived social support (d = .41, 95% CI .23, .65). Although the type of community engagement was not a significant moderator of effect, we identified some trends across studies. CONCLUSIONS There is solid evidence that community engagement interventions have a positive impact on a range of health outcomes across various conditions. There is insufficient evidence to determine whether one particular model of community engagement is more effective than any other.","author":[{"dropping-particle":"","family":"O’Mara-Eves","given":"Alison","non-dropping-particle":"","parse-names":false,"suffix":""},{"dropping-particle":"","family":"Brunton","given":"Ginny","non-dropping-particle":"","parse-names":false,"suffix":""},{"dropping-particle":"","family":"Oliver","given":"Sandy","non-dropping-particle":"","parse-names":false,"suffix":""},{"dropping-particle":"","family":"Kavanagh","given":"Josephine","non-dropping-particle":"","parse-names":false,"suffix":""},{"dropping-particle":"","family":"Jamal","given":"Farah","non-dropping-particle":"","parse-names":false,"suffix":""},{"dropping-particle":"","family":"Thomas","given":"James","non-dropping-particle":"","parse-names":false,"suffix":""}],"container-title":"BMC Public Health","id":"ITEM-2","issue":"1","issued":{"date-parts":[["2015","12","12"]]},"page":"129","title":"The effectiveness of community engagement in public health interventions for disadvantaged groups: a meta-analysis","type":"article-journal","volume":"15"},"uris":["http://www.mendeley.com/documents/?uuid=ad7c700c-fbd6-30dd-a5b3-5c931a5d5579"]},{"id":"ITEM-3","itemData":{"DOI":"10.1093/heapol/czu126","ISSN":"0268-1080","PMID":"25500559","abstract":"Community health workers (CHWs) are increasingly recognized as an integral component of the health workforce needed to achieve public health goals in low- and middle-income countries (LMICs). Many factors influence CHW performance. A systematic review was conducted to identify intervention design related factors influencing performance of CHWs. We systematically searched six databases for quantitative and qualitative studies that included CHWs working in promotional, preventive or curative primary health services in LMICs. One hundred and forty studies met the inclusion criteria, were quality assessed and double read to extract data relevant to the design of CHW programmes. A preliminary framework containing factors influencing CHW performance and characteristics of CHW performance (such as motivation and competencies) guided the literature search and review.A mix of financial and non-financial incentives, predictable for the CHWs, was found to be an effective strategy to enhance performance, especially of those CHWs with multiple tasks. Performance-based financial incentives sometimes resulted in neglect of unpaid tasks. Intervention designs which involved frequent supervision and continuous training led to better CHW performance in certain settings. Supervision and training were often mentioned as facilitating factors, but few studies tested which approach worked best or how these were best implemented. Embedment of CHWs in community and health systems was found to diminish workload and increase CHW credibility. Clearly defined CHW roles and introduction of clear processes for communication among different levels of the health system could strengthen CHW performance.When designing community-based health programmes, factors that increased CHW performance in comparable settings should be taken into account. Additional intervention research to develop a better evidence base for the most effective training and supervision mechanisms and qualitative research to inform policymakers in development of CHW interventions are needed.","author":[{"dropping-particle":"","family":"Kok","given":"Maryse C","non-dropping-particle":"","parse-names":false,"suffix":""},{"droppi</w:instrText>
      </w:r>
      <w:r w:rsidRPr="000A44DB">
        <w:rPr>
          <w:rFonts w:ascii="Arial" w:hAnsi="Arial" w:cs="Arial"/>
          <w:sz w:val="22"/>
          <w:szCs w:val="22"/>
          <w:lang w:val="es-US"/>
        </w:rPr>
        <w:instrText>ng-particle":"","family":"Dieleman","given":"Marjolein","non-dropping-particle":"","parse-names":false,"suffix":""},{"dropping-particle":"","family":"Taegtmeyer","given":"Miriam","non-dropping-particle":"","parse-names":false,"suffix":""},{"dropping-particle":"","family":"Broerse","given":"Jacqueline EW","non-dropping-particle":"","parse-names":false,"suffix":""},{"dropping-particle":"","family":"Kane","given":"Sumit S","non-dropping-particle":"","parse-names":false,"suffix":""},{"dropping-particle":"","family":"Ormel","given":"Hermen","non-dropping-particle":"","parse-names":false,"suffix":""},{"dropping-particle":"","family":"Tijm","given":"Mandy M","non-dropping-particle":"","parse-names":false,"suffix":""},{"dropping-particle":"","family":"Koning","given":"Korrie AM","non-dropping-particle":"de","parse-names":false,"suffix":""}],"container-title":"Health Policy and Planning","id":"ITEM-3","issue":"9","issued":{"date-parts":[["2015","11"]]},"page":"1207-1227","title":"Which intervention design factors influence performance of community health workers in low- and middle-income countries? A systematic review","type":"article-journal","volume":"30"},"uris":["http://www.mendeley.com/documents/?uuid=14d5dfe7-5e80-3d96-8e5f-65f0430ae5f8"]}],"mendeley":{"formattedCitation":"(13–15)","plainTextFormattedCitation":"(13–15)","previouslyFormattedCitation":"(13–15)"},"properties":{"noteIndex":0},"schema":"https://github.com/citation-style-language/schema/raw/master/csl-citation.json"}</w:instrText>
      </w:r>
      <w:r w:rsidRPr="000A44DB">
        <w:rPr>
          <w:rFonts w:ascii="Arial" w:hAnsi="Arial" w:cs="Arial"/>
          <w:sz w:val="22"/>
          <w:szCs w:val="22"/>
        </w:rPr>
        <w:fldChar w:fldCharType="separate"/>
      </w:r>
      <w:r w:rsidRPr="000A44DB">
        <w:rPr>
          <w:rFonts w:ascii="Arial" w:eastAsia="Arial" w:hAnsi="Arial" w:cs="Arial"/>
          <w:noProof/>
          <w:sz w:val="22"/>
          <w:szCs w:val="22"/>
          <w:bdr w:val="nil"/>
          <w:lang w:val="fr-FR"/>
        </w:rPr>
        <w:t>(13–15)</w:t>
      </w:r>
      <w:r w:rsidRPr="000A44DB">
        <w:rPr>
          <w:rFonts w:ascii="Arial" w:hAnsi="Arial" w:cs="Arial"/>
          <w:sz w:val="22"/>
          <w:szCs w:val="22"/>
        </w:rPr>
        <w:fldChar w:fldCharType="end"/>
      </w:r>
      <w:r w:rsidR="00FD3DDA">
        <w:rPr>
          <w:rFonts w:ascii="Arial" w:eastAsia="Arial" w:hAnsi="Arial" w:cs="Arial"/>
          <w:sz w:val="22"/>
          <w:szCs w:val="22"/>
          <w:bdr w:val="nil"/>
          <w:lang w:val="fr-FR"/>
        </w:rPr>
        <w:t> </w:t>
      </w:r>
      <w:r w:rsidRPr="000A44DB">
        <w:rPr>
          <w:rFonts w:ascii="Arial" w:eastAsia="Arial" w:hAnsi="Arial" w:cs="Arial"/>
          <w:sz w:val="22"/>
          <w:szCs w:val="22"/>
          <w:bdr w:val="nil"/>
          <w:lang w:val="fr-FR"/>
        </w:rPr>
        <w:t xml:space="preserve">; (2) </w:t>
      </w:r>
      <w:r w:rsidR="00A72B4C">
        <w:rPr>
          <w:rFonts w:ascii="Arial" w:eastAsia="Arial" w:hAnsi="Arial" w:cs="Arial"/>
          <w:sz w:val="22"/>
          <w:szCs w:val="22"/>
          <w:bdr w:val="nil"/>
          <w:lang w:val="fr-FR"/>
        </w:rPr>
        <w:t>l’</w:t>
      </w:r>
      <w:r w:rsidR="00C505FD" w:rsidRPr="000A44DB">
        <w:rPr>
          <w:rFonts w:ascii="Arial" w:eastAsia="Arial" w:hAnsi="Arial" w:cs="Arial"/>
          <w:sz w:val="22"/>
          <w:szCs w:val="22"/>
          <w:bdr w:val="nil"/>
          <w:lang w:val="fr-FR"/>
        </w:rPr>
        <w:t xml:space="preserve">élimination </w:t>
      </w:r>
      <w:r w:rsidRPr="000A44DB">
        <w:rPr>
          <w:rFonts w:ascii="Arial" w:eastAsia="Arial" w:hAnsi="Arial" w:cs="Arial"/>
          <w:sz w:val="22"/>
          <w:szCs w:val="22"/>
          <w:bdr w:val="nil"/>
          <w:lang w:val="fr-FR"/>
        </w:rPr>
        <w:t>des coû</w:t>
      </w:r>
      <w:r w:rsidR="004C7D22">
        <w:rPr>
          <w:rFonts w:ascii="Arial" w:eastAsia="Arial" w:hAnsi="Arial" w:cs="Arial"/>
          <w:sz w:val="22"/>
          <w:szCs w:val="22"/>
          <w:bdr w:val="nil"/>
          <w:lang w:val="fr-FR"/>
        </w:rPr>
        <w:t>ts au centre de santé</w:t>
      </w:r>
      <w:r w:rsidRPr="000A44DB">
        <w:rPr>
          <w:rFonts w:ascii="Arial" w:eastAsia="Arial" w:hAnsi="Arial" w:cs="Arial"/>
          <w:sz w:val="22"/>
          <w:szCs w:val="22"/>
          <w:bdr w:val="nil"/>
          <w:lang w:val="fr-FR"/>
        </w:rPr>
        <w:t xml:space="preserve"> pour la population cible </w:t>
      </w:r>
      <w:r w:rsidR="007363DC">
        <w:rPr>
          <w:rFonts w:ascii="Arial" w:eastAsia="Arial" w:hAnsi="Arial" w:cs="Arial"/>
          <w:sz w:val="22"/>
          <w:szCs w:val="22"/>
          <w:bdr w:val="nil"/>
          <w:lang w:val="fr-FR"/>
        </w:rPr>
        <w:fldChar w:fldCharType="begin" w:fldLock="1"/>
      </w:r>
      <w:r w:rsidR="002832EF">
        <w:rPr>
          <w:rFonts w:ascii="Arial" w:eastAsia="Arial" w:hAnsi="Arial" w:cs="Arial"/>
          <w:sz w:val="22"/>
          <w:szCs w:val="22"/>
          <w:bdr w:val="nil"/>
          <w:lang w:val="fr-FR"/>
        </w:rPr>
        <w:instrText>ADDIN CSL_CITATION {"citationItems":[{"id":"ITEM-1","itemData":{"DOI":"10.1016/S0140-6736(09)60258-0","ISSN":"1474-547X","PMID":"19362359","author":[{"dropping-particle":"","family":"Yates","given":"Rob","non-dropping-particle":"","parse-names":false,"suffix":""}],"container-title":"Lancet (London, England)","id":"ITEM-1","issue":"9680","issued":{"date-parts":[["2009","6","13"]]},"page":"2078-81","publisher":"Elsevier","title":"Universal health care and the removal of user fees.","type":"article-journal","volume":"373"},"uris":["http://www.mendeley.com/documents/?uuid=bc637deb-e715-3009-a746-339530f3a5a0"]},{"id":"ITEM-2","itemData":{"DOI":"10.2471/BLT.13.130609","ISSN":"0042-9686","author":[{"dropping-particle":"","family":"Johri","given":"Mira","non-dropping-particle":"","parse-names":false,"suffix":""},{"dropping-particle":"","family":"Ridde","given":"Valéry","non-dropping-particle":"","parse-names":false,"suffix":""},{"dropping-particle":"","family":"Heinmüller","given":"Rolf","non-dropping-particle":"","parse-names":false,"suffix":""},{"dropping-particle":"","family":"Haddad","given":"Slim","non-dropping-particle":"","parse-names":false,"suffix":""}],"container-title":"Bulletin of the World Health Organization","id":"ITEM-2","issue":"10","issued":{"date-parts":[["2014","10","1"]]},"page":"706-715","title":"Estimation of maternal and child mortality one year after user-fee elimination: an impact evaluation and modelling study in Burkina Faso","type":"article-journal","volume":"92"},"uris":["http://www.mendeley.com/documents/?uuid=a1048e7e-e785-36ba-927d-62b9caab0c22"]},{"id":"ITEM-3","itemData":{"DOI":"10.1007/s10995-017-2408-7","ISBN":"0123456789","ISSN":"1092-7875","author":[{"dropping-particle":"","family":"Calhoun","given":"Lisa M.","non-dropping-particle":"","parse-names":false,"suffix":""},{"dropping-particle":"","family":"Speizer","given":"Ilene S.","non-dropping-particle":"","parse-names":false,"suffix":""},{"dropping-particle":"","family":"Guilkey","given":"David","non-dropping-particle":"","parse-names":false,"suffix":""},{"dropping-particle":"","family":"Bukusi","given":"Elizabeth","non-dropping-particle":"","parse-names":false,"suffix":""}],"container-title":"Maternal and Child Health Journal","id":"ITEM-3","issue":"0","issued":{"date-parts":[["2017"]]},"page":"0","publisher":"Springer US","title":"The Effect of the Removal of User Fees for Delivery at Public Health Facilities on Institutional Delivery in Urban Kenya","type":"article-journal","volume":"0"},"uris":["http://www.mendeley.com/documents/?uuid=e1e920b6-2613-487e-88b9-dc60c6794af5"]},{"id":"ITEM-4","itemData":{"DOI":"10.1136/","abstract":"AbstrACt The majority of the world's population lives in urban areas, and regions with the highest under-five mortality rates are urbanising rapidly. This 7-year interrupted time series study measured early access to care and under-five mortality over the course of a proactive community case management (ProCCM) intervention in periurban Mali. Using a cluster-based, population-weighted sampling methodology, we conducted independent cross-sectional household surveys at baseline and at 12, 24, 36, 48, 60, 72 and 84 months later in the intervention area. The ProCCM intervention had five key components: (1) active case detection by community health workers (CHWs), (2) CHW doorstep care, (3) monthly dedicated supervision for CHWs, (4) removal of user fees and (5) primary care infrastructure improvements and staff capacity building. Under-five mortality rate was calculated using a Cox proportional hazard survival regression. We measured the percentage of children initiating effective antimalarial treatment within 24 hours of symptom onset and the percentage of children reported to be febrile within the previous 2 weeks. During the intervention, the rate of early effective antimalarial treatment of children 0–59 months more than doubled, from 14.7% in 2008 to 35.3% in 2015 (OR 3.198, P&lt;0.0001). The prevalence of febrile illness among children under 5 years declined after 7 years of the intervention from 39.7% at baseline to 22.6% in 2015 (OR 0.448, P&lt;0.0001). Communities where ProCCM was implemented have achieved an under-five mortality rate at or below 28/1000 for the past 6 years. In 2015, under-five mortality was 7/1000 (HR 0.039, P&lt;0.0001). Further research is needed to elucidate the mechanisms of action and generalizability of ProCCM. IntroduCtIon The majority of the world's population now lives in urban areas. 1 While Africa remains predominantly rural, the continent is urban-ising faster than other regions and is projected to become 56% urban by 2050. 1 With more than half of sub-Saharan Africa's urban popu-lation living in slums and informal settle-ments, 2 this demographic shift has major implications for health and health equity. Characterised by extreme poverty, environ-mental degradation and a lack of basic infra-structure, these urban areas are vulnerable to","author":[{"dropping-particle":"","family":"Johnson","given":"Ari D","non-dropping-particle":"","parse-names":false,"suffix":""},{"dropping-particle":"","family":"Thiero","given":"Oumar","non-dropping-particle":"","parse-names":false,"suffix":""},{"dropping-particle":"","family":"Whidden","given":"Caroline","non-dropping-particle":"","parse-names":false,"suffix":""},{"dropping-particle":"","family":"Poudiougou","given":"Belco","non-dropping-particle":"","parse-names":false,"suffix":""},{"dropping-particle":"","family":"Diakité","given":"Djoumé","non-dropping-particle":"","parse-names":false,"suffix":""},{"dropping-particle":"","family":"Traoré","given":"Fousséni","non-dropping-particle":"","parse-names":false,"suffix":""},{"dropping-particle":"","family":"Samaké","given":"Salif","non-dropping-particle":"","parse-names":false,"suffix":""},{"dropping-particle":"","family":"Koné","given":"Diakalia","non-dropping-particle":"","parse-names":false,"suffix":""},{"dropping-particle":"","family":"Cissé","given":"Ibrahim","non-dropping-particle":"","parse-names":false,"suffix":""},{"dropping-particle":"","family":"Kayentao","given":"Kassoum","non-dropping-particle":"","parse-names":false,"suffix":""}],"container-title":"BMJ Glob Health Mali. BMJ Glob Health","id":"ITEM-4","issued":{"date-parts":[["2018"]]},"title":"Proactive community case management and child survival in periurban Mali","type":"article-journal","volume":"33"},"uris":["http://www.mendeley.com/documents/?uuid=bceb6b99-84a3-4e37-92eb-b41761202ecb"]}],"mendeley":{"formattedCitation":"(16–19)","plainTextFormattedCitation":"(16–19)","previouslyFormattedCitation":"(16–19)"},"properties":{"noteIndex":0},"schema":"https://github.com/citation-style-language/schema/raw/master/csl-citation.json"}</w:instrText>
      </w:r>
      <w:r w:rsidR="007363DC">
        <w:rPr>
          <w:rFonts w:ascii="Arial" w:eastAsia="Arial" w:hAnsi="Arial" w:cs="Arial"/>
          <w:sz w:val="22"/>
          <w:szCs w:val="22"/>
          <w:bdr w:val="nil"/>
          <w:lang w:val="fr-FR"/>
        </w:rPr>
        <w:fldChar w:fldCharType="separate"/>
      </w:r>
      <w:r w:rsidR="007363DC" w:rsidRPr="007363DC">
        <w:rPr>
          <w:rFonts w:ascii="Arial" w:eastAsia="Arial" w:hAnsi="Arial" w:cs="Arial"/>
          <w:noProof/>
          <w:sz w:val="22"/>
          <w:szCs w:val="22"/>
          <w:bdr w:val="nil"/>
          <w:lang w:val="fr-FR"/>
        </w:rPr>
        <w:t>(16–19)</w:t>
      </w:r>
      <w:r w:rsidR="007363DC">
        <w:rPr>
          <w:rFonts w:ascii="Arial" w:eastAsia="Arial" w:hAnsi="Arial" w:cs="Arial"/>
          <w:sz w:val="22"/>
          <w:szCs w:val="22"/>
          <w:bdr w:val="nil"/>
          <w:lang w:val="fr-FR"/>
        </w:rPr>
        <w:fldChar w:fldCharType="end"/>
      </w:r>
      <w:r w:rsidR="00FD3DDA">
        <w:rPr>
          <w:rFonts w:ascii="Arial" w:eastAsia="Arial" w:hAnsi="Arial" w:cs="Arial"/>
          <w:sz w:val="22"/>
          <w:szCs w:val="22"/>
          <w:bdr w:val="nil"/>
          <w:lang w:val="fr-FR"/>
        </w:rPr>
        <w:t> </w:t>
      </w:r>
      <w:r w:rsidRPr="000A44DB">
        <w:rPr>
          <w:rFonts w:ascii="Arial" w:eastAsia="Arial" w:hAnsi="Arial" w:cs="Arial"/>
          <w:sz w:val="22"/>
          <w:szCs w:val="22"/>
          <w:bdr w:val="nil"/>
          <w:lang w:val="fr-FR"/>
        </w:rPr>
        <w:t xml:space="preserve">; (3) </w:t>
      </w:r>
      <w:r w:rsidR="00B27B11">
        <w:rPr>
          <w:rFonts w:ascii="Arial" w:eastAsia="Arial" w:hAnsi="Arial" w:cs="Arial"/>
          <w:sz w:val="22"/>
          <w:szCs w:val="22"/>
          <w:bdr w:val="nil"/>
          <w:lang w:val="fr-FR"/>
        </w:rPr>
        <w:t>les activités proactive</w:t>
      </w:r>
      <w:r w:rsidR="004C7D22">
        <w:rPr>
          <w:rFonts w:ascii="Arial" w:eastAsia="Arial" w:hAnsi="Arial" w:cs="Arial"/>
          <w:sz w:val="22"/>
          <w:szCs w:val="22"/>
          <w:bdr w:val="nil"/>
          <w:lang w:val="fr-FR"/>
        </w:rPr>
        <w:t>s</w:t>
      </w:r>
      <w:r w:rsidR="00B27B11">
        <w:rPr>
          <w:rFonts w:ascii="Arial" w:eastAsia="Arial" w:hAnsi="Arial" w:cs="Arial"/>
          <w:sz w:val="22"/>
          <w:szCs w:val="22"/>
          <w:bdr w:val="nil"/>
          <w:lang w:val="fr-FR"/>
        </w:rPr>
        <w:t xml:space="preserve"> de </w:t>
      </w:r>
      <w:r w:rsidR="001C6F86" w:rsidRPr="000A44DB">
        <w:rPr>
          <w:rFonts w:ascii="Arial" w:eastAsia="Arial" w:hAnsi="Arial" w:cs="Arial"/>
          <w:sz w:val="22"/>
          <w:szCs w:val="22"/>
          <w:bdr w:val="nil"/>
          <w:lang w:val="fr-FR"/>
        </w:rPr>
        <w:t>PCIME</w:t>
      </w:r>
      <w:r w:rsidR="004C7D22">
        <w:rPr>
          <w:rFonts w:ascii="Arial" w:eastAsia="Arial" w:hAnsi="Arial" w:cs="Arial"/>
          <w:sz w:val="22"/>
          <w:szCs w:val="22"/>
          <w:bdr w:val="nil"/>
          <w:lang w:val="fr-FR"/>
        </w:rPr>
        <w:t>-C par le biais</w:t>
      </w:r>
      <w:r w:rsidRPr="000A44DB">
        <w:rPr>
          <w:rFonts w:ascii="Arial" w:eastAsia="Arial" w:hAnsi="Arial" w:cs="Arial"/>
          <w:sz w:val="22"/>
          <w:szCs w:val="22"/>
          <w:bdr w:val="nil"/>
          <w:lang w:val="fr-FR"/>
        </w:rPr>
        <w:t xml:space="preserve"> d’ASC</w:t>
      </w:r>
      <w:r w:rsidR="004C7D22">
        <w:rPr>
          <w:rFonts w:ascii="Arial" w:eastAsia="Arial" w:hAnsi="Arial" w:cs="Arial"/>
          <w:sz w:val="22"/>
          <w:szCs w:val="22"/>
          <w:bdr w:val="nil"/>
          <w:lang w:val="fr-FR"/>
        </w:rPr>
        <w:t>s</w:t>
      </w:r>
      <w:r w:rsidRPr="000A44DB">
        <w:rPr>
          <w:rFonts w:ascii="Arial" w:eastAsia="Arial" w:hAnsi="Arial" w:cs="Arial"/>
          <w:sz w:val="22"/>
          <w:szCs w:val="22"/>
          <w:bdr w:val="nil"/>
          <w:lang w:val="fr-FR"/>
        </w:rPr>
        <w:t xml:space="preserve"> salariés avec des services supplémentaires </w:t>
      </w:r>
      <w:r w:rsidR="00B27B11">
        <w:rPr>
          <w:rFonts w:ascii="Arial" w:eastAsia="Arial" w:hAnsi="Arial" w:cs="Arial"/>
          <w:sz w:val="22"/>
          <w:szCs w:val="22"/>
          <w:bdr w:val="nil"/>
          <w:lang w:val="fr-FR"/>
        </w:rPr>
        <w:t>étendus à</w:t>
      </w:r>
      <w:r w:rsidR="00B27B11" w:rsidRPr="000A44DB">
        <w:rPr>
          <w:rFonts w:ascii="Arial" w:eastAsia="Arial" w:hAnsi="Arial" w:cs="Arial"/>
          <w:sz w:val="22"/>
          <w:szCs w:val="22"/>
          <w:bdr w:val="nil"/>
          <w:lang w:val="fr-FR"/>
        </w:rPr>
        <w:t xml:space="preserve"> </w:t>
      </w:r>
      <w:r w:rsidRPr="000A44DB">
        <w:rPr>
          <w:rFonts w:ascii="Arial" w:eastAsia="Arial" w:hAnsi="Arial" w:cs="Arial"/>
          <w:sz w:val="22"/>
          <w:szCs w:val="22"/>
          <w:bdr w:val="nil"/>
          <w:lang w:val="fr-FR"/>
        </w:rPr>
        <w:t xml:space="preserve">la planification familiale et le conseil, des dépistages du VIH et </w:t>
      </w:r>
      <w:r w:rsidR="00C505FD" w:rsidRPr="000A44DB">
        <w:rPr>
          <w:rFonts w:ascii="Arial" w:eastAsia="Arial" w:hAnsi="Arial" w:cs="Arial"/>
          <w:sz w:val="22"/>
          <w:szCs w:val="22"/>
          <w:bdr w:val="nil"/>
          <w:lang w:val="fr-FR"/>
        </w:rPr>
        <w:t>le référencement des cas</w:t>
      </w:r>
      <w:r w:rsidR="007363DC">
        <w:rPr>
          <w:rFonts w:ascii="Arial" w:eastAsia="Arial" w:hAnsi="Arial" w:cs="Arial"/>
          <w:sz w:val="22"/>
          <w:szCs w:val="22"/>
          <w:bdr w:val="nil"/>
          <w:lang w:val="fr-FR"/>
        </w:rPr>
        <w:fldChar w:fldCharType="begin" w:fldLock="1"/>
      </w:r>
      <w:r w:rsidR="00273809">
        <w:rPr>
          <w:rFonts w:ascii="Arial" w:eastAsia="Arial" w:hAnsi="Arial" w:cs="Arial"/>
          <w:sz w:val="22"/>
          <w:szCs w:val="22"/>
          <w:bdr w:val="nil"/>
          <w:lang w:val="fr-FR"/>
        </w:rPr>
        <w:instrText>ADDIN CSL_CITATION {"citationItems":[{"id":"ITEM-1","itemData":{"abstract":"Background\\nIn 2012, 6.6 million children under age five died worldwide, most from diseases with known means of prevention and treatment. A delivery gap persists between well-validated methods for child survival and equitable, timely access to those methods. We measured early child health care access, morbidity, and mortality over the course of a health system strengthening model intervention in Yirimadjo, Mali. The intervention included Community Health Worker active case finding, user fee removal, infrastructure development, community mobilization, and prevention programming.\\n\\nMethods and Findings\\nWe conducted four household surveys using a cluster-based, population-weighted sampling methodology at baseline and at 12, 24, and 36 months. We defined our outcomes as the percentage of children initiating an effective antimalarial within 24 hours of symptom onset, the percentage of children reported to be febrile within the previous two weeks, and the under-five child mortality rate. We compared prevalence of febrile illness and treatment using chi-square statistics, and estimated and compared under-five mortality rates using Cox proportional hazard regression. There was a statistically significant difference in under-five mortality between the 2008 and 2011 surveys; in 2011, the hazard of under-five mortality in the intervention area was one tenth that of baseline (HR 0.10, p","author":[{"dropping-particle":"","family":"Johnson","given":"Ari D.","non-dropping-particle":"","parse-names":false,"suffix":""},{"dropping-particle":"","family":"Thomson","given":"Dana R.","non-dropping-particle":"","parse-names":false,"suffix":""},{"dropping-particle":"","family":"Atwood","given":"Sidney","non-dropping-particle":"","parse-names":false,"suffix":""},{"dropping-particle":"","family":"Alley","given":"Ian","non-dropping-particle":"","parse-names":false,"suffix":""},{"dropping-particle":"","family":"Beckerman","given":"Jessica L.","non-dropping-particle":"","parse-names":false,"suffix":""},{"dropping-particle":"","family":"Kon??","given":"Ichiaka","non-dropping-particle":"","parse-names":false,"suffix":""},{"dropping-particle":"","family":"Diakit??","given":"Djoum??","non-dropping-particle":"","parse-names":false,"suffix":""},{"dropping-particle":"","family":"Diallo","given":"Hamed","non-dropping-particle":"","parse-names":false,"suffix":""},{"dropping-particle":"","family":"Traor??","given":"Boubacar","non-dropping-particle":"","parse-names":false,"suffix":""},{"dropping-particle":"","family":"Traor??","given":"Klenon","non-dropping-particle":"","parse-names":false,"suffix":""},{"dropping-particle":"","family":"Farmer","given":"Paul E.","non-dropping-particle":"","parse-names":false,"suffix":""},{"dropping-particle":"","family":"Murray","given":"Megan","non-dropping-particle":"","parse-names":false,"suffix":""},{"dropping-particle":"","family":"Mukherjee","given":"Joia","non-dropping-particle":"","parse-names":false,"suffix":""}],"container-title":"PLoS ONE","id":"ITEM-1","issue":"12","issued":{"date-parts":[["2013"]]},"title":"Assessing early access to care and child survival during a health system strengthening intervention in Mali: A repeated cross sectional survey","type":"article-journal","volume":"8"},"uris":["http://www.mendeley.com/documents/?uuid=6ebea59c-59e5-4166-8aec-741696446f59"]},{"id":"ITEM-2","itemData":{"DOI":"10.1136/","abstract":"AbstrACt The majority of the world's population lives in urban areas, and regions with the highest under-five mortality rates are urbanising rapidly. This 7-year interrupted time series study measured early access to care and under-five mortality over the course of a proactive community case management (ProCCM) intervention in periurban Mali. Using a cluster-based, population-weighted sampling methodology, we conducted independent cross-sectional household surveys at baseline and at 12, 24, 36, 48, 60, 72 and 84 months later in the intervention area. The ProCCM intervention had five key components: (1) active case detection by community health workers (CHWs), (2) CHW doorstep care, (3) monthly dedicated supervision for CHWs, (4) removal of user fees and (5) primary care infrastructure improvements and staff capacity building. Under-five mortality rate was calculated using a Cox proportional hazard survival regression. We measured the percentage of children initiating effective antimalarial treatment within 24 hours of symptom onset and the percentage of children reported to be febrile within the previous 2 weeks. During the intervention, the rate of early effective antimalarial treatment of children 0–59 months more than doubled, from 14.7% in 2008 to 35.3% in 2015 (OR 3.198, P&lt;0.0001). The prevalence of febrile illness among children under 5 years declined after 7 years of the intervention from 39.7% at baseline to 22.6% in 2015 (OR 0.448, P&lt;0.0001). Communities where ProCCM was implemented have achieved an under-five mortality rate at or below 28/1000 for the past 6 years. In 2015, under-five mortality was 7/1000 (HR 0.039, P&lt;0.0001). Further research is needed to elucidate the mechanisms of action and generalizability of ProCCM. IntroduCtIon The majority of the world's population now lives in urban areas. 1 While Africa remains predominantly rural, the continent is urban-ising faster than other regions and is projected to become 56% urban by 2050. 1 With more than half of sub-Saharan Africa's urban popu-lation living in slums and informal settle-ments, 2 this demographic shift has major implications for health and health equity. Characterised by extreme poverty, environ-mental degradation and a lack of basic infra-structure, these urban areas are vulnerable to","author":[{"dropping-particle":"","family":"Johnson","given":"Ari D","non-dropping-particle":"","parse-names":false,"suffix":""},{"dropping-particle":"","family":"Thiero","given":"Oumar","non-dropping-particle":"","parse-names":false,"suffix":""},{"dropping-particle":"","family":"Whidden","given":"Caroline","non-dropping-particle":"","parse-names":false,"suffix":""},{"dropping-particle":"","family":"Poudiougou","given":"Belco","non-dropping-particle":"","parse-names":false,"suffix":""},{"dropping-particle":"","family":"Diakité","given":"Djoumé","non-dropping-particle":"","parse-names":false,"suffix":""},{"dropping-particle":"","family":"Traoré","given":"Fousséni","non-dropping-particle":"","parse-names":false,"suffix":""},{"dropping-particle":"","family":"Samaké","given":"Salif","non-dropping-particle":"","parse-names":false,"suffix":""},{"dropping-particle":"","family":"Koné","given":"Diakalia","non-dropping-particle":"","parse-names":false,"suffix":""},{"dropping-particle":"","family":"Cissé","given":"Ibrahim","non-dropping-particle":"","parse-names":false,"suffix":""},{"dropping-particle":"","family":"Kayentao","given":"Kassoum","non-dropping-particle":"","parse-names":false,"suffix":""}],"container-title":"BMJ Glob Health Mali. BMJ Glob Health","id":"ITEM-2","issued":{"date-parts":[["2018"]]},"title":"Proactive community case management and child survival in periurban Mali","type":"article-journal","volume":"33"},"uris":["http://www.mendeley.com/documents/?uuid=bceb6b99-84a3-4e37-92eb-b41761202ecb"]},{"id":"ITEM-3","itemData":{"DOI":"10.1016/S0140-6736(04)17311-X","ISSN":"0140-6736","abstract":"BACKGROUND\nThe Integrated Management of Childhood Illness (IMCI) strategy is designed to address major causes of child mortality at the levels of community, health facility, and health system. We assessed the effectiveness of facility-based IMCI in rural Tanzania. \n\nMETHODS\nWe compared two districts with facility-based IMCI and two neighbouring comparison districts without IMCI, from 1997 to 2002, in a non-randomised study. We assessed quality of case-management for children's illness, drug and vaccine availability, and supervision involving case-management, through a health-facility survey in 2000. Household surveys were used to assess child-health indicators in 1999 and 2002. Survival of children was tracked through demographic surveillance over a predefined 2-year period from mid 2000. Further information on contextual factors was gathered through interviews and record review. The economic cost of health care for children in IMCI and comparison districts was estimated through interviews and record review at national, district, facility, and household levels. \n\nFINDINGS\nDuring the IMCI phase-in period, mortality rates in children under 5 years old were almost identical in IMCI and comparison districts. Over the next 2 years, the mortality rate was 13% lower in IMCI than in comparison districts (95% CI –7 to 30 or 5 to 21, depending on how adjustment is made for district-level clustering), with a rate difference of 3·8 fewer deaths per 1000 child-years. Contextual factors, such as use of mosquito nets, all favoured the comparison districts. Costs of children's health care with IMCI were similar to or lower than those for case-management without IMCI. \n\nINTERPRETATION\nOur findings indicate that facility-based IMCI is good value for money, and support widespread implementation in the context of health sector reform, basket funding, good facility access, and high utilisation of health facilities.","author":[{"dropping-particle":"","family":"Schellenberg","given":"Joanna RM Armstrong","non-dropping-particle":"","parse-names":false,"suffix":""},{"dropping-particle":"","family":"Adam","given":"Taghreed","non-dropping-particle":"","parse-names":false,"suffix":""},{"dropping-particle":"","family":"Mshinda","given":"Hassan","non-dropping-particle":"","parse-names":false,"suffix":""},{"dropping-particle":"","family":"Masanja","given":"Honorati","non-dropping-particle":"","parse-names":false,"suffix":""},{"dropping-particle":"","family":"Kabadi","given":"Gregory","non-dropping-particle":"","parse-names":false,"suffix":""},{"dropping-particle":"","family":"Mukasa","given":"Oscar","non-dropping-particle":"","parse-names":false,"suffix":""},{"dropping-particle":"","family":"John","given":"Theopista","non-dropping-particle":"","parse-names":false,"suffix":""},{"dropping-particle":"","family":"Charles","given":"Sosthenes","non-dropping-particle":"","parse-names":false,"suffix":""},{"dropping-particle":"","family":"Nathan","given":"Rose","non-dropping-particle":"","parse-names":false,"suffix":""},{"dropping-particle":"","family":"Wilczynska","given":"Katarzyna","non-dropping-particle":"","parse-names":false,"suffix":""},{"dropping-particle":"","family":"Mgalula","given":"Leslie","non-dropping-particle":"","parse-names":false,"suffix":""},{"dropping-particle":"","family":"Mbuya","given":"Conrad","non-dropping-particle":"","parse-names":false,"suffix":""},{"dropping-particle":"","family":"Mswia","given":"Robert","non-dropping-particle":"","parse-names":false,"suffix":""},{"dropping-particle":"","family":"Manzi","given":"Fatuma","non-dropping-particle":"","parse-names":false,"suffix":""},{"dropping-particle":"","family":"Savigny","given":"Don","non-dropping-particle":"de","parse-names":false,"suffix":""},{"dropping-particle":"","family":"Schellenberg","given":"David","non-dropping-particle":"","parse-names":false,"suffix":""},{"dropping-particle":"","family":"Victora","given":"Cesar","non-dropping-particle":"","parse-names":false,"suffix":""}],"container-title":"The Lancet","id":"ITEM-3","issue":"9445","issued":{"date-parts":[["2004","10","30"]]},"page":"1583-1594","publisher":"Elsevier","title":"Effectiveness and cost of facility-based Integrated Management of Childhood Illness (IMCI) in Tanzania","type":"article-journal","volume":"364"},"uris":["http://www.mendeley.com/documents/?uuid=778c9d0b-5060-3e48-ba24-039838315973"]},{"id":"ITEM-4","itemData":{"DOI":"10.1186/1478-4491-9-27","abstract":"Background: Over thirty years have passed since the Alma-Ata Declaration on primary health care in 1978. Many governments in the first decade following the declaration responded by developing national programmes of community health workers (CHWs), but evaluations of these often demonstrated poor outcomes. As many CHW programmes have responded to the HIV/AIDS pandemic, international interest in them has returned and their role in the response to other diseases should be examined carefully so that lessons can be applied to their new roles. Over half of the deaths in African children under five years of age are due to malaria, diarrhoea and pneumonia-a situation which could be addressed through the use of cheap and effective interventions delivered by CHWs. However, to date there is very little evidence from randomised controlled trials of the impacts of CHW programmes on child mortality in Africa. Evidence from non-randomised controlled studies has not previously been reviewed systematically. Methods: We searched databases of published and unpublished studies for RCTs and non-randomised studies evaluating CHW programmes delivering curative treatments, with or without preventive components, for malaria, diarrhoea or pneumonia, in children in sub-Saharan Africa from 1987 to 2007. The impact of these programmes on morbidity or mortality in children under six years of age was reviewed. A descriptive analysis of interventional and contextual factors associated with these impacts was attempted.","author":[{"dropping-particle":"","family":"Christopher","given":"Jason B","non-dropping-particle":"","parse-names":false,"suffix":""},{"dropping-particle":"","family":"May","given":"Alex","non-dropping-particle":"Le","parse-names":false,"suffix":""},{"dropping-particle":"","family":"Lewin","given":"Simon","non-dropping-particle":"","parse-names":false,"suffix":""},{"dropping-particle":"","family":"Ross","given":"David A","non-dropping-particle":"","parse-names":false,"suffix":""}],"id":"ITEM-4","issued":{"date-parts":[["2011"]]},"title":"Thirty years after Alma-Ata: a systematic review of the impact of community health workers delivering curative interventions against malaria, pneumonia and diarrhoea on child mortality and morbidity in sub-Saharan Africa","type":"report"},"uris":["http://www.mendeley.com/documents/?uuid=12f5c980-95ce-3e50-aa2b-31e56ec94979"]},{"id":"ITEM-5","itemData":{"DOI":"10.1002/14651858.CD007754.pub3","ISSN":"14651858","author":[{"dropping-particle":"","family":"Lassi","given":"Zohra S","non-dropping-particle":"","parse-names":false,"suffix":""},{"dropping-particle":"","family":"Bhutta","given":"Zulfiqar A","non-dropping-particle":"","parse-names":false,"suffix":""}],"container-title":"Cochrane Database of Systematic Reviews","id":"ITEM-5","issue":"3","issued":{"date-parts":[["2015","3","23"]]},"publisher":"John Wiley &amp; Sons, Ltd","title":"Community-based intervention packages for reducing maternal and neonatal morbidity and mortality and improving neonatal outcomes","type":"article-journal"},"uris":["http://www.mendeley.com/documents/?uuid=490a179b-9b14-3aab-80ce-0c45b24e58af"]},{"id":"ITEM-6","itemData":{"DOI":"10.7189/jogh.04.020411","ISSN":"2047-2978","PMID":"25520801","abstract":"AIM To accelerate progress in reducing child mortality, many countries in sub-Saharan Africa have adopted and scaled-up integrated community case management (iCCM) programs targeting the three major infectious killers of children under-five. The programs train lay community health workers to assess, classify and treat uncomplicated cases of pneumonia with antibiotics, malaria with antimalarial drugs and diarrhea with Oral Rehydration Salts (ORS) and zinc. Although management of these conditions with the respective appropriate drugs has proven efficacious in randomized trials, the effectiveness of large iCCM scale-up programs in reducing child mortality is yet to be demonstrated. This paper reviews recent experience in documenting and attributing changes in under-five mortality to the specific interventions of a variety of iCCM programs. METHODS Eight recent studies have been identified and assessed in terms of design, mortality measurement and results. Impact of the iCCM program on mortality among children age 2-59 months was assessed through a difference in differences approach using random effect Poisson regression. RESULTS Designs used by these studies include cluster randomized trials, randomized stepped-wedge and quasi-experimental trials. Child mortality is measured through demographic surveillance or household survey with full birth history conducted at the end of program implementation. Six of the eight studies showed a higher decline in mortality among children 2-59 months in program areas compared to comparison areas, although this acceleration was statistically significant in only one study with a decline of 76% larger in intervention than in comparison areas. CONCLUSION Studies that evaluate large scale iCCM programs and include assessment of mortality impact must ensure an appropriate design. This includes required sample sizes and sufficient number of program and comparison districts that allow adequate inference and attribution of impact. In addition, large-scale program utilization, and a significant increase in coverage of care seeking and treatment of targeted childhood illnesses are preconditions to measurable mortality impact. Those issues need to be addressed before large investments in assessing changes in child mortality is undertaken, or the results of mortality impact evaluation will most likely be inconclusive.","author":[{"dropping-particle":"","family":"Amouzou","given":"Agbessi","non-dropping-particle":"","parse-names":false,"suffix":""},{"dropping-particle":"","family":"Morris","given":"Saul","non-dropping-particle":"","parse-names":false,"suffix":""},{"dropping-particle":"","family":"Moulton","given":"Lawrence H","non-dropping-particle":"","parse-names":false,"suffix":""},{"dropping-particle":"","family":"Mukanga","given":"David","non-dropping-particle":"","parse-names":false,"suffix":""}],"container-title":"Journal of global health","id":"ITEM-6","issue":"2","issued":{"date-parts":[["2014","12"]]},"page":"020411","publisher":"Centre for Reviews and Dissemination (UK)","title":"Assessing the impact of integrated community case management (iCCM) programs on child mortality: Review of early results and lessons learned in sub-Saharan Africa.","type":"article-journal","volume":"4"},"uris":["http://www.mendeley.com/documents/?uuid=8a85c597-2262-3704-80b6-d08bcecdb992"]},{"id":"ITEM-7","itemData":{"DOI":"10.2471/BLT.09.069369","ISSN":"1564-0604","PMID":"20865070","abstract":"OBJECTIVE To determine whether home visits for neonatal care by community health workers can reduce infant and neonatal deaths and stillbirths in resource-limited settings. METHODS We conducted a systematic review up to 2008 of controlled trials comparing various intervention packages, one of them being home visits for neonatal care by community health workers. We performed meta-analysis to calculate the pooled risk of outcomes. FINDINGS Five trials, all from south Asia, satisfied the inclusion criteria. The intervention packages included in them comprised antenatal home visits (all trials), home visits during the neonatal period (all trials), home-based treatment for illness (3 trials) and community mobilization efforts (4 trials). Meta-analysis showed a reduced risk of neonatal death (relative risk, RR: 0.62; 95% confidence interval, CI: 0.44-0.87) and stillbirth (RR: 0.76; 95% CI: 0.65-0.89), and a significant improvement in antenatal and neonatal practice indicators (&gt; 1 antenatal check-up, 2 doses of maternal tetanus toxoid, clean umbilical cord care, early breastfeeding and delayed bathing). Only one trial recorded infant deaths (RR: 0.41; 0.30-0.57). Subgroup analyses suggested a greater survival benefit when home visit coverage was ≥ 50% (P &lt; 0.001) and when both preventive and curative interventions (injectable antibiotics) were conducted (P = 0.088). CONCLUSION Home visits for antenatal and neonatal care, together with community mobilization activities, are associated with reduced neonatal mortality and stillbirths in southern Asian settings with high neonatal mortality and poor access to facility-based health care.","author":[{"dropping-particle":"","family":"Gogia","given":"Siddhartha","non-dropping-particle":"","parse-names":false,"suffix":""},{"dropping-particle":"","family":"Sachdev","given":"Harshpal Singh","non-dropping-particle":"","parse-names":false,"suffix":""}],"container-title":"Bulletin of the World Health Organization","id":"ITEM-7","issue":"9","issued":{"date-parts":[["2010","9","1"]]},"page":"658-666B","publisher":"World Health Organization","title":"Home visits by community health workers to prevent neonatal deaths in developing countries: a systematic review.","type":"article-journal","volume":"88"},"uris":["http://www.mendeley.com/documents/?uuid=592aa1d0-72af-34fe-acd4-399155b15e47"]},{"id":"ITEM-8","itemData":{"DOI":"10.1038/jp.2016.33","ISSN":"1476-5543","PMID":"27109093","abstract":"The objective of this review is to assess the effect of home-based neonatal care provided by community health workers (CHWs) for preventing neonatal, infant and perinatal mortality in resource-limited settings with poor access to health facility-based care. The authors conducted a systematic review, including meta-analysis and meta-regression of controlled trials. The data sources included electronic databases, with a hand search of reviews, abstracts and proceedings of conferences to search for randomized, or cluster randomized, controlled trials evaluating the effect of home-based neonatal care provided by CHWs for preventing neonatal, infant and perinatal mortality. Among the included trials, all from South Asian countries, information on neonatal, infant and perinatal mortality was available in five, one and three trials, respectively. The intervention package comprised three components, namely, home visits during pregnancy (four trials), home-based preventive and/or curative neonatal care (all trials) and community mobilization efforts (four trials). Intervention was associated with a reduced risk of mortality during the neonatal (random effects model relative risk (RR) 0.75; 95% confidence intervals (CIs) 0.61 to 0.92, P=0.005; I(2)=82.2%, P&lt;0.001 for heterogeneity; high-quality evidence) and perinatal periods (random effects model RR 0.78; 95% CI 0.64 to 0.94, P=0.009; I(2)=79.6%, P=0.007 for heterogeneity; high-quality evidence). In one trial, a significant decline in infant mortality (RR 0.85; 95% CI 0.77 to 0.94) was documented. Subgroup and meta-regression analyses suggested a greater effect with a higher baseline neonatal mortality rate. The authors concluded that home-based neonatal care is associated with a reduction in neonatal and perinatal mortality in South Asian settings with high neonatal-mortality rates and poor access to health facility-based care. Adoption of a policy of home-based neonatal care provided by CHWs is justified in such settings.","author":[{"dropping-particle":"","family":"Gogia","given":"S","non-dropping-particle":"","parse-names":false,"suffix":""},{"dropping-particle":"","family":"Sachdev","given":"H P S","non-dropping-particle":"","parse-names":false,"suffix":""}],"container-title":"Journal of perinatology : official journal of the California Perinatal Association","id":"ITEM-8","issue":"Suppl 1","issued":{"date-parts":[["2016"]]},"page":"S55-73","publisher":"Nature Publishing Group","title":"Home-based neonatal care by community health workers for preventing mortality in neonates in low- and middle-income countries: a systematic review.","type":"article-journal","volume":"36 Suppl 1"},"uris":["http://www.mendeley.com/documents/?uuid=3263075a-ec22-3ce2-830c-7d5493043792"]},{"id":"ITEM-9","itemData":{"DOI":"10.1093/heapol/czt026","ISSN":"0268-1080","author":[{"dropping-particle":"","family":"Dawson","given":"A. J.","non-dropping-particle":"","parse-names":false,"suffix":""},{"dropping-particle":"","family":"Buchan","given":"J.","non-dropping-particle":"","parse-names":false,"suffix":""},{"dropping-particle":"","family":"Duffield","given":"C.","non-dropping-particle":"","parse-names":false,"suffix":""},{"dropping-particle":"","family":"Homer","given":"C. S. E.","non-dropping-particle":"","parse-names":false,"suffix":""},{"dropping-particle":"","family":"Wijewardena","given":"K.","non-dropping-particle":"","parse-names":false,"suffix":""}],"container-title":"Health Policy and Planning","id":"ITEM-9","issue":"3","issued":{"date-parts":[["2014","5","1"]]},"page":"396-408","publisher":"Oxford University Press","title":"Task shifting and sharing in maternal and reproductive health in low-income countries: a narrative synthesis of current evidence","type":"article-journal","volume":"29"},"uris":["http://www.mendeley.com/documents/?uuid=b39dfb2e-49c3-33ff-8254-a3f338f72a27"]},{"id":"ITEM-10","itemData":{"DOI":"10.1097/QAD.0000000000001101","ISSN":"1473-5571","PMID":"27058350","abstract":"OBJECTIVE To synthesize qualitative evidence on linkage to care interventions for people living with HIV. DESIGN Systematic literature review. METHODS We searched 19 databases for studies reporting qualitative evidence on linkage interventions. Data extraction and thematic analysis were used to synthesize findings. Quality was assessed using the Critical Appraisal Skills Programme tool and certainty of evidence was evaluated using the Confidence in the Evidence from Reviews of Qualitative Research approach. RESULTS Twenty-five studies from 11 countries focused on adults (24 studies), adolescents (eight studies), and pregnant women (four studies). Facilitators included community-level factors (i.e., task shifting, mobile outreach, integrated HIV, and primary services, supportive cessation programs for substance users, active referrals, and dedicated case management teams), and individual-level factors (encouragement of peers/family and positive interactions with healthcare providers in transitioning into care). One key barrier for people living with HIV was perceived inability of providers to ensure confidentiality as part of linkage to care interventions. Providers reported difficulties navigating procedures across disparate facilities and having limited resources for linkage to care interventions. CONCLUSION Our findings extend the literature by highlighting the importance of task-shifting, mobile outreach, integrated HIV, and primary care services. Both community and individual-level factors may increase the feasibility and acceptability of HIV linkage to care interventions. These findings may inform policies to increase the reach of HIV services available in communities.","author":[{"dropping-particle":"","family":"Tso","given":"Lai Sze","non-dropping-particle":"","parse-names":false,"suffix":""},{"dropping-particle":"","family":"Best","given":"John","non-dropping-particle":"","parse-names":false,"suffix":""},{"dropping-particle":"","family":"Beanland","given":"Rachel","non-dropping-particle":"","parse-names":false,"suffix":""},{"dropping-particle":"","family":"Doherty","given":"Meg","non-dropping-particle":"","parse-names":false,"suffix":""},{"dropping-particle":"","family":"Lackey","given":"Mellanye","non-dropping-particle":"","parse-names":false,"suffix":""},{"dropping-particle":"","family":"Ma","given":"Qingyan","non-dropping-particle":"","parse-names":false,"suffix":""},{"dropping-particle":"","family":"Hall","given":"Brian J","non-dropping-particle":"","parse-names":false,"suffix":""},{"dropping-particle":"","family":"Yang","given":"Bin","non-dropping-particle":"","parse-names":false,"suffix":""},{"dropping-particle":"","family":"Tucker","given":"Joseph D","non-dropping-particle":"","parse-names":false,"suffix":""}],"container-title":"AIDS (London, England)","id":"ITEM-10","issue":"10","issued":{"date-parts":[["2016"]]},"page":"1639-53","publisher":"NIH Public Access","title":"Facilitators and barriers in HIV linkage to care interventions: a qualitative evidence review.","type":"article-journal","volume":"30"},"uris":["http://www.mendeley.com/documents/?uuid=124ef7b3-9f4c-3c10-b348-03d1cde90df7"]}],"mendeley":{"formattedCitation":"(11,19–27)","plainTextFormattedCitation":"(11,19–27)","previouslyFormattedCitation":"(11,19–27)"},"properties":{"noteIndex":0},"schema":"https://github.com/citation-style-language/schema/raw/master/csl-citation.json"}</w:instrText>
      </w:r>
      <w:r w:rsidR="007363DC">
        <w:rPr>
          <w:rFonts w:ascii="Arial" w:eastAsia="Arial" w:hAnsi="Arial" w:cs="Arial"/>
          <w:sz w:val="22"/>
          <w:szCs w:val="22"/>
          <w:bdr w:val="nil"/>
          <w:lang w:val="fr-FR"/>
        </w:rPr>
        <w:fldChar w:fldCharType="separate"/>
      </w:r>
      <w:r w:rsidR="00FD3DDA">
        <w:rPr>
          <w:rFonts w:ascii="Arial" w:eastAsia="Arial" w:hAnsi="Arial" w:cs="Arial"/>
          <w:sz w:val="22"/>
          <w:szCs w:val="22"/>
          <w:bdr w:val="nil"/>
          <w:lang w:val="fr-FR"/>
        </w:rPr>
        <w:t xml:space="preserve"> </w:t>
      </w:r>
      <w:r w:rsidR="007363DC" w:rsidRPr="007363DC">
        <w:rPr>
          <w:rFonts w:ascii="Arial" w:eastAsia="Arial" w:hAnsi="Arial" w:cs="Arial"/>
          <w:noProof/>
          <w:sz w:val="22"/>
          <w:szCs w:val="22"/>
          <w:bdr w:val="nil"/>
          <w:lang w:val="fr-FR"/>
        </w:rPr>
        <w:t>(11,19–27)</w:t>
      </w:r>
      <w:r w:rsidR="007363DC">
        <w:rPr>
          <w:rFonts w:ascii="Arial" w:eastAsia="Arial" w:hAnsi="Arial" w:cs="Arial"/>
          <w:sz w:val="22"/>
          <w:szCs w:val="22"/>
          <w:bdr w:val="nil"/>
          <w:lang w:val="fr-FR"/>
        </w:rPr>
        <w:fldChar w:fldCharType="end"/>
      </w:r>
      <w:r w:rsidR="00FD3DDA">
        <w:rPr>
          <w:rFonts w:ascii="Arial" w:eastAsia="Arial" w:hAnsi="Arial" w:cs="Arial"/>
          <w:sz w:val="22"/>
          <w:szCs w:val="22"/>
          <w:bdr w:val="nil"/>
          <w:lang w:val="fr-FR"/>
        </w:rPr>
        <w:t> </w:t>
      </w:r>
      <w:r w:rsidRPr="000A44DB">
        <w:rPr>
          <w:rFonts w:ascii="Arial" w:eastAsia="Arial" w:hAnsi="Arial" w:cs="Arial"/>
          <w:sz w:val="22"/>
          <w:szCs w:val="22"/>
          <w:bdr w:val="nil"/>
          <w:lang w:val="fr-FR"/>
        </w:rPr>
        <w:t xml:space="preserve">; (4) </w:t>
      </w:r>
      <w:r w:rsidR="00B27B11">
        <w:rPr>
          <w:rFonts w:ascii="Arial" w:eastAsia="Arial" w:hAnsi="Arial" w:cs="Arial"/>
          <w:sz w:val="22"/>
          <w:szCs w:val="22"/>
          <w:bdr w:val="nil"/>
          <w:lang w:val="fr-FR"/>
        </w:rPr>
        <w:t>le</w:t>
      </w:r>
      <w:r w:rsidRPr="000A44DB">
        <w:rPr>
          <w:rFonts w:ascii="Arial" w:eastAsia="Arial" w:hAnsi="Arial" w:cs="Arial"/>
          <w:sz w:val="22"/>
          <w:szCs w:val="22"/>
          <w:bdr w:val="nil"/>
          <w:lang w:val="fr-FR"/>
        </w:rPr>
        <w:t xml:space="preserve"> </w:t>
      </w:r>
      <w:r w:rsidR="00C505FD" w:rsidRPr="000A44DB">
        <w:rPr>
          <w:rFonts w:ascii="Arial" w:eastAsia="Arial" w:hAnsi="Arial" w:cs="Arial"/>
          <w:sz w:val="22"/>
          <w:szCs w:val="22"/>
          <w:bdr w:val="nil"/>
          <w:lang w:val="fr-FR"/>
        </w:rPr>
        <w:t xml:space="preserve">mentorat </w:t>
      </w:r>
      <w:r w:rsidRPr="000A44DB">
        <w:rPr>
          <w:rFonts w:ascii="Arial" w:eastAsia="Arial" w:hAnsi="Arial" w:cs="Arial"/>
          <w:sz w:val="22"/>
          <w:szCs w:val="22"/>
          <w:bdr w:val="nil"/>
          <w:lang w:val="fr-FR"/>
        </w:rPr>
        <w:t xml:space="preserve">clinique et </w:t>
      </w:r>
      <w:r w:rsidR="00B27B11">
        <w:rPr>
          <w:rFonts w:ascii="Arial" w:eastAsia="Arial" w:hAnsi="Arial" w:cs="Arial"/>
          <w:sz w:val="22"/>
          <w:szCs w:val="22"/>
          <w:bdr w:val="nil"/>
          <w:lang w:val="fr-FR"/>
        </w:rPr>
        <w:t>la</w:t>
      </w:r>
      <w:r w:rsidRPr="000A44DB">
        <w:rPr>
          <w:rFonts w:ascii="Arial" w:eastAsia="Arial" w:hAnsi="Arial" w:cs="Arial"/>
          <w:sz w:val="22"/>
          <w:szCs w:val="22"/>
          <w:bdr w:val="nil"/>
          <w:lang w:val="fr-FR"/>
        </w:rPr>
        <w:t xml:space="preserve"> supervision </w:t>
      </w:r>
      <w:r w:rsidR="00C505FD" w:rsidRPr="000A44DB">
        <w:rPr>
          <w:rFonts w:ascii="Arial" w:eastAsia="Arial" w:hAnsi="Arial" w:cs="Arial"/>
          <w:sz w:val="22"/>
          <w:szCs w:val="22"/>
          <w:bdr w:val="nil"/>
          <w:lang w:val="fr-FR"/>
        </w:rPr>
        <w:t>de soutien</w:t>
      </w:r>
      <w:r w:rsidRPr="000A44DB">
        <w:rPr>
          <w:rFonts w:ascii="Arial" w:eastAsia="Arial" w:hAnsi="Arial" w:cs="Arial"/>
          <w:sz w:val="22"/>
          <w:szCs w:val="22"/>
          <w:bdr w:val="nil"/>
          <w:lang w:val="fr-FR"/>
        </w:rPr>
        <w:t xml:space="preserve"> dans les </w:t>
      </w:r>
      <w:r w:rsidR="00C505FD" w:rsidRPr="000A44DB">
        <w:rPr>
          <w:rFonts w:ascii="Arial" w:eastAsia="Arial" w:hAnsi="Arial" w:cs="Arial"/>
          <w:sz w:val="22"/>
          <w:szCs w:val="22"/>
          <w:bdr w:val="nil"/>
          <w:lang w:val="fr-FR"/>
        </w:rPr>
        <w:t>formations</w:t>
      </w:r>
      <w:r w:rsidRPr="000A44DB">
        <w:rPr>
          <w:rFonts w:ascii="Arial" w:eastAsia="Arial" w:hAnsi="Arial" w:cs="Arial"/>
          <w:sz w:val="22"/>
          <w:szCs w:val="22"/>
          <w:bdr w:val="nil"/>
          <w:lang w:val="fr-FR"/>
        </w:rPr>
        <w:t xml:space="preserve"> sanitaires</w:t>
      </w:r>
      <w:r w:rsidRPr="000A44DB">
        <w:rPr>
          <w:rFonts w:ascii="Arial" w:hAnsi="Arial" w:cs="Arial"/>
          <w:sz w:val="22"/>
          <w:szCs w:val="22"/>
        </w:rPr>
        <w:fldChar w:fldCharType="begin" w:fldLock="1"/>
      </w:r>
      <w:r w:rsidR="00356EBB">
        <w:rPr>
          <w:rFonts w:ascii="Arial" w:hAnsi="Arial" w:cs="Arial"/>
          <w:sz w:val="22"/>
          <w:szCs w:val="22"/>
          <w:lang w:val="fr-FR"/>
        </w:rPr>
        <w:instrText>ADDIN CSL_CITATION {"citationItems":[{"id":"ITEM-1","itemData":{"DOI":"10.1186/1472-6963-13-S2-S8","ISBN":"9780309072809","ISSN":"14726963","PMID":"23819662","abstract":"BACKGROUND: Integrated into the work in health systems strengthening (HSS) is a growing focus on the importance of ensuring quality of the services delivered and systems which support them. Understanding how to define and measure quality in the different key World Health Organization building blocks is critical to providing the information needed to address gaps and identify models for replication.\\n\\nDESCRIPTION OF APPROACHES: We describe the approaches to defining and improving quality across the five country programs funded through the Doris Duke Charitable Foundation African Health Initiative. While each program has independently developed and implemented country-specific approaches to strengthening health systems, they all included quality of services and systems as a core principle. We describe the differences and similarities across the programs in defining and improving quality as an embedded process essential for HSS to achieve the goal of improved population health. The programs measured quality across most or all of the six WHO building blocks, with specific areas of overlap in improving quality falling into four main categories: 1) defining and measuring quality; 2) ensuring data quality, and building capacity for data use for decision making and response to quality measurements; 3) strengthened supportive supervision and/or mentoring; and 4) operational research to understand the factors associated with observed variation in quality.\\n\\nCONCLUSIONS: Learning the value and challenges of these approaches to measuring and improving quality across the key components of HSS as the projects continue their work will help inform similar efforts both now and in the future to ensure quality across the critical components of a health system and the impact on population health.","author":[{"dropping-particle":"","family":"Hirschhorn","given":"Lisa R.","non-dropping-particle":"","parse-names":false,"suffix":""},{"dropping-particle":"","family":"Baynes","given":"Colin","non-dropping-particle":"","parse-names":false,"suffix":""},{"dropping-particle":"","family":"Sherr","given":"Kenneth","non-dropping-particle":"","parse-names":false,"suffix":""},{"dropping-particle":"","family":"Chintu","given":"Namwinga","non-dropping-particle":"","parse-names":false,"suffix":""},{"dropping-particle":"","family":"Awoonor-Williams","given":"John Koku","non-dropping-particle":"","parse-names":false,"suffix":""},{"dropping-particle":"","family":"Finnegan","given":"Karen","non-dropping-particle":"","parse-names":false,"suffix":""},{"dropping-particle":"","family":"Philips","given":"James F.","non-dropping-particle":"","parse-names":false,"suffix":""},{"dropping-particle":"","family":"Anatole","given":"Manzi","non-dropping-particle":"","parse-names":false,"suffix":""},{"dropping-particle":"","family":"Bawah","given":"Ayaga A.","non-dropping-particle":"","parse-names":false,"suffix":""},{"dropping-particle":"","family":"Basinga","given":"Paulin","non-dropping-particle":"","parse-names":false,"suffix":""}],"container-title":"BMC Health Services Research","id":"ITEM-1","issue":"SUPPL.2","issued":{"date-parts":[["2013"]]},"title":"Approaches to ensuring and improving quality in the context of health system strengthening: A cross-site analysis of the five African Health Initiative Partnership programs","type":"article-journal","volume":"13"},"uris":["http://www.mendeley.com/documents/?uuid=7efb2483-d103-4d2e-b9d4-c2722ac08cca"]},{"id":"ITEM-2","itemData":{"DOI":"10.1186/1472-6963-14-275","author":[{"dropping-particle":"","family":"Manzi","given":"A.","non-dropping-particle":"","parse-names":false,"suffix":""},{"dropping-particle":"","family":"Magge","given":"H.L","non-dropping-particle":"","parse-names":false,"suffix":""},{"dropping-particle":"","family":"Hedt-Gauthier","given":"B.L","non-dropping-particle":"","parse-names":false,"suffix":""},{"dropping-particle":"","family":"Michaelis","given":"A.P.","non-dropping-particle":"","parse-names":false,"suffix":""},{"dropping-particle":"","family":"Cyamatare","given":"F.R.","non-dropping-particle":"","parse-names":false,"suffix":""},{"dropping-particle":"","family":"Nyirazinyoye","given":"L","non-dropping-particle":"","parse-names":false,"suffix":""}],"container-title":"BMC Health Services Research","id":"ITEM-2","issued":{"date-parts":[["2014"]]},"title":"Clinical mentorship to improve pediatric quality of care at the health centers in rural Rwanda: a qualitative study of perceptions and acceptability of health care workers. Hirschhorn LR, Ntaganira J.","type":"article-journal","volume":"14"},"uris":["http://www.mendeley.com/documents/?uuid=6fcfd7b9-286a-4021-8cf7-cc7b36512119"]},{"id":"ITEM-3","itemData":{"DOI":"10.1136/archdischild-2013-305863","ISSN":"14682044","PMID":"24819369","abstract":"OBJECTIVE: Integrated Management of Childhood Illness (IMCI) is the leading clinical protocol designed to decrease under-five mortality globally. However, impact is threatened by gaps in IMCI quality of care (QOC). In 2010, Partners In Health and the Rwanda Ministry of Health implemented a nurse mentorship intervention Mentoring and Enhanced Supervision at Health Centres (MESH) in two rural districts. This study measures change in QOC following the addition of MESH to didactic training.\\n\\nDESIGN: Prepost intervention study of change in QOC after 12 months of MESH support measured by case observation using a standardised checklist. Study sample was children age 2 months to 5 years presenting on the days of data collection (292 baseline, 413 endpoint).\\n\\nSETTING: 21 rural health centres in Rwanda.\\n\\nOUTCOMES: Primary outcome was a validated index of key IMCI assessments. Secondary outcomes included assessment, classification and treatment indicators, and QOC variability across providers. A mixed-effects regression model of the index was created.\\n\\nRESULTS: In multivariate analyses, the index significantly improved in southern Kayonza (β-coefficient 0.17, 95% CI 0.12 to 0.22) and Kirehe (β-coefficient 0.29, 95% CI 0.23 to 0.34) districts. Children seen by IMCI-trained nurses increased from 83.2% to 100% (p&lt;0.001) and use of IMCI case recording forms improved from 65.9% to 97.1% (p&lt;0.001). Correct classification improved (56.0% to 91.5%, p&lt;0.001), as did correct treatment (78.3% to 98.2%, p&lt;0.001). Variability in QOC decreased (intracluster correlation coefficient 0.613-0.346).\\n\\nCONCLUSIONS: MESH was associated with significant improvements in all domains of IMCI quality. MESH could be an innovative strategy to improve IMCI implementation in resource-limited settings working to decrease under-five mortality.","author":[{"dropping-particle":"","family":"Magge","given":"Hema","non-dropping-particle":"","parse-names":false,"suffix":""},{"dropping-particle":"","family":"Anatole","given":"Manzi","non-dropping-particle":"","parse-names":false,"suffix":""},{"dropping-particle":"","family":"Cyamatare","given":"Felix Rwabukwisi","non-dropping-particle":"","parse-names":false,"suffix":""},{"dropping-particle":"","family":"Mezzacappa","given":"Catherine","non-dropping-particle":"","parse-names":false,"suffix":""},{"dropping-particle":"","family":"Nkikabahizi","given":"Fulgence","non-dropping-particle":"","parse-names":false,"suffix":""},{"dropping-particle":"","family":"Niyonzima","given":"Saleh","non-dropping-particle":"","parse-names":false,"suffix":""},{"dropping-particle":"","family":"Drobac","given":"Peter C.","non-dropping-particle":"","parse-names":false,"suffix":""},{"dropping-particle":"","family":"Ngabo","given":"Fidele","non-dropping-particle":"","parse-names":false,"suffix":""},{"dropping-particle":"","family":"Hirschhorn","given":"Lisa R.","non-dropping-particle":"","parse-names":false,"suffix":""}],"container-title":"Archives of Disease in Childhood","id":"ITEM-3","issue":"6","issued":{"date-parts":[["2015"]]},"page":"565-570","title":"Mentoring and quality improvement strengthen integrated management of childhood illness implementation in rural Rwanda","type":"article-journal","volume":"100"},"uris":["http://www.mendeley.com/documents/?uuid=3e02ecda-ce1a-4f12-b98e-8f9c1e45a5ee"]}],"mendeley":{"formattedCitation":"(28–30)","plainTextFormattedCitation":"(28–30)","previouslyFormattedCitation":"(28–30)"},"properties":{"noteIndex":0},"schema":"https://github.com/citation-style-language/schema/raw/master/csl-citation.json"}</w:instrText>
      </w:r>
      <w:r w:rsidRPr="000A44DB">
        <w:rPr>
          <w:rFonts w:ascii="Arial" w:hAnsi="Arial" w:cs="Arial"/>
          <w:sz w:val="22"/>
          <w:szCs w:val="22"/>
        </w:rPr>
        <w:fldChar w:fldCharType="separate"/>
      </w:r>
      <w:r w:rsidR="00FD3DDA">
        <w:rPr>
          <w:rFonts w:ascii="Arial" w:hAnsi="Arial" w:cs="Arial"/>
          <w:sz w:val="22"/>
          <w:szCs w:val="22"/>
        </w:rPr>
        <w:t xml:space="preserve"> </w:t>
      </w:r>
      <w:r w:rsidR="007363DC" w:rsidRPr="007363DC">
        <w:rPr>
          <w:rFonts w:ascii="Arial" w:eastAsia="Arial" w:hAnsi="Arial" w:cs="Arial"/>
          <w:noProof/>
          <w:sz w:val="22"/>
          <w:szCs w:val="22"/>
          <w:bdr w:val="nil"/>
          <w:lang w:val="fr-FR"/>
        </w:rPr>
        <w:t>(28–30)</w:t>
      </w:r>
      <w:r w:rsidRPr="000A44DB">
        <w:rPr>
          <w:rFonts w:ascii="Arial" w:hAnsi="Arial" w:cs="Arial"/>
          <w:sz w:val="22"/>
          <w:szCs w:val="22"/>
        </w:rPr>
        <w:fldChar w:fldCharType="end"/>
      </w:r>
      <w:r w:rsidR="00FD3DDA">
        <w:rPr>
          <w:rFonts w:ascii="Arial" w:hAnsi="Arial" w:cs="Arial"/>
          <w:sz w:val="22"/>
          <w:szCs w:val="22"/>
          <w:lang w:val="fr-FR"/>
        </w:rPr>
        <w:t> </w:t>
      </w:r>
      <w:r w:rsidR="00EF5C18" w:rsidRPr="000A44DB">
        <w:rPr>
          <w:rFonts w:ascii="Arial" w:hAnsi="Arial" w:cs="Arial"/>
          <w:sz w:val="22"/>
          <w:szCs w:val="22"/>
          <w:lang w:val="fr-FR"/>
        </w:rPr>
        <w:t>;</w:t>
      </w:r>
      <w:r w:rsidRPr="000A44DB">
        <w:rPr>
          <w:rFonts w:ascii="Arial" w:eastAsia="Arial" w:hAnsi="Arial" w:cs="Arial"/>
          <w:sz w:val="22"/>
          <w:szCs w:val="22"/>
          <w:bdr w:val="nil"/>
          <w:lang w:val="fr-FR"/>
        </w:rPr>
        <w:t xml:space="preserve"> et (5) </w:t>
      </w:r>
      <w:r w:rsidR="00B27B11">
        <w:rPr>
          <w:rFonts w:ascii="Arial" w:eastAsia="Arial" w:hAnsi="Arial" w:cs="Arial"/>
          <w:sz w:val="22"/>
          <w:szCs w:val="22"/>
          <w:bdr w:val="nil"/>
          <w:lang w:val="fr-FR"/>
        </w:rPr>
        <w:t>le</w:t>
      </w:r>
      <w:r w:rsidR="00C505FD" w:rsidRPr="000A44DB">
        <w:rPr>
          <w:rFonts w:ascii="Arial" w:eastAsia="Arial" w:hAnsi="Arial" w:cs="Arial"/>
          <w:sz w:val="22"/>
          <w:szCs w:val="22"/>
          <w:bdr w:val="nil"/>
          <w:lang w:val="fr-FR"/>
        </w:rPr>
        <w:t xml:space="preserve"> renforcement de </w:t>
      </w:r>
      <w:r w:rsidRPr="000A44DB">
        <w:rPr>
          <w:rFonts w:ascii="Arial" w:eastAsia="Arial" w:hAnsi="Arial" w:cs="Arial"/>
          <w:sz w:val="22"/>
          <w:szCs w:val="22"/>
          <w:bdr w:val="nil"/>
          <w:lang w:val="fr-FR"/>
        </w:rPr>
        <w:t>la cha</w:t>
      </w:r>
      <w:r w:rsidR="00345002">
        <w:rPr>
          <w:rFonts w:ascii="Arial" w:eastAsia="Arial" w:hAnsi="Arial" w:cs="Arial"/>
          <w:sz w:val="22"/>
          <w:szCs w:val="22"/>
          <w:bdr w:val="nil"/>
          <w:lang w:val="fr-FR"/>
        </w:rPr>
        <w:t>îne logistique et l’amélioration des infrastructures de la</w:t>
      </w:r>
      <w:r w:rsidR="0091671F" w:rsidRPr="000A44DB">
        <w:rPr>
          <w:rFonts w:ascii="Arial" w:eastAsia="Arial" w:hAnsi="Arial" w:cs="Arial"/>
          <w:sz w:val="22"/>
          <w:szCs w:val="22"/>
          <w:bdr w:val="nil"/>
          <w:lang w:val="fr-FR"/>
        </w:rPr>
        <w:t xml:space="preserve"> formation sanitaire</w:t>
      </w:r>
      <w:r w:rsidRPr="00122E24">
        <w:rPr>
          <w:rFonts w:ascii="Arial" w:hAnsi="Arial" w:cs="Arial"/>
          <w:sz w:val="22"/>
          <w:szCs w:val="22"/>
        </w:rPr>
        <w:fldChar w:fldCharType="begin" w:fldLock="1"/>
      </w:r>
      <w:r w:rsidR="00356EBB">
        <w:rPr>
          <w:rFonts w:ascii="Arial" w:hAnsi="Arial" w:cs="Arial"/>
          <w:sz w:val="22"/>
          <w:szCs w:val="22"/>
          <w:lang w:val="es-US"/>
        </w:rPr>
        <w:instrText>ADDIN CSL_CITATION {"citationItems":[{"id":"ITEM-1","itemData":{"DOI":"10.1093/heapol/czu126","ISSN":"0268-1080","PMID":"25500559","abstract":"Community health workers (CHWs) are increasingly recognized as an integral component of the health workforce needed to achieve public health goals in low- and middle-income countries (LMICs). Many factors influence CHW performance. A systematic review was conducted to identify intervention design related factors influencing performance of CHWs. We systematically searched six databases for quantitative and qualitative studies that included CHWs working in promotional, preventive or curative primary health services in LMICs. One hundred and forty studies met the inclusion criteria, were quality assessed and double read to extract data relevant to the design of CHW programmes. A preliminary framework containing factors influencing CHW performance and characteristics of CHW performance (such as motivation and competencies) guided the literature search and review.A mix of financial and non-financial incentives, predictable for the CHWs, was found to be an effective strategy to enhance performance, especially of those CHWs with multiple tasks. Performance-based financial incentives sometimes resulted in neglect of unpaid tasks. Intervention designs which involved frequent supervision and continuous training led to better CHW performance in certain settings. Supervision and training were often mentioned as facilitating factors, but few studies tested which approach worked best or how these were best implemented. Embedment of CHWs in community and health systems was found to diminish workload and increase CHW credibility. Clearly defined CHW roles and introduction of clear processes for communication among different levels of the health system could strengthen CHW performance.When designing community-based health programmes, factors that increased CHW performance in comparable settings should be taken into account. Additional intervention research to develop a better evidence base for the most effective training and supervision mechanisms and qualitative research to inform policymakers in development of CHW interventions are needed.","author":[{"dropping-particle":"","family":"Kok","given":"Maryse C","non-dropping-particle":"","parse-names":false,"suffix":""},{"dropping-particle":"","family":"Dieleman","given":"Marjolein","non-dropping-particle":"","parse-names":false,"suffix":""},{"dropping-particle":"","family":"Taegtmeyer","given":"Miriam","non-dropping-particle":"","parse-names":false,"suffix":""},{"dropping-particle":"","family":"Broerse","given":"Jacqueline EW","non-dropping-particle":"","parse-names":false,"suffix":""},{"dropping-particle":"","family":"Kane","given":"Sumit S","non-dropping-particle":"","parse-names":false,"suffix":""},{"dropping-particle":"","family":"Ormel","given":"Hermen","non-dropping-particle":"","parse-names":false,"suffix":""},{"dropping-particle":"","family":"Tijm","given":"Mandy M","non-dropping-particle":"","parse-names":false,"suffix":""},{"dropping-particle":"","family":"Koning","given":"Korrie AM","non-dropping-particle":"de","parse-names":false,"suffix":""}],"container-title":"Health Policy and Planning","id":"ITEM-1","issue":"9","issued":{"date-parts":[["2015","11"]]},"page":"1207-1227","title":"Which intervention design factors influence performance of community health workers in low- and middle-income countries? A systematic review","type":"article-journal","volume":"30"},"uris":["http://www.mendeley.com/documents/?uuid=14d5dfe7-5e80-3d96-8e5f-65f0430ae5f8"]},{"id":"ITEM-2","itemData":{"DOI":"10.1186/1471-2458-14-987","ISSN":"1471-2458","abstract":"Despite the development of national community-based health worker (CBHW) programmes in several low- and middle-income countries, their integration into health systems has not been optimal. Studies have been conducted to investigate the factors influencing the integration processes, but systematic reviews to provide a more comprehensive understanding are lacking. We conducted a systematic review of published research to understand factors that may influence the integration of national CBHW programmes into health systems in low- and middle-income countries. To be included in the study, CBHW programmes should have been developed by the government and have standardised training, supervision and incentive structures. A conceptual framework on the integration of health innovations into health systems guided the review. We identified 3410 records, of which 36 were finally selected, and on which an analysis was conducted concerning the themes and pathways associated with different factors that may influence the integration process. Four programmes from Brazil, Ethiopia, India and Pakistan met the inclusion criteria. Different aspects of each of these programmes were integrated in different ways into their respective health systems. Factors that facilitated the integration process included the magnitude of countries’ human resources for health problems and the associated discourses about how to address these problems; the perceived relative advantage of national CBHWs with regard to delivering health services over training and retaining highly skilled health workers; and the participation of some politicians and community members in programme processes, with the result that they viewed the programmes as legitimate, credible and relevant. Finally, integration of programmes within the existing health systems enhanced programme compatibility with the health systems’ governance, financing and training functions. Factors that inhibited the integration process included a rapid scale-up process; resistance from other health workers; discrimination of CBHWs based on social, gender and economic status; ineffective incentive structures; inadequate infrastructure and supplies; and hierarchical and parallel communication structures. CBHW programmes should design their scale-up strategy differently based on current contextual factors. Further, adoption of a stepwise approach to the scale-up and integration process may positively shape the integration process of CBHW programm…","author":[{"dropping-particle":"","family":"Zulu","given":"Joseph Mumba","non-dropping-particle":"","parse-names":false,"suffix":""},{"dropping-particle":"","family":"Kinsman","given":"John","non-dropping-particle":"","parse-names":false,"suffix":""},{"dropping-particle":"","family":"Michelo","given":"Charles","non-dropping-particle":"","parse-names":false,"suffix":""},{"dropping-particle":"","family":"Hurtig","given":"Anna-Karin","non-dropping-particle":"","parse-names":false,"suffix":""}],"container-title":"BMC Public Health","id":"ITEM-2","issue":"1","issued":{"date-parts":[["2014","12","22"]]},"page":"987","publisher":"BioMed Central","title":"Integrating national community-based health worker programmes into health systems: a systematic review identifying lessons learned from low-and middle-income countries","type":"article-journal","volume":"14"},"uris":["http://www.mendeley.com/documents/?uuid=2163aee9-d4f1-3b39-aa90-6c5c3afc1047"]},{"id":"ITEM-3","itemData":{"DOI":"10.1371/journal.pone.0117919","ISSN":"1932-6203","PMID":"25706531","abstract":"Pneumonia is the leading cause of childhood mortality in sub-Saharan Africa (SSA). Because effective antibiotic treatment exists, timely recognition of pneumonia and subsequent care seeking for treatment can prevent deaths. For six high pneumonia mortality countries in SSA we examined if children with suspected pneumonia were taken for care, and if so, from which type of care providers, using national survey data of 76530 children. We also assessed factors independently associated with care seeking from health providers, also known as 'appropriate' providers. We report important differences in care seeking patterns across these countries. In Tanzania 85% of children with suspected pneumonia were taken for care, whereas this was only 30% in Ethiopia. Most of the children living in these six countries were taken to a primary health care facility; 86, 68 and 59% in Ethiopia, Tanzania and Burkina Faso respectively. In Uganda, hospital care was sought for 60% of children. 16-18% of children were taken to a private pharmacy in Democratic Republic of Congo (DRC), Tanzania and Nigeria. In Tanzania, children from the richest households were 9.5 times (CI 2.3-39.3) more likely to be brought for care than children from the poorest households, after controlling for the child's age, sex, caregiver's education and urban-rural residence. The influence of the age of a child, when controlling for sex, urban-rural residence, education and wealth, shows that the youngest children (&lt;2 years) were more likely to be brought to a care provider in Nigeria, Ethiopia and DRC. Urban-rural residence was not significantly associated with care seeking, after controlling for the age and sex of the child, caregivers education and wealth. The study suggests that it is crucial to understand country-specific care seeking patterns for children with suspected pneumonia and related determinants using available data prior to planning programmatic responses.","author":[{"dropping-particle":"","family":"Noordam","given":"Aaltje Camielle","non-dropping-particle":"","parse-names":false,"suffix":""},{"dropping-particle":"","family":"Carvajal-Velez","given":"Liliana","non-dropping-particle":"","parse-names":false,"suffix":""},{"dropping-particle":"","family":"Sharkey","given":"Alyssa B.","non-dropping-particle":"","parse-names":false,"suffix":""},{"dropping-particle":"","family":"Young","given":"Mark","non-dropping-particle":"","parse-names":false,"suffix":""},{"dropping-particle":"","family":"Cals","given":"Jochen W. L.","non-dropping-particle":"","parse-names":false,"suffix":""}],"container-title":"PLOS ONE","editor":[{"dropping-particle":"","family":"Patra","given":"Jayadeep","non-dropping-particle":"","parse-names":false,"suffix":""}],"id":"ITEM-3","issue":"2","issued":{"date-parts":[["2015","2"]]},"page":"e0117919","title":"Care Seeking Behaviour for Children with Suspected Pneumonia in Countries in Sub-Saharan Africa with High Pneumonia Mortality","type":"article-journal","volume":"10"},"uris":["http://www.mendeley.com/documents/?uuid=4b2d32a1-ab60-406a-ac4a-24377888152d"]},{"id":"ITEM-4","itemData":{"DOI":"10.1186/s12936-016-1667-x","abstract":"Background: Human resource for health crisis has impaired global efforts against malaria in highly endemic countries. To address this, the World Health Organization (WHO) recommended scaling-up of community health workers (CHWs) and related cadres owing to their documented success in malaria and other disease prevention and management. Evidence is inconsistent on the roles and challenges they encounter in malaria interventions. This systematic review aims to summarize evidence on roles and challenges of CHWs and related cadres in integrated community case management for malaria (iCCM). Methods: This systematic review retrieved evidence from PubMed, CINAHL, ISI Web of Knowledge, and WHO regional databases. Terms extracted from the Boolean phrase used for PubMed were also used in other databases. The review included studies with Randomized Control Trial, Quasi-experimental, Pre-post interventional, Longitudinal and cohort, Cross-sectional, Case study, and Secondary data analysis. Because of heterogeneity, only narrative synthesis was conducted for this review. Results: A total of 66 articles were eligible for analysis out of 1380 studies retrieved. CHWs and related cadre roles in malaria interventions included: malaria case management, prevention including health surveillance and health promotion specific to malaria. Despite their documented success, CHWs and related cadres succumb to health system challenges. These are poor and unsustainable finance for iCCM, workforce related challenges, lack of and unsustain-able supply of medicines and diagnostics, lack of information and research, service delivery and leadership challenges. Conclusions: Community health workers and related cadres had important preventive, case management and promotive roles in malaria interventions. To enable their effective integration into the health systems, the identified challenges should be addressed. They include: introducing sustainable financing on iCCM programmes, tailoring their training to address the identified gaps, improving sustainable supply chain management of malaria drugs and diagnostics, and addressing regulatory challenges in the local contexts.","author":[{"dropping-particle":"","family":"Sunguya","given":"Bruno F","non-dropping-particle":"","parse-names":false,"suffix":""},{"dropping-particle":"","family":"Mlunde","given":"Linda B","non-dropping-particle":"","parse-names":false,"suffix":""},{"dropping-particle":"","family":"Ayer","given":"Rakesh","non-dropping-particle":"","parse-names":false,"suffix":""},{"dropping-particle":"","family":"Jimba","given":"Masamine","non-dropping-particle":"","parse-names":false,"suffix":""}],"container-title":"Malaria Journal","id":"ITEM-4","issued":{"date-parts":[["2017"]]},"page":"10","title":"Towards eliminating malaria in high endemic countries: the roles of community health workers and related cadres and their challenges in integrated community case management for malaria: a systematic review","type":"article-journal","volume":"16"},"uris":["http://www.mendeley.com/documents/?uuid=11685936-491d-39aa-9638-719d1f7c3538"]}],"mendeley":{"formattedCitation":"(15,31–33)","plainTextFormattedCitation":"(15,31–33)","previouslyFormattedCitation":"(15,31–33)"},"properties":{"noteIndex":0},"schema":"https://github.com/citation-style-language/schema/raw/master/csl-citation.json"}</w:instrText>
      </w:r>
      <w:r w:rsidRPr="00122E24">
        <w:rPr>
          <w:rFonts w:ascii="Arial" w:hAnsi="Arial" w:cs="Arial"/>
          <w:sz w:val="22"/>
          <w:szCs w:val="22"/>
        </w:rPr>
        <w:fldChar w:fldCharType="separate"/>
      </w:r>
      <w:r w:rsidR="00FD3DDA">
        <w:rPr>
          <w:rFonts w:ascii="Arial" w:hAnsi="Arial" w:cs="Arial"/>
          <w:sz w:val="22"/>
          <w:szCs w:val="22"/>
        </w:rPr>
        <w:t xml:space="preserve"> </w:t>
      </w:r>
      <w:r w:rsidR="007363DC" w:rsidRPr="007363DC">
        <w:rPr>
          <w:rFonts w:ascii="Arial" w:eastAsia="Arial" w:hAnsi="Arial" w:cs="Arial"/>
          <w:noProof/>
          <w:sz w:val="22"/>
          <w:szCs w:val="22"/>
          <w:bdr w:val="nil"/>
          <w:lang w:val="fr-FR"/>
        </w:rPr>
        <w:t>(15,31–33)</w:t>
      </w:r>
      <w:r w:rsidRPr="00122E24">
        <w:rPr>
          <w:rFonts w:ascii="Arial" w:hAnsi="Arial" w:cs="Arial"/>
          <w:sz w:val="22"/>
          <w:szCs w:val="22"/>
        </w:rPr>
        <w:fldChar w:fldCharType="end"/>
      </w:r>
      <w:r w:rsidRPr="00122E24">
        <w:rPr>
          <w:rFonts w:ascii="Arial" w:eastAsia="Arial" w:hAnsi="Arial" w:cs="Arial"/>
          <w:sz w:val="22"/>
          <w:szCs w:val="22"/>
          <w:bdr w:val="nil"/>
          <w:lang w:val="fr-FR"/>
        </w:rPr>
        <w:t xml:space="preserve">. </w:t>
      </w:r>
    </w:p>
    <w:p w:rsidR="00455645" w:rsidRPr="00122E24" w:rsidRDefault="00455645" w:rsidP="000614A5">
      <w:pPr>
        <w:pStyle w:val="NoSpacing"/>
        <w:rPr>
          <w:rFonts w:ascii="Arial" w:eastAsia="Arial" w:hAnsi="Arial" w:cs="Arial"/>
          <w:sz w:val="22"/>
          <w:szCs w:val="22"/>
          <w:bdr w:val="nil"/>
          <w:lang w:val="fr-FR"/>
        </w:rPr>
      </w:pPr>
    </w:p>
    <w:p w:rsidR="0044028E" w:rsidRPr="00877537" w:rsidRDefault="0044028E" w:rsidP="008A1F00">
      <w:pPr>
        <w:pStyle w:val="NoSpacing"/>
        <w:spacing w:line="240" w:lineRule="auto"/>
        <w:rPr>
          <w:rFonts w:ascii="Arial" w:hAnsi="Arial" w:cs="Arial"/>
          <w:sz w:val="22"/>
          <w:szCs w:val="22"/>
          <w:lang w:val="fr-FR"/>
        </w:rPr>
      </w:pPr>
      <w:r w:rsidRPr="008A1F00">
        <w:rPr>
          <w:rFonts w:ascii="Arial" w:eastAsia="Arial" w:hAnsi="Arial" w:cs="Arial"/>
          <w:b/>
          <w:bCs/>
          <w:sz w:val="22"/>
          <w:szCs w:val="22"/>
          <w:lang w:val="fr-FR"/>
        </w:rPr>
        <w:t>Tableau 1</w:t>
      </w:r>
      <w:r w:rsidRPr="00B27B11">
        <w:rPr>
          <w:rFonts w:ascii="Arial" w:eastAsia="Arial" w:hAnsi="Arial" w:cs="Arial"/>
          <w:sz w:val="22"/>
          <w:szCs w:val="22"/>
          <w:lang w:val="fr-FR"/>
        </w:rPr>
        <w:t xml:space="preserve"> : Aperçu des </w:t>
      </w:r>
      <w:r w:rsidRPr="00122E24">
        <w:rPr>
          <w:rFonts w:ascii="Arial" w:eastAsia="Arial" w:hAnsi="Arial" w:cs="Arial"/>
          <w:sz w:val="22"/>
          <w:szCs w:val="22"/>
          <w:lang w:val="fr-FR"/>
        </w:rPr>
        <w:t>éléments</w:t>
      </w:r>
      <w:r w:rsidRPr="00B27B11">
        <w:rPr>
          <w:rFonts w:ascii="Arial" w:eastAsia="Arial" w:hAnsi="Arial" w:cs="Arial"/>
          <w:sz w:val="22"/>
          <w:szCs w:val="22"/>
          <w:lang w:val="fr-FR"/>
        </w:rPr>
        <w:t xml:space="preserve"> du modèle</w:t>
      </w:r>
      <w:r w:rsidR="00B27B11">
        <w:rPr>
          <w:rFonts w:ascii="Arial" w:eastAsia="Arial" w:hAnsi="Arial" w:cs="Arial"/>
          <w:sz w:val="22"/>
          <w:szCs w:val="22"/>
          <w:lang w:val="fr-FR"/>
        </w:rPr>
        <w:t xml:space="preserve"> intégré</w:t>
      </w:r>
      <w:r w:rsidRPr="00B27B11">
        <w:rPr>
          <w:rFonts w:ascii="Arial" w:eastAsia="Arial" w:hAnsi="Arial" w:cs="Arial"/>
          <w:sz w:val="22"/>
          <w:szCs w:val="22"/>
          <w:lang w:val="fr-FR"/>
        </w:rPr>
        <w:t xml:space="preserve"> de renforcement des systèmes </w:t>
      </w:r>
      <w:r w:rsidR="00B27B11" w:rsidRPr="00B27B11">
        <w:rPr>
          <w:rFonts w:ascii="Arial" w:eastAsia="Arial" w:hAnsi="Arial" w:cs="Arial"/>
          <w:sz w:val="22"/>
          <w:szCs w:val="22"/>
          <w:lang w:val="fr-FR"/>
        </w:rPr>
        <w:t>sant</w:t>
      </w:r>
      <w:r w:rsidR="00B27B11" w:rsidRPr="00122E24">
        <w:rPr>
          <w:rFonts w:ascii="Arial" w:eastAsia="Arial" w:hAnsi="Arial" w:cs="Arial"/>
          <w:sz w:val="22"/>
          <w:szCs w:val="22"/>
          <w:lang w:val="fr-FR"/>
        </w:rPr>
        <w:t>é</w:t>
      </w:r>
      <w:r w:rsidR="00B27B11">
        <w:rPr>
          <w:rFonts w:ascii="Arial" w:eastAsia="Arial" w:hAnsi="Arial" w:cs="Arial"/>
          <w:sz w:val="22"/>
          <w:szCs w:val="22"/>
          <w:lang w:val="fr-FR"/>
        </w:rPr>
        <w:t xml:space="preserve"> et a base </w:t>
      </w:r>
      <w:r w:rsidRPr="00B27B11">
        <w:rPr>
          <w:rFonts w:ascii="Arial" w:eastAsia="Arial" w:hAnsi="Arial" w:cs="Arial"/>
          <w:sz w:val="22"/>
          <w:szCs w:val="22"/>
          <w:lang w:val="fr-FR"/>
        </w:rPr>
        <w:t>communautaires (RSSBC)</w:t>
      </w:r>
    </w:p>
    <w:tbl>
      <w:tblPr>
        <w:tblStyle w:val="TableGrid"/>
        <w:tblW w:w="53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393"/>
        <w:gridCol w:w="3536"/>
        <w:gridCol w:w="6298"/>
      </w:tblGrid>
      <w:tr w:rsidR="00545895" w:rsidTr="00545895">
        <w:trPr>
          <w:trHeight w:val="314"/>
          <w:tblHeader/>
        </w:trPr>
        <w:tc>
          <w:tcPr>
            <w:tcW w:w="1921" w:type="pct"/>
            <w:gridSpan w:val="2"/>
            <w:tcBorders>
              <w:top w:val="single" w:sz="4" w:space="0" w:color="auto"/>
              <w:bottom w:val="single" w:sz="4" w:space="0" w:color="auto"/>
            </w:tcBorders>
            <w:vAlign w:val="center"/>
          </w:tcPr>
          <w:p w:rsidR="00545895" w:rsidRPr="002316CE" w:rsidRDefault="00545895" w:rsidP="00545895">
            <w:pPr>
              <w:pStyle w:val="NoSpacing"/>
              <w:spacing w:line="240" w:lineRule="auto"/>
              <w:rPr>
                <w:rFonts w:ascii="Arial" w:hAnsi="Arial" w:cs="Arial"/>
                <w:b/>
                <w:bCs/>
                <w:sz w:val="20"/>
                <w:szCs w:val="20"/>
              </w:rPr>
            </w:pPr>
            <w:r w:rsidRPr="002316CE">
              <w:rPr>
                <w:rFonts w:ascii="Arial" w:eastAsia="Arial" w:hAnsi="Arial" w:cs="Arial"/>
                <w:b/>
                <w:bCs/>
                <w:sz w:val="20"/>
                <w:szCs w:val="20"/>
                <w:bdr w:val="nil"/>
                <w:lang w:val="fr-FR"/>
              </w:rPr>
              <w:t>Élément du modèle RSSBC</w:t>
            </w:r>
          </w:p>
        </w:tc>
        <w:tc>
          <w:tcPr>
            <w:tcW w:w="3079" w:type="pct"/>
            <w:tcBorders>
              <w:top w:val="single" w:sz="4" w:space="0" w:color="auto"/>
              <w:bottom w:val="single" w:sz="4" w:space="0" w:color="auto"/>
            </w:tcBorders>
            <w:vAlign w:val="center"/>
          </w:tcPr>
          <w:p w:rsidR="00545895" w:rsidRPr="002316CE" w:rsidRDefault="00545895" w:rsidP="00545895">
            <w:pPr>
              <w:pStyle w:val="NoSpacing"/>
              <w:spacing w:line="240" w:lineRule="auto"/>
              <w:rPr>
                <w:rFonts w:ascii="Arial" w:hAnsi="Arial" w:cs="Arial"/>
                <w:b/>
                <w:bCs/>
                <w:sz w:val="20"/>
                <w:szCs w:val="20"/>
              </w:rPr>
            </w:pPr>
            <w:r w:rsidRPr="002316CE">
              <w:rPr>
                <w:rFonts w:ascii="Arial" w:eastAsia="Arial" w:hAnsi="Arial" w:cs="Arial"/>
                <w:b/>
                <w:bCs/>
                <w:sz w:val="20"/>
                <w:szCs w:val="20"/>
                <w:bdr w:val="nil"/>
                <w:lang w:val="fr-FR"/>
              </w:rPr>
              <w:t xml:space="preserve">   Détails</w:t>
            </w:r>
          </w:p>
        </w:tc>
      </w:tr>
      <w:tr w:rsidR="0044028E" w:rsidRPr="002316CE" w:rsidTr="005336C5">
        <w:tc>
          <w:tcPr>
            <w:tcW w:w="192" w:type="pct"/>
            <w:tcBorders>
              <w:top w:val="single" w:sz="4" w:space="0" w:color="auto"/>
              <w:bottom w:val="single" w:sz="4" w:space="0" w:color="auto"/>
            </w:tcBorders>
          </w:tcPr>
          <w:p w:rsidR="0044028E" w:rsidRPr="00F87DFE" w:rsidRDefault="0044028E" w:rsidP="008A1F00">
            <w:pPr>
              <w:pStyle w:val="NoSpacing"/>
              <w:spacing w:line="240" w:lineRule="auto"/>
              <w:rPr>
                <w:rFonts w:ascii="Arial" w:hAnsi="Arial" w:cs="Arial"/>
                <w:sz w:val="20"/>
                <w:szCs w:val="20"/>
              </w:rPr>
            </w:pPr>
            <w:r w:rsidRPr="00F87DFE">
              <w:rPr>
                <w:rFonts w:ascii="Arial" w:eastAsia="Arial" w:hAnsi="Arial" w:cs="Arial"/>
                <w:sz w:val="20"/>
                <w:szCs w:val="20"/>
                <w:bdr w:val="nil"/>
                <w:lang w:val="fr-FR"/>
              </w:rPr>
              <w:t>1</w:t>
            </w:r>
            <w:r w:rsidR="005360F6">
              <w:rPr>
                <w:rFonts w:ascii="Arial" w:eastAsia="Arial" w:hAnsi="Arial" w:cs="Arial"/>
                <w:sz w:val="20"/>
                <w:szCs w:val="20"/>
                <w:bdr w:val="nil"/>
                <w:lang w:val="fr-FR"/>
              </w:rPr>
              <w:t>.</w:t>
            </w:r>
          </w:p>
        </w:tc>
        <w:tc>
          <w:tcPr>
            <w:tcW w:w="1729" w:type="pct"/>
            <w:tcBorders>
              <w:top w:val="single" w:sz="4" w:space="0" w:color="auto"/>
              <w:bottom w:val="single" w:sz="4" w:space="0" w:color="auto"/>
            </w:tcBorders>
          </w:tcPr>
          <w:p w:rsidR="0044028E" w:rsidRPr="00F87DFE" w:rsidRDefault="0044028E" w:rsidP="008A1F00">
            <w:pPr>
              <w:pStyle w:val="NoSpacing"/>
              <w:spacing w:line="240" w:lineRule="auto"/>
              <w:rPr>
                <w:rFonts w:ascii="Arial" w:hAnsi="Arial" w:cs="Arial"/>
                <w:sz w:val="20"/>
                <w:szCs w:val="20"/>
                <w:lang w:val="fr-FR"/>
              </w:rPr>
            </w:pPr>
            <w:r w:rsidRPr="00F87DFE">
              <w:rPr>
                <w:rFonts w:ascii="Arial" w:eastAsia="Arial" w:hAnsi="Arial" w:cs="Arial"/>
                <w:sz w:val="20"/>
                <w:szCs w:val="20"/>
                <w:bdr w:val="nil"/>
                <w:lang w:val="fr-FR"/>
              </w:rPr>
              <w:t xml:space="preserve">Réunions et </w:t>
            </w:r>
            <w:r w:rsidR="00D10856">
              <w:rPr>
                <w:rFonts w:ascii="Arial" w:eastAsia="Arial" w:hAnsi="Arial" w:cs="Arial"/>
                <w:sz w:val="20"/>
                <w:szCs w:val="20"/>
                <w:bdr w:val="nil"/>
                <w:lang w:val="fr-FR"/>
              </w:rPr>
              <w:t>restitutions</w:t>
            </w:r>
            <w:r w:rsidR="00D10856" w:rsidRPr="00F87DFE">
              <w:rPr>
                <w:rFonts w:ascii="Arial" w:eastAsia="Arial" w:hAnsi="Arial" w:cs="Arial"/>
                <w:sz w:val="20"/>
                <w:szCs w:val="20"/>
                <w:bdr w:val="nil"/>
                <w:lang w:val="fr-FR"/>
              </w:rPr>
              <w:t xml:space="preserve"> </w:t>
            </w:r>
            <w:r w:rsidRPr="00F87DFE">
              <w:rPr>
                <w:rFonts w:ascii="Arial" w:eastAsia="Arial" w:hAnsi="Arial" w:cs="Arial"/>
                <w:sz w:val="20"/>
                <w:szCs w:val="20"/>
                <w:bdr w:val="nil"/>
                <w:lang w:val="fr-FR"/>
              </w:rPr>
              <w:t>sur l’engagement communautaire</w:t>
            </w:r>
          </w:p>
          <w:p w:rsidR="0044028E" w:rsidRPr="00F87DFE" w:rsidRDefault="0044028E" w:rsidP="008A1F00">
            <w:pPr>
              <w:pStyle w:val="NoSpacing"/>
              <w:spacing w:line="240" w:lineRule="auto"/>
              <w:rPr>
                <w:rFonts w:ascii="Arial" w:hAnsi="Arial" w:cs="Arial"/>
                <w:sz w:val="20"/>
                <w:szCs w:val="20"/>
                <w:lang w:val="fr-FR"/>
              </w:rPr>
            </w:pPr>
          </w:p>
          <w:p w:rsidR="0044028E" w:rsidRPr="00F87DFE" w:rsidRDefault="0044028E" w:rsidP="008A1F00">
            <w:pPr>
              <w:pStyle w:val="NoSpacing"/>
              <w:spacing w:line="240" w:lineRule="auto"/>
              <w:rPr>
                <w:rFonts w:ascii="Arial" w:hAnsi="Arial" w:cs="Arial"/>
                <w:i/>
                <w:sz w:val="20"/>
                <w:szCs w:val="20"/>
                <w:lang w:val="fr-FR"/>
              </w:rPr>
            </w:pPr>
            <w:r w:rsidRPr="00F87DFE">
              <w:rPr>
                <w:rFonts w:ascii="Arial" w:eastAsia="Arial" w:hAnsi="Arial" w:cs="Arial"/>
                <w:i/>
                <w:iCs/>
                <w:sz w:val="20"/>
                <w:szCs w:val="20"/>
                <w:bdr w:val="nil"/>
                <w:lang w:val="fr-FR"/>
              </w:rPr>
              <w:t xml:space="preserve">Preuve : </w:t>
            </w:r>
            <w:r w:rsidRPr="00F87DFE">
              <w:rPr>
                <w:rFonts w:ascii="Arial" w:hAnsi="Arial" w:cs="Arial"/>
                <w:i/>
                <w:sz w:val="20"/>
                <w:szCs w:val="20"/>
              </w:rPr>
              <w:fldChar w:fldCharType="begin" w:fldLock="1"/>
            </w:r>
            <w:r w:rsidR="004B60D3">
              <w:rPr>
                <w:rFonts w:ascii="Arial" w:hAnsi="Arial" w:cs="Arial"/>
                <w:i/>
                <w:sz w:val="20"/>
                <w:szCs w:val="20"/>
              </w:rPr>
              <w:instrText>ADDIN CSL_CITATION {"citationItems":[{"id":"ITEM-1","itemData":{"DOI":"10.3310/PHR01040","PMID":"25642563","abstract":"BACKGROUND Community engagement has been advanced as a promising way of improving health and reducing health inequalities; however, the approach is not yet supported by a strong evidence base. OBJECTIVES To undertake a multimethod systematic review which builds on the evidence that underpins the current UK guidance on community engagement; to identify theoretical models underpinning community engagement; to explore mechanisms and contexts through which communities are engaged; to identify community engagement approaches that are effective in reducing health inequalities, under what circumstances and for whom; and to determine the processes and costs associated with their implementation. DATA SOURCES Databases including the Cochrane Database of Systematic Reviews (CDSR), The Campbell Library, the Database of Abstracts of Reviews of Effects (DARE), the Health Technology Assessment (HTA) database, the NHS Economic Evaluation Database (NHS EED) and EPPI-Centre’s Trials Register of Promoting Health Interventions (TRoPHI) and Database of Promoting Health Effectiveness Reviews (DoPHER) were searched from 1990 to August 2011 for systematic reviews and primary studies. Trials evaluating community engagement interventions reporting health outcomes were included. REVIEW METHODS Study eligibility criteria: published after 1990; outcome, economic, or process evaluation; intervention relevant to community engagement; written in English; measured and reported health or community outcomes, or presents cost, resource, or implementation data characterises study populations or reports differential impacts in terms of social determinants of health; conducted in an Organisation for Economic Co-operation and Development (OECD) country. Study appraisal: risk of bias for outcome evaluations; assessment of validity and relevance for process evaluations; comparison against an economic evaluation checklist for economic evaluations. Synthesis methods: four synthesis approaches were adopted for the different evidence types: theoretical, quantitative, process, and economic evidence. RESULTS The theoretical synthesis identified key models of community engagement that are underpinned by different theories of changes. Results from 131 studies included in a meta-analysis indicate that there is solid evidence that community engagement interventions have a positive impact on health behaviours, health consequences, self-efficacy and perceived social support outcomes, across various conditi…","author":[{"dropping-particle":"","family":"O’Mara-Eves","given":"A","non-dropping-particle":"","parse-names":false,"suffix":""},{"dropping-particle":"","family":"Brunton","given":"G","non-dropping-particle":"","parse-names":false,"suffix":""},{"dropping-particle":"","family":"McDaid","given":"D","non-dropping-particle":"","parse-names":false,"suffix":""},{"dropping-particle":"","family":"Oliver","given":"S","non-dropping-particle":"","parse-names":false,"suffix":""},{"dropping-particle":"","family":"Kavanagh","given":"J","non-dropping-particle":"","parse-names":false,"suffix":""},{"dropping-particle":"","family":"Jamal","given":"F","non-dropping-particle":"","parse-names":false,"suffix":""},{"dropping-particle":"","family":"Matosevic","given":"T","non-dropping-particle":"","parse-names":false,"suffix":""},{"dropping-particle":"","family":"Harden","given":"A","non-dropping-particle":"","parse-names":false,"suffix":""},{"dropping-particle":"","family":"Thomas","given":"J","non-dropping-particle":"","parse-names":false,"suffix":""}],"container-title":"Community engagement to reduce inequalities in health: a systematic review, meta-analysis and economic analysis","id":"ITEM-1","issued":{"date-parts":[["2013"]]},"publisher":"NIHR Journals Library","title":"Community engagement to reduce inequalities in health: a systematic review, meta-analysis and economic analysis","type":"book"},"uris":["http://www.mendeley.com/documents/?uuid=48ff6e26-9b69-3491-93a6-ed34536eec9e"]},{"id":"ITEM-2","itemData":{"DOI":"10.1186/s12889-015-1352-y","ISSN":"1471-2458","PMID":"25885588","abstract":"BACKGROUND Inequalities in health are acknowledged in many developed countries, whereby disadvantaged groups systematically suffer from worse health outcomes such as lower life expectancy than non-disadvantaged groups. Engaging members of disadvantaged communities in public health initiatives has been suggested as a way to reduce health inequities. This systematic review was conducted to evaluate the effectiveness of public health interventions that engage the community on a range of health outcomes across diverse health issues. METHODS We searched the following sources for systematic reviews of public health interventions: Cochrane CDSR and CENTRAL, Campbell Library, DARE, NIHR HTA programme website, HTA database, and DoPHER. Through the identified reviews, we collated a database of primary studies that appeared to be relevant, and screened the full-text documents of those primary studies against our inclusion criteria. In parallel, we searched the NHS EED and TRoPHI databases for additional primary studies. For the purposes of these analyses, study design was limited to randomised and non-randomised controlled trials. Only interventions conducted in OECD countries and published since 1990 were included. We conducted a random effects meta-analysis of health behaviour, health consequences, self-efficacy, and social support outcomes, and a narrative summary of community outcomes. We tested a range of moderator variables, with a particular emphasis on the model of community engagement used as a potential moderator of intervention effectiveness. RESULTS Of the 9,467 primary studies scanned, we identified 131 for inclusion in the meta-analysis. The overall effect size for health behaviour outcomes is d = .33 (95% CI .26, .40). The interventions were also effective in increasing health consequences (d = .16, 95% CI .06, .27); health behaviour self-efficacy (d = .41, 95% CI .16, .65) and perceived social support (d = .41, 95% CI .23, .65). Although the type of community engagement was not a significant moderator of effect, we identified some trends across studies. CONCLUSIONS There is solid evidence that community engagement interventions have a positive impact on a range of health outcomes across various conditions. There is insufficient evidence to determine whether one particular model of community engagement is more effective than any other.","author":[{"dropping-particle":"","family":"O’Mara-Eves","given":"Alison","non-dropping-particle":"","parse-names":false,"suffix":""},{"dropping-particle":"","family":"Brunton","given":"Ginny","non-dropping-particle":"","parse-names":false,"suffix":""},{"dropping-particle":"","family":"Oliver","given":"Sandy","non-dropping-particle":"","parse-names":false,"suffix":""},{"dropping-particle":"","family":"Kavanagh","given":"Josephine","non-dropping-particle":"","parse-names":false,"suffix":""},{"dropping-particle":"","family":"Jamal","given":"Farah","non-dropping-particle":"","parse-names":false,"suffix":""},{"dropping-particle":"","family":"Thomas","given":"James","non-dropping-particle":"","parse-names":false,"suffix":""}],"container-title":"BMC Public Health","id":"ITEM-2","issue":"1","issued":{"date-parts":[["2015","12","12"]]},"page":"129","title":"The effectiveness of community engagement in public health interventions for disadvantaged groups: a meta-analysis","type":"article-journal","volume":"15"},"uris":["http://www.mendeley.com/documents/?uuid=ad7c700c-fbd6-30dd-a5b3-5c931a5d5579"]},{"id":"ITEM-3","itemData":{"DOI":"10.1093/heapol/czu126","ISSN":"0268-1080","PMID":"25500559","abstract":"Community health workers (CHWs) are increasingly recognized as an integral component of the health workforce needed to achieve public health goals in low- and middle-income countries (LMICs). Many factors influence CHW performance. A systematic review was conducted to identify intervention design related factors influencing performance of CHWs. We systematically searched six databases for quantitative and qualitative studies that included CHWs working in promotional, preventive or curative primary health services in LMICs. One hundred and forty studies met the inclusion criteria, were quality assessed and double read to extract data relevant to the design of CHW programmes. A preliminary framework containing factors influencing CHW performance and characteristics of CHW performance (such as motivation and competencies) guided the literature search and review.A mix of financial and non-financial incentives, predictable for the CHWs, was found to be an effective strategy to enhance performance, especially of those CHWs with multiple tasks. Performance-based financial incentives sometimes resulted in neglect of unpaid tasks. Intervention designs which involved frequent supervision and continuous training led to better CHW performance in certain settings. Supervision and training were often mentioned as facilitating factors, but few studies tested which approach worked best or how these were best implemented. Embedment of CHWs in community and health systems was found to diminish workload and increase CHW credibility. Clearly defined CHW roles and introduction of clear processes for communication among different levels of the health system could strengthen CHW performance.When designing community-based health programmes, factors that increased CHW performance in comparable settings should be taken into account. Additional intervention research to develop a better evidence base for the most effective training and supervision mechanisms and qualitative research to inform policymakers in development of CHW interventions are needed.","author":[{"dropping-particle":"","family":"Kok","given":"Maryse C","non-dropping-particle":"","parse-names":false,"suffix":""},{"droppi</w:instrText>
            </w:r>
            <w:r w:rsidR="004B60D3" w:rsidRPr="003E7CDB">
              <w:rPr>
                <w:rFonts w:ascii="Arial" w:hAnsi="Arial" w:cs="Arial"/>
                <w:i/>
                <w:sz w:val="20"/>
                <w:szCs w:val="20"/>
                <w:lang w:val="fr-FR"/>
              </w:rPr>
              <w:instrText>ng-particle":"","family":"Dieleman","given":"Marjolein","non-dropping-particle":"","parse-names":false,"suffix":""},{"dropping-particle":"","family":"Taegtmeyer","given":"Miriam","non-dropping-particle":"","parse-names":false,"suffix":""},{"dropping-particle":"","family":"Broerse","given":"Jacqueline EW","non-dropping-particle":"","parse-names":false,"suffix":""},{"dropping-particle":"","family":"Kane","given":"Sumit S","non-dropping-particle":"","parse-names":false,"suffix":""},{"dropping-particle":"","family":"Ormel","given":"Hermen","non-dropping-particle":"","parse-names":false,"suffix":""},{"dropping-particle":"","family":"Tijm","given":"Mandy M","non-dropping-particle":"","parse-names":false,"suffix":""},{"dropping-particle":"","family":"Koning","given":"Korrie AM","non-dropping-particle":"de","parse-names":false,"suffix":""}],"container-title":"Health Policy and Planning","id":"ITEM-3","issue":"9","issued":{"date-parts":[["2015","11"]]},"page":"1207-1227","title":"Which intervention design factors influence performance of community health workers in low- and middle-income countries? A systematic review","type":"article-journal","volume":"30"},"uris":["http://www.mendeley.com/documents/?uuid=14d5dfe7-5e80-3d96-8e5f-65f0430ae5f8"]}],"mendeley":{"formattedCitation":"(13–15)","plainTextFormattedCitation":"(13–15)","previouslyFormattedCitation":"(13–15)"},"properties":{"noteIndex":0},"schema":"https://github.com/citation-style-language/schema/raw/master/csl-citation.json"}</w:instrText>
            </w:r>
            <w:r w:rsidRPr="00F87DFE">
              <w:rPr>
                <w:rFonts w:ascii="Arial" w:hAnsi="Arial" w:cs="Arial"/>
                <w:i/>
                <w:sz w:val="20"/>
                <w:szCs w:val="20"/>
              </w:rPr>
              <w:fldChar w:fldCharType="separate"/>
            </w:r>
            <w:r w:rsidR="00D31818" w:rsidRPr="00D31818">
              <w:rPr>
                <w:rFonts w:ascii="Arial" w:eastAsia="Arial" w:hAnsi="Arial" w:cs="Arial"/>
                <w:iCs/>
                <w:noProof/>
                <w:sz w:val="20"/>
                <w:szCs w:val="20"/>
                <w:bdr w:val="nil"/>
                <w:lang w:val="fr-FR"/>
              </w:rPr>
              <w:t>(13–15)</w:t>
            </w:r>
            <w:r w:rsidRPr="00F87DFE">
              <w:rPr>
                <w:rFonts w:ascii="Arial" w:hAnsi="Arial" w:cs="Arial"/>
                <w:i/>
                <w:sz w:val="20"/>
                <w:szCs w:val="20"/>
              </w:rPr>
              <w:fldChar w:fldCharType="end"/>
            </w:r>
          </w:p>
        </w:tc>
        <w:tc>
          <w:tcPr>
            <w:tcW w:w="3079" w:type="pct"/>
            <w:tcBorders>
              <w:top w:val="single" w:sz="4" w:space="0" w:color="auto"/>
              <w:bottom w:val="single" w:sz="4" w:space="0" w:color="auto"/>
            </w:tcBorders>
          </w:tcPr>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Réunions de consultation pré</w:t>
            </w:r>
            <w:r w:rsidR="00D10856">
              <w:rPr>
                <w:rFonts w:ascii="Arial" w:eastAsia="Arial" w:hAnsi="Arial" w:cs="Arial"/>
                <w:sz w:val="20"/>
                <w:szCs w:val="20"/>
                <w:bdr w:val="nil"/>
                <w:lang w:val="fr-FR"/>
              </w:rPr>
              <w:t>-</w:t>
            </w:r>
            <w:r w:rsidRPr="00F87DFE">
              <w:rPr>
                <w:rFonts w:ascii="Arial" w:eastAsia="Arial" w:hAnsi="Arial" w:cs="Arial"/>
                <w:sz w:val="20"/>
                <w:szCs w:val="20"/>
                <w:bdr w:val="nil"/>
                <w:lang w:val="fr-FR"/>
              </w:rPr>
              <w:t>intervention avec l</w:t>
            </w:r>
            <w:r w:rsidR="00D10856">
              <w:rPr>
                <w:rFonts w:ascii="Arial" w:eastAsia="Arial" w:hAnsi="Arial" w:cs="Arial"/>
                <w:sz w:val="20"/>
                <w:szCs w:val="20"/>
                <w:bdr w:val="nil"/>
                <w:lang w:val="fr-FR"/>
              </w:rPr>
              <w:t>es membres de la</w:t>
            </w:r>
            <w:r w:rsidRPr="00F87DFE">
              <w:rPr>
                <w:rFonts w:ascii="Arial" w:eastAsia="Arial" w:hAnsi="Arial" w:cs="Arial"/>
                <w:sz w:val="20"/>
                <w:szCs w:val="20"/>
                <w:bdr w:val="nil"/>
                <w:lang w:val="fr-FR"/>
              </w:rPr>
              <w:t xml:space="preserve"> communauté. </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 xml:space="preserve">Participation communautaire à la sélection des ASC. </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 xml:space="preserve">Réunions d’examen communautaires semestrielles avec les dirigeants locaux, les membres de la communauté, le personnel des </w:t>
            </w:r>
            <w:r w:rsidR="000614A5" w:rsidRPr="00F87DFE">
              <w:rPr>
                <w:rFonts w:ascii="Arial" w:eastAsia="Arial" w:hAnsi="Arial" w:cs="Arial"/>
                <w:sz w:val="20"/>
                <w:szCs w:val="20"/>
                <w:bdr w:val="nil"/>
                <w:lang w:val="fr-FR"/>
              </w:rPr>
              <w:t xml:space="preserve">formations sanitaires </w:t>
            </w:r>
            <w:r w:rsidRPr="00F87DFE">
              <w:rPr>
                <w:rFonts w:ascii="Arial" w:eastAsia="Arial" w:hAnsi="Arial" w:cs="Arial"/>
                <w:sz w:val="20"/>
                <w:szCs w:val="20"/>
                <w:bdr w:val="nil"/>
                <w:lang w:val="fr-FR"/>
              </w:rPr>
              <w:t>et de SI.</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Présentation des résultats de programmation et des mises à jour par le personnel de SI.</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lastRenderedPageBreak/>
              <w:t xml:space="preserve">Commentaires de la communauté sur les défis de mise en œuvre, les succès et les éléments à améliorer concernant le </w:t>
            </w:r>
            <w:r w:rsidR="00321E73" w:rsidRPr="00F87DFE">
              <w:rPr>
                <w:rFonts w:ascii="Arial" w:eastAsia="Arial" w:hAnsi="Arial" w:cs="Arial"/>
                <w:sz w:val="20"/>
                <w:szCs w:val="20"/>
                <w:bdr w:val="nil"/>
                <w:lang w:val="fr-FR"/>
              </w:rPr>
              <w:t>RSSBC</w:t>
            </w:r>
            <w:r w:rsidRPr="00F87DFE">
              <w:rPr>
                <w:rFonts w:ascii="Arial" w:eastAsia="Arial" w:hAnsi="Arial" w:cs="Arial"/>
                <w:sz w:val="20"/>
                <w:szCs w:val="20"/>
                <w:bdr w:val="nil"/>
                <w:lang w:val="fr-FR"/>
              </w:rPr>
              <w:t>.</w:t>
            </w:r>
          </w:p>
        </w:tc>
      </w:tr>
      <w:tr w:rsidR="0044028E" w:rsidRPr="002316CE" w:rsidTr="005336C5">
        <w:tc>
          <w:tcPr>
            <w:tcW w:w="192" w:type="pct"/>
            <w:tcBorders>
              <w:top w:val="single" w:sz="4" w:space="0" w:color="auto"/>
              <w:bottom w:val="single" w:sz="4" w:space="0" w:color="auto"/>
            </w:tcBorders>
          </w:tcPr>
          <w:p w:rsidR="0044028E" w:rsidRPr="00F87DFE" w:rsidRDefault="0044028E" w:rsidP="008A1F00">
            <w:pPr>
              <w:pStyle w:val="NoSpacing"/>
              <w:spacing w:line="240" w:lineRule="auto"/>
              <w:rPr>
                <w:rFonts w:ascii="Arial" w:hAnsi="Arial" w:cs="Arial"/>
                <w:sz w:val="20"/>
                <w:szCs w:val="20"/>
                <w:lang w:val="fr-FR"/>
              </w:rPr>
            </w:pPr>
            <w:r w:rsidRPr="00F87DFE">
              <w:rPr>
                <w:rFonts w:ascii="Arial" w:eastAsia="Arial" w:hAnsi="Arial" w:cs="Arial"/>
                <w:sz w:val="20"/>
                <w:szCs w:val="20"/>
                <w:bdr w:val="nil"/>
                <w:lang w:val="fr-FR"/>
              </w:rPr>
              <w:lastRenderedPageBreak/>
              <w:t>2</w:t>
            </w:r>
            <w:r w:rsidR="005360F6">
              <w:rPr>
                <w:rFonts w:ascii="Arial" w:eastAsia="Arial" w:hAnsi="Arial" w:cs="Arial"/>
                <w:sz w:val="20"/>
                <w:szCs w:val="20"/>
                <w:bdr w:val="nil"/>
                <w:lang w:val="fr-FR"/>
              </w:rPr>
              <w:t>.</w:t>
            </w:r>
          </w:p>
        </w:tc>
        <w:tc>
          <w:tcPr>
            <w:tcW w:w="1729" w:type="pct"/>
            <w:tcBorders>
              <w:top w:val="single" w:sz="4" w:space="0" w:color="auto"/>
              <w:bottom w:val="single" w:sz="4" w:space="0" w:color="auto"/>
            </w:tcBorders>
          </w:tcPr>
          <w:p w:rsidR="0044028E" w:rsidRPr="00F87DFE" w:rsidRDefault="00345002" w:rsidP="008A1F00">
            <w:pPr>
              <w:pStyle w:val="NoSpacing"/>
              <w:spacing w:line="240" w:lineRule="auto"/>
              <w:rPr>
                <w:rFonts w:ascii="Arial" w:hAnsi="Arial" w:cs="Arial"/>
                <w:sz w:val="20"/>
                <w:szCs w:val="20"/>
                <w:lang w:val="fr-FR"/>
              </w:rPr>
            </w:pPr>
            <w:r>
              <w:rPr>
                <w:rFonts w:ascii="Arial" w:eastAsia="Arial" w:hAnsi="Arial" w:cs="Arial"/>
                <w:sz w:val="20"/>
                <w:szCs w:val="20"/>
                <w:bdr w:val="nil"/>
                <w:lang w:val="fr-FR"/>
              </w:rPr>
              <w:t>Élimination des coûts</w:t>
            </w:r>
            <w:r w:rsidR="0044028E" w:rsidRPr="00F87DFE">
              <w:rPr>
                <w:rFonts w:ascii="Arial" w:eastAsia="Arial" w:hAnsi="Arial" w:cs="Arial"/>
                <w:sz w:val="20"/>
                <w:szCs w:val="20"/>
                <w:bdr w:val="nil"/>
                <w:lang w:val="fr-FR"/>
              </w:rPr>
              <w:t xml:space="preserve"> dans les formations sanita</w:t>
            </w:r>
            <w:r>
              <w:rPr>
                <w:rFonts w:ascii="Arial" w:eastAsia="Arial" w:hAnsi="Arial" w:cs="Arial"/>
                <w:sz w:val="20"/>
                <w:szCs w:val="20"/>
                <w:bdr w:val="nil"/>
                <w:lang w:val="fr-FR"/>
              </w:rPr>
              <w:t>ires du secteur public mettant en œuvre</w:t>
            </w:r>
            <w:r w:rsidR="0044028E" w:rsidRPr="00F87DFE">
              <w:rPr>
                <w:rFonts w:ascii="Arial" w:eastAsia="Arial" w:hAnsi="Arial" w:cs="Arial"/>
                <w:sz w:val="20"/>
                <w:szCs w:val="20"/>
                <w:bdr w:val="nil"/>
                <w:lang w:val="fr-FR"/>
              </w:rPr>
              <w:t xml:space="preserve"> l’intervention de SI </w:t>
            </w:r>
          </w:p>
          <w:p w:rsidR="0044028E" w:rsidRPr="00F87DFE" w:rsidRDefault="0044028E" w:rsidP="008A1F00">
            <w:pPr>
              <w:pStyle w:val="NoSpacing"/>
              <w:spacing w:line="240" w:lineRule="auto"/>
              <w:rPr>
                <w:rFonts w:ascii="Arial" w:hAnsi="Arial" w:cs="Arial"/>
                <w:sz w:val="20"/>
                <w:szCs w:val="20"/>
                <w:lang w:val="fr-FR"/>
              </w:rPr>
            </w:pPr>
          </w:p>
          <w:p w:rsidR="0044028E" w:rsidRPr="00F87DFE" w:rsidRDefault="0044028E" w:rsidP="008A1F00">
            <w:pPr>
              <w:pStyle w:val="NoSpacing"/>
              <w:spacing w:line="240" w:lineRule="auto"/>
              <w:rPr>
                <w:rFonts w:ascii="Arial" w:hAnsi="Arial" w:cs="Arial"/>
                <w:i/>
                <w:sz w:val="20"/>
                <w:szCs w:val="20"/>
                <w:lang w:val="fr-FR"/>
              </w:rPr>
            </w:pPr>
            <w:r w:rsidRPr="00F87DFE">
              <w:rPr>
                <w:rFonts w:ascii="Arial" w:eastAsia="Arial" w:hAnsi="Arial" w:cs="Arial"/>
                <w:i/>
                <w:iCs/>
                <w:sz w:val="20"/>
                <w:szCs w:val="20"/>
                <w:bdr w:val="nil"/>
                <w:lang w:val="fr-FR"/>
              </w:rPr>
              <w:t xml:space="preserve">Preuve : </w:t>
            </w:r>
            <w:r w:rsidRPr="00F87DFE">
              <w:rPr>
                <w:rFonts w:ascii="Arial" w:hAnsi="Arial" w:cs="Arial"/>
                <w:i/>
                <w:sz w:val="20"/>
                <w:szCs w:val="20"/>
              </w:rPr>
              <w:fldChar w:fldCharType="begin" w:fldLock="1"/>
            </w:r>
            <w:r w:rsidR="007363DC">
              <w:rPr>
                <w:rFonts w:ascii="Arial" w:hAnsi="Arial" w:cs="Arial"/>
                <w:i/>
                <w:sz w:val="20"/>
                <w:szCs w:val="20"/>
                <w:lang w:val="fr-FR"/>
              </w:rPr>
              <w:instrText>ADDIN CSL_CITATION {"citationItems":[{"id":"ITEM-1","itemData":{"DOI":"10.2471/BLT.13.130609","ISSN":"0042-9686","author":[{"dropping-particle":"","family":"Johri","given":"Mira","non-dropping-particle":"","parse-names":false,"suffix":""},{"dropping-particle":"","family":"Ridde","given":"Valéry","non-dropping-particle":"","parse-names":false,"suffix":""},{"dropping-particle":"","family":"Heinmüller","given":"Rolf","non-dropping-particle":"","parse-names":false,"suffix":""},{"dropping-particle":"","family":"Haddad","given":"Slim","non-dropping-particle":"","parse-names":false,"suffix":""}],"container-title":"Bulletin of the World Health Organization","id":"ITEM-1","issue":"10","issued":{"date-parts":[["2014","10","1"]]},"page":"706-715","title":"Estimation of maternal and child mortality one year after user-fee elimination: an impact evaluation and modelling study in Burkina Faso","type":"article-journal","volume":"92"},"uris":["http://www.mendeley.com/documents/?uuid=a1048e7e-e785-36ba-927d-62b9caab0c22"]},{"id":"ITEM-2","itemData":{"DOI":"10.1007/s10995-017-2408-7","ISBN":"0123456789","ISSN":"1092-7875","author":[{"dropping-particle":"","family":"Calhoun","given":"Lisa M.","non-dropping-particle":"","parse-names":false,"suffix":""},{"dropping-particle":"","family":"Speizer","given":"Ilene S.","non-dropping-particle":"","parse-names":false,"suffix":""},{"dropping-particle":"","family":"Guilkey","given":"David","non-dropping-particle":"","parse-names":false,"suffix":""},{"dropping-particle":"","family":"Bukusi","given":"Elizabeth","non-dropping-particle":"","parse-names":false,"suffix":""}],"container-title":"Maternal and Child Health Journal","id":"ITEM-2","issue":"0","issued":{"date-parts":[["2017"]]},"page":"0","publisher":"Springer US","title":"The Effect of the Removal of User Fees for Delivery at Public Health Facilities on Institutional Delivery in Urban Kenya","type":"article-journal","volume":"0"},"uris":["http://www.mendeley.com/documents/?uuid=e1e920b6-2613-487e-88b9-dc60c6794af5"]},{"id":"ITEM-3","itemData":{"DOI":"10.1136/","abstract":"AbstrACt The majority of the world's population lives in urban areas, and regions with the highest under-five mortality rates are urbanising rapidly. This 7-year interrupted time series study measured early access to care and under-five mortality over the course of a proactive community case management (ProCCM) intervention in periurban Mali. Using a cluster-based, population-weighted sampling methodology, we conducted independent cross-sectional household surveys at baseline and at 12, 24, 36, 48, 60, 72 and 84 months later in the intervention area. The ProCCM intervention had five key components: (1) active case detection by community health workers (CHWs), (2) CHW doorstep care, (3) monthly dedicated supervision for CHWs, (4) removal of user fees and (5) primary care infrastructure improvements and staff capacity building. Under-five mortality rate was calculated using a Cox proportional hazard survival regression. We measured the percentage of children initiating effective antimalarial treatment within 24 hours of symptom onset and the percentage of children reported to be febrile within the previous 2 weeks. During the intervention, the rate of early effective antimalarial treatment of children 0–59 months more than doubled, from 14.7% in 2008 to 35.3% in 2015 (OR 3.198, P&lt;0.0001). The prevalence of febrile illness among children under 5 years declined after 7 years of the intervention from 39.7% at baseline to 22.6% in 2015 (OR 0.448, P&lt;0.0001). Communities where ProCCM was implemented have achieved an under-five mortality rate at or below 28/1000 for the past 6 years. In 2015, under-five mortality was 7/1000 (HR 0.039, P&lt;0.0001). Further research is needed to elucidate the mechanisms of action and generalizability of ProCCM. IntroduCtIon The majority of the world's population now lives in urban areas. 1 While Africa remains predominantly rural, the continent is urban-ising faster than other regions and is projected to become 56% urban by 2050. 1 With more than half of sub-Saharan Africa's urban popu-lation living in slums and informal settle-ments, 2 this demographic shift has major implications for health and health equity. Characterised by extreme poverty, environ-mental degradation and a lack of basic infra-structure, these urban areas are vulnerable to","author":[{"dropping-particle":"","family":"Johnson","given":"Ari D","non-dropping-particle":"","parse-names":false,"suffix":""},{"dropping-particle":"","family":"Thiero","given":"Oumar","non-dropping-particle":"","parse-names":false,"suffix":""},{"dropping-particle":"","family":"Whidden","given":"Caroline","non-dropping-particle":"","parse-names":false,"suffix":""},{"dropping-particle":"","family":"Poudiougou","given":"Belco","non-dropping-particle":"","parse-names":false,"suffix":""},{"dropping-particle":"","family":"Diakité","given":"Djoumé","non-dropping-particle":"","parse-names":false,"suffix":""},{"dropping-particle":"","family":"Traoré","given":"Fousséni","non-dropping-particle":"","parse-names":false,"suffix":""},{"dropping-particle":"","family":"Samaké","given":"Salif","non-dropping-particle":"","parse-names":false,"suffix":""},{"dropping-particle":"","family":"Koné","given":"Diakalia","non-dropping-particle":"","parse-names":false,"suffix":""},{"dropping-particle":"","family":"Cissé","given":"Ibrahim","non-dropping-particle":"","parse-names":false,"suffix":""},{"dropping-particle":"","family":"Kayentao","given":"Kassoum","non-dropping-particle":"","parse-names":false,"suffix":""}],"container-title":"BMJ Glob Health Mali. BMJ Glob Health","id":"ITEM-3","issued":{"date-parts":[["2018"]]},"title":"Proactive community case management and child survival in periurban Mali","type":"article-journal","volume":"33"},"uris":["http://www.mendeley.com/documents/?uuid=bceb6b99-84a3-4e37-92eb-b41761202ecb"]},{"id":"ITEM-4","itemData":{"DOI":"10.1016/S0140-6736(09)60258-0","ISSN":"1474-547X","PMID":"19362359","author":[{"dropping-particle":"","family":"Yates","given":"Rob","non-dropping-particle":"","parse-names":false,"suffix":""}],"container-title":"Lancet (London, England)","id":"ITEM-4","issue":"9680","issued":{"date-parts":[["2009","6","13"]]},"page":"2078-81","publisher":"Elsevier","title":"Universal health care and the removal of user fees.","type":"article-journal","volume":"373"},"uris":["http://www.mendeley.com/documents/?uuid=bc637deb-e715-3009-a746-339530f3a5a0"]}],"mendeley":{"formattedCitation":"(16–19)","plainTextFormattedCitation":"(16–19)","previouslyFormattedCitation":"(16–19)"},"properties":{"noteIndex":0},"schema":"https://github.com/citation-style-language/schema/raw/master/csl-citation.json"}</w:instrText>
            </w:r>
            <w:r w:rsidRPr="00F87DFE">
              <w:rPr>
                <w:rFonts w:ascii="Arial" w:hAnsi="Arial" w:cs="Arial"/>
                <w:i/>
                <w:sz w:val="20"/>
                <w:szCs w:val="20"/>
              </w:rPr>
              <w:fldChar w:fldCharType="separate"/>
            </w:r>
            <w:r w:rsidR="007363DC" w:rsidRPr="007363DC">
              <w:rPr>
                <w:rFonts w:ascii="Arial" w:eastAsia="Arial" w:hAnsi="Arial" w:cs="Arial"/>
                <w:iCs/>
                <w:noProof/>
                <w:sz w:val="20"/>
                <w:szCs w:val="20"/>
                <w:bdr w:val="nil"/>
                <w:lang w:val="fr-FR"/>
              </w:rPr>
              <w:t>(16–19)</w:t>
            </w:r>
            <w:r w:rsidRPr="00F87DFE">
              <w:rPr>
                <w:rFonts w:ascii="Arial" w:hAnsi="Arial" w:cs="Arial"/>
                <w:i/>
                <w:sz w:val="20"/>
                <w:szCs w:val="20"/>
              </w:rPr>
              <w:fldChar w:fldCharType="end"/>
            </w:r>
            <w:r w:rsidRPr="00F87DFE">
              <w:rPr>
                <w:rFonts w:ascii="Arial" w:eastAsia="Arial" w:hAnsi="Arial" w:cs="Arial"/>
                <w:i/>
                <w:iCs/>
                <w:sz w:val="20"/>
                <w:szCs w:val="20"/>
                <w:bdr w:val="nil"/>
                <w:lang w:val="fr-FR"/>
              </w:rPr>
              <w:t xml:space="preserve"> </w:t>
            </w:r>
          </w:p>
        </w:tc>
        <w:tc>
          <w:tcPr>
            <w:tcW w:w="3079" w:type="pct"/>
            <w:tcBorders>
              <w:top w:val="single" w:sz="4" w:space="0" w:color="auto"/>
              <w:bottom w:val="single" w:sz="4" w:space="0" w:color="auto"/>
            </w:tcBorders>
          </w:tcPr>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Comprend tous les enfants âgés de moins de cinq ans, les femmes enceintes ou venant d’accoucher, les femmes en âge de</w:t>
            </w:r>
            <w:r w:rsidR="00345002">
              <w:rPr>
                <w:rFonts w:ascii="Arial" w:eastAsia="Arial" w:hAnsi="Arial" w:cs="Arial"/>
                <w:sz w:val="20"/>
                <w:szCs w:val="20"/>
                <w:bdr w:val="nil"/>
                <w:lang w:val="fr-FR"/>
              </w:rPr>
              <w:t xml:space="preserve"> procréer</w:t>
            </w:r>
            <w:r w:rsidR="00122E24">
              <w:rPr>
                <w:rFonts w:ascii="Arial" w:eastAsia="Arial" w:hAnsi="Arial" w:cs="Arial"/>
                <w:sz w:val="20"/>
                <w:szCs w:val="20"/>
                <w:bdr w:val="nil"/>
                <w:lang w:val="fr-FR"/>
              </w:rPr>
              <w:t xml:space="preserve"> </w:t>
            </w:r>
            <w:r w:rsidRPr="00F87DFE">
              <w:rPr>
                <w:rFonts w:ascii="Arial" w:eastAsia="Arial" w:hAnsi="Arial" w:cs="Arial"/>
                <w:sz w:val="20"/>
                <w:szCs w:val="20"/>
                <w:bdr w:val="nil"/>
                <w:lang w:val="fr-FR"/>
              </w:rPr>
              <w:t>pour des services de planification familiale et les personnes atteintes du VIH et qui viennent requérir des soins dans les centres d’étude.</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 xml:space="preserve">Inclut les frais de consultation en formation sanitaire, les médicaments, les fournitures et les services fournis dans les centres d’intervention de SI et les recommandations de soins spécialisés vers les hôpitaux </w:t>
            </w:r>
            <w:r w:rsidR="00827C06">
              <w:rPr>
                <w:rFonts w:ascii="Arial" w:eastAsia="Arial" w:hAnsi="Arial" w:cs="Arial"/>
                <w:sz w:val="20"/>
                <w:szCs w:val="20"/>
                <w:bdr w:val="nil"/>
                <w:lang w:val="fr-FR"/>
              </w:rPr>
              <w:t>du district</w:t>
            </w:r>
            <w:r w:rsidRPr="00F87DFE">
              <w:rPr>
                <w:rFonts w:ascii="Arial" w:eastAsia="Arial" w:hAnsi="Arial" w:cs="Arial"/>
                <w:sz w:val="20"/>
                <w:szCs w:val="20"/>
                <w:bdr w:val="nil"/>
                <w:lang w:val="fr-FR"/>
              </w:rPr>
              <w:t xml:space="preserve"> ou régionaux.</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 xml:space="preserve">Frais sélectionnés et population couverte choisie en collaboration avec le MS et en conformité avec les recommandations nationales et mondiales. </w:t>
            </w:r>
          </w:p>
        </w:tc>
      </w:tr>
      <w:tr w:rsidR="0044028E" w:rsidRPr="002316CE" w:rsidTr="005336C5">
        <w:tc>
          <w:tcPr>
            <w:tcW w:w="192" w:type="pct"/>
            <w:tcBorders>
              <w:top w:val="single" w:sz="4" w:space="0" w:color="auto"/>
              <w:bottom w:val="single" w:sz="4" w:space="0" w:color="auto"/>
            </w:tcBorders>
          </w:tcPr>
          <w:p w:rsidR="0044028E" w:rsidRPr="000614A5" w:rsidRDefault="0044028E" w:rsidP="008A1F00">
            <w:pPr>
              <w:pStyle w:val="NoSpacing"/>
              <w:spacing w:line="240" w:lineRule="auto"/>
              <w:rPr>
                <w:rFonts w:ascii="Arial" w:hAnsi="Arial" w:cs="Arial"/>
                <w:sz w:val="20"/>
                <w:szCs w:val="20"/>
                <w:lang w:val="fr-FR"/>
              </w:rPr>
            </w:pPr>
            <w:r w:rsidRPr="000614A5">
              <w:rPr>
                <w:rFonts w:ascii="Arial" w:eastAsia="Arial" w:hAnsi="Arial" w:cs="Arial"/>
                <w:sz w:val="20"/>
                <w:szCs w:val="20"/>
                <w:bdr w:val="nil"/>
                <w:lang w:val="fr-FR"/>
              </w:rPr>
              <w:t>3</w:t>
            </w:r>
            <w:r w:rsidR="005360F6">
              <w:rPr>
                <w:rFonts w:ascii="Arial" w:eastAsia="Arial" w:hAnsi="Arial" w:cs="Arial"/>
                <w:sz w:val="20"/>
                <w:szCs w:val="20"/>
                <w:bdr w:val="nil"/>
                <w:lang w:val="fr-FR"/>
              </w:rPr>
              <w:t>.</w:t>
            </w:r>
          </w:p>
        </w:tc>
        <w:tc>
          <w:tcPr>
            <w:tcW w:w="1729" w:type="pct"/>
            <w:tcBorders>
              <w:top w:val="single" w:sz="4" w:space="0" w:color="auto"/>
              <w:bottom w:val="single" w:sz="4" w:space="0" w:color="auto"/>
            </w:tcBorders>
          </w:tcPr>
          <w:p w:rsidR="0044028E" w:rsidRPr="00D10856" w:rsidRDefault="0044028E" w:rsidP="008A1F00">
            <w:pPr>
              <w:pStyle w:val="NoSpacing"/>
              <w:spacing w:line="240" w:lineRule="auto"/>
              <w:rPr>
                <w:rFonts w:ascii="Arial" w:hAnsi="Arial" w:cs="Arial"/>
                <w:sz w:val="20"/>
                <w:szCs w:val="20"/>
                <w:lang w:val="fr-FR"/>
              </w:rPr>
            </w:pPr>
            <w:r w:rsidRPr="00D10856">
              <w:rPr>
                <w:rFonts w:ascii="Arial" w:eastAsia="Arial" w:hAnsi="Arial" w:cs="Arial"/>
                <w:sz w:val="20"/>
                <w:szCs w:val="20"/>
                <w:bdr w:val="nil"/>
                <w:lang w:val="fr-FR"/>
              </w:rPr>
              <w:t>PCIME-C proactive à l’aide d’ASC</w:t>
            </w:r>
            <w:r w:rsidR="00345002">
              <w:rPr>
                <w:rFonts w:ascii="Arial" w:eastAsia="Arial" w:hAnsi="Arial" w:cs="Arial"/>
                <w:sz w:val="20"/>
                <w:szCs w:val="20"/>
                <w:bdr w:val="nil"/>
                <w:lang w:val="fr-FR"/>
              </w:rPr>
              <w:t>s</w:t>
            </w:r>
            <w:r w:rsidRPr="00D10856">
              <w:rPr>
                <w:rFonts w:ascii="Arial" w:eastAsia="Arial" w:hAnsi="Arial" w:cs="Arial"/>
                <w:sz w:val="20"/>
                <w:szCs w:val="20"/>
                <w:bdr w:val="nil"/>
                <w:lang w:val="fr-FR"/>
              </w:rPr>
              <w:t xml:space="preserve"> équipés, supervisés et salariés, avec des services supplémentaires incluant la liaison vers la planification familiale et le conseil, le dépistage du VIH et </w:t>
            </w:r>
            <w:r w:rsidR="00345002">
              <w:rPr>
                <w:rFonts w:ascii="Arial" w:eastAsia="Arial" w:hAnsi="Arial" w:cs="Arial"/>
                <w:sz w:val="20"/>
                <w:szCs w:val="20"/>
                <w:bdr w:val="nil"/>
                <w:lang w:val="fr-FR"/>
              </w:rPr>
              <w:t>les référencements de</w:t>
            </w:r>
            <w:r w:rsidR="00D10856" w:rsidRPr="00D10856">
              <w:rPr>
                <w:rFonts w:ascii="Arial" w:eastAsia="Arial" w:hAnsi="Arial" w:cs="Arial"/>
                <w:sz w:val="20"/>
                <w:szCs w:val="20"/>
                <w:bdr w:val="nil"/>
                <w:lang w:val="fr-FR"/>
              </w:rPr>
              <w:t xml:space="preserve"> cas</w:t>
            </w:r>
          </w:p>
          <w:p w:rsidR="0044028E" w:rsidRPr="00D10856" w:rsidRDefault="0044028E" w:rsidP="008A1F00">
            <w:pPr>
              <w:pStyle w:val="NoSpacing"/>
              <w:spacing w:line="240" w:lineRule="auto"/>
              <w:rPr>
                <w:rFonts w:ascii="Arial" w:hAnsi="Arial" w:cs="Arial"/>
                <w:sz w:val="20"/>
                <w:szCs w:val="20"/>
                <w:lang w:val="fr-FR"/>
              </w:rPr>
            </w:pPr>
          </w:p>
          <w:p w:rsidR="0044028E" w:rsidRPr="00D10856" w:rsidRDefault="0044028E" w:rsidP="008A1F00">
            <w:pPr>
              <w:pStyle w:val="NoSpacing"/>
              <w:spacing w:line="240" w:lineRule="auto"/>
              <w:rPr>
                <w:rFonts w:ascii="Arial" w:hAnsi="Arial" w:cs="Arial"/>
                <w:i/>
                <w:sz w:val="20"/>
                <w:szCs w:val="20"/>
                <w:lang w:val="fr-FR"/>
              </w:rPr>
            </w:pPr>
            <w:r w:rsidRPr="00D10856">
              <w:rPr>
                <w:rFonts w:ascii="Arial" w:eastAsia="Arial" w:hAnsi="Arial" w:cs="Arial"/>
                <w:i/>
                <w:iCs/>
                <w:sz w:val="20"/>
                <w:szCs w:val="20"/>
                <w:bdr w:val="nil"/>
                <w:lang w:val="fr-FR"/>
              </w:rPr>
              <w:t xml:space="preserve">Preuve : </w:t>
            </w:r>
            <w:r w:rsidRPr="00D10856">
              <w:rPr>
                <w:rFonts w:ascii="Arial" w:hAnsi="Arial" w:cs="Arial"/>
                <w:i/>
                <w:sz w:val="20"/>
                <w:szCs w:val="20"/>
              </w:rPr>
              <w:fldChar w:fldCharType="begin" w:fldLock="1"/>
            </w:r>
            <w:r w:rsidR="00902B77">
              <w:rPr>
                <w:rFonts w:ascii="Arial" w:hAnsi="Arial" w:cs="Arial"/>
                <w:i/>
                <w:sz w:val="20"/>
                <w:szCs w:val="20"/>
                <w:lang w:val="fr-FR"/>
              </w:rPr>
              <w:instrText>ADDIN CSL_CITATION {"citationItems":[{"id":"ITEM-1","itemData":{"DOI":"10.1136/","abstract":"AbstrACt The majority of the world's population lives in urban areas, and regions with the highest under-five mortality rates are urbanising rapidly. This 7-year interrupted time series study measured early access to care and under-five mortality over the course of a proactive community case management (ProCCM) intervention in periurban Mali. Using a cluster-based, population-weighted sampling methodology, we conducted independent cross-sectional household surveys at baseline and at 12, 24, 36, 48, 60, 72 and 84 months later in the intervention area. The ProCCM intervention had five key components: (1) active case detection by community health workers (CHWs), (2) CHW doorstep care, (3) monthly dedicated supervision for CHWs, (4) removal of user fees and (5) primary care infrastructure improvements and staff capacity building. Under-five mortality rate was calculated using a Cox proportional hazard survival regression. We measured the percentage of children initiating effective antimalarial treatment within 24 hours of symptom onset and the percentage of children reported to be febrile within the previous 2 weeks. During the intervention, the rate of early effective antimalarial treatment of children 0–59 months more than doubled, from 14.7% in 2008 to 35.3% in 2015 (OR 3.198, P&lt;0.0001). The prevalence of febrile illness among children under 5 years declined after 7 years of the intervention from 39.7% at baseline to 22.6% in 2015 (OR 0.448, P&lt;0.0001). Communities where ProCCM was implemented have achieved an under-five mortality rate at or below 28/1000 for the past 6 years. In 2015, under-five mortality was 7/1000 (HR 0.039, P&lt;0.0001). Further research is needed to elucidate the mechanisms of action and generalizability of ProCCM. IntroduCtIon The majority of the world's population now lives in urban areas. 1 While Africa remains predominantly rural, the continent is urban-ising faster than other regions and is projected to become 56% urban by 2050. 1 With more than half of sub-Saharan Africa's urban popu-lation living in slums and informal settle-ments, 2 this demographic shift has major implications for health and health equity. Characterised by extreme poverty, environ-mental degradation and a lack of basic infra-structure, these urban areas are vulnerable to","author":[{"dropping-particle":"","family":"Johnson","given":"Ari D","non-dropping-particle":"","parse-names":false,"suffix":""},{"dropping-particle":"","family":"Thiero","given":"Oumar","non-dropping-particle":"","parse-names":false,"suffix":""},{"dropping-particle":"","family":"Whidden","given":"Caroline","non-dropping-particle":"","parse-names":false,"suffix":""},{"dropping-particle":"","family":"Poudiougou","given":"Belco","non-dropping-particle":"","parse-names":false,"suffix":""},{"dropping-particle":"","family":"Diakité","given":"Djoumé","non-dropping-particle":"","parse-names":false,"suffix":""},{"dropping-particle":"","family":"Traoré","given":"Fousséni","non-dropping-particle":"","parse-names":false,"suffix":""},{"dropping-particle":"","family":"Samaké","given":"Salif","non-dropping-particle":"","parse-names":false,"suffix":""},{"dropping-particle":"","family":"Koné","given":"Diakalia","non-dropping-particle":"","parse-names":false,"suffix":""},{"dropping-particle":"","family":"Cissé","given":"Ibrahim","non-dropping-particle":"","parse-names":false,"suffix":""},{"dropping-particle":"","family":"Kayentao","given":"Kassoum","non-dropping-particle":"","parse-names":false,"suffix":""}],"container-title":"BMJ Glob Health Mali. BMJ Glob Health","id":"ITEM-1","issued":{"date-parts":[["2018"]]},"title":"Proactive community case management and child survival in periurban Mali","type":"article-journal","volume":"33"},"uris":["http://www.mendeley.com/documents/?uuid=bceb6b99-84a3-4e37-92eb-b41761202ecb"]},{"id":"ITEM-2","itemData":{"abstract":"Background\\nIn 2012, 6.6 million children under age five died worldwide, most from diseases with known means of prevention and treatment. A delivery gap persists between well-validated methods for child survival and equitable, timely access to those methods. We measured early child health care access, morbidity, and mortality over the course of a health system strengthening model intervention in Yirimadjo, Mali. The intervention included Community Health Worker active case finding, user fee removal, infrastructure development, community mobilization, and prevention programming.\\n\\nMethods and Findings\\nWe conducted four household surveys using a cluster-based, population-weighted sampling methodology at baseline and at 12, 24, and 36 months. We defined our outcomes as the percentage of children initiating an effective antimalarial within 24 hours of symptom onset, the percentage of children reported to be febrile within the previous two weeks, and the under-five child mortality rate. We compared prevalence of febrile illness and treatment using chi-square statistics, and estimated and compared under-five mortality rates using Cox proportional hazard regression. There was a statistically significant difference in under-five mortality between the 2008 and 2011 surveys; in 2011, the hazard of under-five mortality in the intervention area was one tenth that of baseline (HR 0.10, p","author":[{"dropping-particle":"","family":"Johnson","given":"Ari D.","non-dropping-particle":"","parse-names":false,"suffix":""},{"dropping-particle":"","family":"Thomson","given":"Dana R.","non-dropping-particle":"","parse-names":false,"suffix":""},{"dropping-particle":"","family":"Atwood","given":"Sidney","non-dropping-particle":"","parse-names":false,"suffix":""},{"dropping-particle":"","family":"Alley","given":"Ian","non-dropping-particle":"","parse-names":false,"suffix":""},{"dropping-particle":"","family":"Beckerman","given":"Jessica L.","non-dropping-particle":"","parse-names":false,"suffix":""},{"dropping-particle":"","family":"Kon??","given":"Ichiaka","non-dropping-particle":"","parse-names":false,"suffix":""},{"dropping-particle":"","family":"Diakit??","given":"Djoum??","non-dropping-particle":"","parse-names":false,"suffix":""},{"dropping-particle":"","family":"Diallo","given":"Hamed","non-dropping-particle":"","parse-names":false,"suffix":""},{"dropping-particle":"","family":"Traor??","given":"Boubacar","non-dropping-particle":"","parse-names":false,"suffix":""},{"dropping-particle":"","family":"Traor??","given":"Klenon","non-dropping-particle":"","parse-names":false,"suffix":""},{"dropping-particle":"","family":"Farmer","given":"Paul E.","non-dropping-particle":"","parse-names":false,"suffix":""},{"dropping-particle":"","family":"Murray","given":"Megan","non-dropping-particle":"","parse-names":false,"suffix":""},{"dropping-particle":"","family":"Mukherjee","given":"Joia","non-dropping-particle":"","parse-names":false,"suffix":""}],"container-title":"PLoS ONE","id":"ITEM-2","issue":"12","issued":{"date-parts":[["2013"]]},"title":"Assessing early access to care and child survival during a health system strengthening intervention in Mali: A repeated cross sectional survey","type":"article-journal","volume":"8"},"uris":["http://www.mendeley.com/documents/?uuid=6ebea59c-59e5-4166-8aec-741696446f59"]},{"id":"ITEM-3","itemData":{"DOI":"10.1016/S0140-6736(04)17311-X","ISSN":"0140-6736","abstract":"BACKGROUND\nThe Integrated Management of Childhood Illness (IMCI) strategy is designed to address major causes of child mortality at the levels of community, health facility, and health system. We assessed the effectiveness of facility-based IMCI in rural Tanzania. \n\nMETHODS\nWe compared two districts with facility-based IMCI and two neighbouring comparison districts without IMCI, from 1997 to 2002, in a non-randomised study. We assessed quality of case-management for children's illness, drug and vaccine availability, and supervision involving case-management, through a health-facility survey in 2000. Household surveys were used to assess child-health indicators in 1999 and 2002. Survival of children was tracked through demographic surveillance over a predefined 2-year period from mid 2000. Further information on contextual factors was gathered through interviews and record review. The economic cost of health care for children in IMCI and comparison districts was estimated through interviews and record review at national, district, facility, and household levels. \n\nFINDINGS\nDuring the IMCI phase-in period, mortality rates in children under 5 years old were almost identical in IMCI and comparison districts. Over the next 2 years, the mortality rate was 13% lower in IMCI than in comparison districts (95% CI –7 to 30 or 5 to 21, depending on how adjustment is made for district-level clustering), with a rate difference of 3·8 fewer deaths per 1000 child-years. Contextual factors, such as use of mosquito nets, all favoured the comparison districts. Costs of children's health care with IMCI were similar to or lower than those for case-management without IMCI. \n\nINTERPRETATION\nOur findings indicate that facility-based IMCI is good value for money, and support widespread implementation in the context of health sector reform, basket funding, good facility access, and high utilisation of health facilities.","author":[{"dropping-particle":"","family":"Schellenberg","given":"Joanna RM Armstrong","non-dropping-particle":"","parse-names":false,"suffix":""},{"dropping-particle":"","family":"Adam","given":"Taghreed","non-dropping-particle":"","parse-names":false,"suffix":""},{"dropping-particle":"","family":"Mshinda","given":"Hassan","non-dropping-particle":"","parse-names":false,"suffix":""},{"dropping-particle":"","family":"Masanja","given":"Honorati","non-dropping-particle":"","parse-names":false,"suffix":""},{"dropping-particle":"","family":"Kabadi","given":"Gregory","non-dropping-particle":"","parse-names":false,"suffix":""},{"dropping-particle":"","family":"Mukasa","given":"Oscar","non-dropping-particle":"","parse-names":false,"suffix":""},{"dropping-particle":"","family":"John","given":"Theopista","non-dropping-particle":"","parse-names":false,"suffix":""},{"dropping-particle":"","family":"Charles","given":"Sosthenes","non-dropping-particle":"","parse-names":false,"suffix":""},{"dropping-particle":"","family":"Nathan","given":"Rose","non-dropping-particle":"","parse-names":false,"suffix":""},{"dropping-particle":"","family":"Wilczynska","given":"Katarzyna","non-dropping-particle":"","parse-names":false,"suffix":""},{"dropping-particle":"","family":"Mgalula","given":"Leslie","non-dropping-particle":"","parse-names":false,"suffix":""},{"dropping-particle":"","family":"Mbuya","given":"Conrad","non-dropping-particle":"","parse-names":false,"suffix":""},{"dropping-particle":"","family":"Mswia","given":"Robert","non-dropping-particle":"","parse-names":false,"suffix":""},{"dropping-particle":"","family":"Manzi","given":"Fatuma","non-dropping-particle":"","parse-names":false,"suffix":""},{"dropping-particle":"","family":"Savigny","given":"Don","non-dropping-particle":"de","parse-names":false,"suffix":""},{"dropping-particle":"","family":"Schellenberg","given":"David","non-dropping-particle":"","parse-names":false,"suffix":""},{"dropping-particle":"","family":"Victora","given":"Cesar","non-dropping-particle":"","parse-names":false,"suffix":""}],"container-title":"The Lancet","id":"ITEM-3","issue":"9445","issued":{"date-parts":[["2004","10","30"]]},"page":"1583-1594","publisher":"Elsevier","title":"Effectiveness and cost of facility-based Integrated Management of Childhood Illness (IMCI) in Tanzania","type":"article-journal","volume":"364"},"uris":["http://www.mendeley.com/documents/?uuid=778c9d0b-5060-3e48-ba24-039838315973"]},{"id":"ITEM-4","itemData":{"DOI":"10.1186/1478-4491-9-27","abstract":"Background: Over thirty years have passed since the Alma-Ata Declaration on primary health care in 1978. Many governments in the first decade following the declaration responded by developing national programmes of community health workers (CHWs), but evaluations of these often demonstrated poor outcomes. As many CHW programmes have responded to the HIV/AIDS pandemic, international interest in them has returned and their role in the response to other diseases should be examined carefully so that lessons can be applied to their new roles. Over half of the deaths in African children under five years of age are due to malaria, diarrhoea and pneumonia-a situation which could be addressed through the use of cheap and effective interventions delivered by CHWs. However, to date there is very little evidence from randomised controlled trials of the impacts of CHW programmes on child mortality in Africa. Evidence from non-randomised controlled studies has not previously been reviewed systematically. Methods: We searched databases of published and unpublished studies for RCTs and non-randomised studies evaluating CHW programmes delivering curative treatments, with or without preventive components, for malaria, diarrhoea or pneumonia, in children in sub-Saharan Africa from 1987 to 2007. The impact of these programmes on morbidity or mortality in children under six years of age was reviewed. A descriptive analysis of interventional and contextual factors associated with these impacts was attempted.","author":[{"dropping-particle":"","family":"Christopher","given":"Jason B","non-dropping-particle":"","parse-names":false,"suffix":""},{"dropping-particle":"","family":"May","given":"Alex","non-dropping-particle":"Le","parse-names":false,"suffix":""},{"dropping-particle":"","family":"Lewin","given":"Simon","non-dropping-particle":"","parse-names":false,"suffix":""},{"dropping-particle":"","family":"Ross","given":"David A","non-dropping-particle":"","parse-names":false,"suffix":""}],"id":"ITEM-4","issued":{"date-parts":[["2011"]]},"title":"Thirty years after Alma-Ata: a systematic review of the impact of community health workers delivering curative interventions against malaria, pneumonia and diarrhoea on child mortality and morbidity in sub-Saharan Africa","type":"report"},"uris":["http://www.mendeley.com/documents/?uuid=12f5c980-95ce-3e50-aa2b-31e56ec94979"]},{"id":"ITEM-5","itemData":{"DOI":"10.1002/14651858.CD007754.pub3","ISSN":"14651858","author":[{"dropping-particle":"","family":"Lassi","given":"Zohra S","non-dropping-particle":"","parse-names":false,"suffix":""},{"dropping-particle":"","family":"Bhutta","given":"Zulfiqar A","non-dropping-particle":"","parse-names":false,"suffix":""}],"container-title":"Cochrane Database of Systematic Reviews","id":"ITEM-5","issue":"3","issued":{"date-parts":[["2015","3","23"]]},"publisher":"John Wiley &amp; Sons, Ltd","title":"Community-based intervention packages for reducing maternal and neonatal morbidity and mortality and improving neonatal outcomes","type":"article-journal"},"uris":["http://www.mendeley.com/documents/?uuid=490a179b-9b14-3aab-80ce-0c45b24e58af"]},{"id":"ITEM-6","itemData":{"DOI":"10.7189/jogh.04.020411","ISSN":"2047-2978","PMID":"25520801","abstract":"AIM To accelerate progress in reducing child mortality, many countries in sub-Saharan Africa have adopted and scaled-up integrated community case management (iCCM) programs targeting the three major infectious killers of children under-five. The programs train lay community health workers to assess, classify and treat uncomplicated cases of pneumonia with antibiotics, malaria with antimalarial drugs and diarrhea with Oral Rehydration Salts (ORS) and zinc. Although management of these conditions with the respective appropriate drugs has proven efficacious in randomized trials, the effectiveness of large iCCM scale-up programs in reducing child mortality is yet to be demonstrated. This paper reviews recent experience in documenting and attributing changes in under-five mortality to the specific interventions of a variety of iCCM programs. METHODS Eight recent studies have been identified and assessed in terms of design, mortality measurement and results. Impact of the iCCM program on mortality among children age 2-59 months was assessed through a difference in differences approach using random effect Poisson regression. RESULTS Designs used by these studies include cluster randomized trials, randomized stepped-wedge and quasi-experimental trials. Child mortality is measured through demographic surveillance or household survey with full birth history conducted at the end of program implementation. Six of the eight studies showed a higher decline in mortality among children 2-59 months in program areas compared to comparison areas, although this acceleration was statistically significant in only one study with a decline of 76% larger in intervention than in comparison areas. CONCLUSION Studies that evaluate large scale iCCM programs and include assessment of mortality impact must ensure an appropriate design. This includes required sample sizes and sufficient number of program and comparison districts that allow adequate inference and attribution of impact. In addition, large-scale program utilization, and a significant increase in coverage of care seeking and treatment of targeted childhood illnesses are preconditions to measurable mortality impact. Those issues need to be addressed before large investments in assessing changes in child mortality is undertaken, or the results of mortality impact evaluation will most likely be inconclusive.","author":[{"dropping-particle":"","family":"Amouzou","given":"Agbessi","non-dropping-particle":"","parse-names":false,"suffix":""},{"dropping-particle":"","family":"Morris","given":"Saul","non-dropping-particle":"","parse-names":false,"suffix":""},{"dropping-particle":"","family":"Moulton","given":"Lawrence H","non-dropping-particle":"","parse-names":false,"suffix":""},{"dropping-particle":"","family":"Mukanga","given":"David","non-dropping-particle":"","parse-names":false,"suffix":""}],"container-title":"Journal of global health","id":"ITEM-6","issue":"2","issued":{"date-parts":[["2014","12"]]},"page":"020411","publisher":"Centre for Reviews and Dissemination (UK)","title":"Assessing the impact of integrated community case management (iCCM) programs on child mortality: Review of early results and lessons learned in sub-Saharan Africa.","type":"article-journal","volume":"4"},"uris":["http://www.mendeley.com/documents/?uuid=8a85c597-2262-3704-80b6-d08bcecdb992"]},{"id":"ITEM-7","itemData":{"DOI":"10.2471/BLT.09.069369","ISSN":"1564-0604","PMID":"20865070","abstract":"OBJECTIVE To determine whether home visits for neonatal care by community health workers can reduce infant and neonatal deaths and stillbirths in resource-limited settings. METHODS We conducted a systematic review up to 2008 of controlled trials comparing various intervention packages, one of them being home visits for neonatal care by community health workers. We performed meta-analysis to calculate the pooled risk of outcomes. FINDINGS Five trials, all from south Asia, satisfied the inclusion criteria. The intervention packages included in them comprised antenatal home visits (all trials), home visits during the neonatal period (all trials), home-based treatment for illness (3 trials) and community mobilization efforts (4 trials). Meta-analysis showed a reduced risk of neonatal death (relative risk, RR: 0.62; 95% confidence interval, CI: 0.44-0.87) and stillbirth (RR: 0.76; 95% CI: 0.65-0.89), and a significant improvement in antenatal and neonatal practice indicators (&gt; 1 antenatal check-up, 2 doses of maternal tetanus toxoid, clean umbilical cord care, early breastfeeding and delayed bathing). Only one trial recorded infant deaths (RR: 0.41; 0.30-0.57). Subgroup analyses suggested a greater survival benefit when home visit coverage was ≥ 50% (P &lt; 0.001) and when both preventive and curative interventions (injectable antibiotics) were conducted (P = 0.088). CONCLUSION Home visits for antenatal and neonatal care, together with community mobilization activities, are associated with reduced neonatal mortality and stillbirths in southern Asian settings with high neonatal mortality and poor access to facility-based health care.","author":[{"dropping-particle":"","family":"Gogia","given":"Siddhartha","non-dropping-particle":"","parse-names":false,"suffix":""},{"dropping-particle":"","family":"Sachdev","given":"Harshpal Singh","non-dropping-particle":"","parse-names":false,"suffix":""}],"container-title":"Bulletin of the World Health Organization","id":"ITEM-7","issue":"9","issued":{"date-parts":[["2010","9","1"]]},"page":"658-666B","publisher":"World Health Organization","title":"Home visits by community health workers to prevent neonatal deaths in developing countries: a systematic review.","type":"article-journal","volume":"88"},"uris":["http://www.mendeley.com/documents/?uuid=592aa1d0-72af-34fe-acd4-399155b15e47"]},{"id":"ITEM-8","itemData":{"DOI":"10.1038/jp.2016.33","ISSN":"1476-5543","PMID":"27109093","abstract":"The objective of this review is to assess the effect of home-based neonatal care provided by community health workers (CHWs) for preventing neonatal, infant and perinatal mortality in resource-limited settings with poor access to health facility-based care. The authors conducted a systematic review, including meta-analysis and meta-regression of controlled trials. The data sources included electronic databases, with a hand search of reviews, abstracts and proceedings of conferences to search for randomized, or cluster randomized, controlled trials evaluating the effect of home-based neonatal care provided by CHWs for preventing neonatal, infant and perinatal mortality. Among the included trials, all from South Asian countries, information on neonatal, infant and perinatal mortality was available in five, one and three trials, respectively. The intervention package comprised three components, namely, home visits during pregnancy (four trials), home-based preventive and/or curative neonatal care (all trials) and community mobilization efforts (four trials). Intervention was associated with a reduced risk of mortality during the neonatal (random effects model relative risk (RR) 0.75; 95% confidence intervals (CIs) 0.61 to 0.92, P=0.005; I(2)=82.2%, P&lt;0.001 for heterogeneity; high-quality evidence) and perinatal periods (random effects model RR 0.78; 95% CI 0.64 to 0.94, P=0.009; I(2)=79.6%, P=0.007 for heterogeneity; high-quality evidence). In one trial, a significant decline in infant mortality (RR 0.85; 95% CI 0.77 to 0.94) was documented. Subgroup and meta-regression analyses suggested a greater effect with a higher baseline neonatal mortality rate. The authors concluded that home-based neonatal care is associated with a reduction in neonatal and perinatal mortality in South Asian settings with high neonatal-mortality rates and poor access to health facility-based care. Adoption of a policy of home-based neonatal care provided by CHWs is justified in such settings.","author":[{"dropping-particle":"","family":"Gogia","given":"S","non-dropping-particle":"","parse-names":false,"suffix":""},{"dropping-particle":"","family":"Sachdev","given":"H P S","non-dropping-particle":"","parse-names":false,"suffix":""}],"container-title":"Journal of perinatology : official journal of the California Perinatal Association","id":"ITEM-8","issue":"Suppl 1","issued":{"date-parts":[["2016"]]},"page":"S55-73","publisher":"Nature Publishing Group","title":"Home-based neonatal care by community health workers for preventing mortality in neonates in low- and middle-income countries: a systematic review.","type":"article-journal","volume":"36 Suppl 1"},"uris":["http://www.mendeley.com/documents/?uuid=3263075a-ec22-3ce2-830c-7d5493043792"]},{"id":"ITEM-9","itemData":{"DOI":"10.1093/heapol/czt026","ISSN":"0268-1080","author":[{"dropping-particle":"","family":"Dawson","given":"A. J.","non-dropping-particle":"","parse-names":false,"suffix":""},{"dropping-particle":"","family":"Buchan","given":"J.","non-dropping-particle":"","parse-names":false,"suffix":""},{"dropping-particle":"","family":"Duffield","given":"C.","non-dropping-particle":"","parse-names":false,"suffix":""},{"dropping-particle":"","family":"Homer","given":"C. S. E.","non-dropping-particle":"","parse-names":false,"suffix":""},{"dropping-particle":"","family":"Wijewardena","given":"K.","non-dropping-particle":"","parse-names":false,"suffix":""}],"container-title":"Health Policy and Planning","id":"ITEM-9","issue":"3","issued":{"date-parts":[["2014","5","1"]]},"page":"396-408","publisher":"Oxford University Press","title":"Task shifting and sharing in maternal and reproductive health in low-income countries: a narrative synthesis of current evidence","type":"article-journal","volume":"29"},"uris":["http://www.mendeley.com/documents/?uuid=b39dfb2e-49c3-33ff-8254-a3f338f72a27"]},{"id":"ITEM-10","itemData":{"DOI":"10.1097/QAD.0000000000001101","ISSN":"1473-5571","PMID":"27058350","abstract":"OBJECTIVE To synthesize qualitative evidence on linkage to care interventions for people living with HIV. DESIGN Systematic literature review. METHODS We searched 19 databases for studies reporting qualitative evidence on linkage interventions. Data extraction and thematic analysis were used to synthesize findings. Quality was assessed using the Critical Appraisal Skills Programme tool and certainty of evidence was evaluated using the Confidence in the Evidence from Reviews of Qualitative Research approach. RESULTS Twenty-five studies from 11 countries focused on adults (24 studies), adolescents (eight studies), and pregnant women (four studies). Facilitators included community-level factors (i.e., task shifting, mobile outreach, integrated HIV, and primary services, supportive cessation programs for substance users, active referrals, and dedicated case management teams), and individual-level factors (encouragement of peers/family and positive interactions with healthcare providers in transitioning into care). One key barrier for people living with HIV was perceived inability of providers to ensure confidentiality as part of linkage to care interventions. Providers reported difficulties navigating procedures across disparate facilities and having limited resources for linkage to care interventions. CONCLUSION Our findings extend the literature by highlighting the importance of task-shifting, mobile outreach, integrated HIV, and primary care services. Both community and individual-level factors may increase the feasibility and acceptability of HIV linkage to care interventions. These findings may inform policies to increase the reach of HIV services available in communities.","author":[{"dropping-particle":"","family":"Tso","given":"Lai Sze","non-dropping-particle":"","parse-names":false,"suffix":""},{"dropping-particle":"","family":"Best","given":"John","non-dropping-particle":"","parse-names":false,"suffix":""},{"dropping-particle":"","family":"Beanland","given":"Rachel","non-dropping-particle":"","parse-names":false,"suffix":""},{"dropping-particle":"","family":"Doherty","given":"Meg","non-dropping-particle":"","parse-names":false,"suffix":""},{"dropping-particle":"","family":"Lackey","given":"Mellanye","non-dropping-particle":"","parse-names":false,"suffix":""},{"dropping-particle":"","family":"Ma","given":"Qingyan","non-dropping-particle":"","parse-names":false,"suffix":""},{"dropping-particle":"","family":"Hall","given":"Brian J","non-dropping-particle":"","parse-names":false,"suffix":""},{"dropping-particle":"","family":"Yang","given":"Bin","non-dropping-particle":"","parse-names":false,"suffix":""},{"dropping-particle":"","family":"Tucker","given":"Joseph D","non-dropping-particle":"","parse-names":false,"suffix":""}],"container-title":"AIDS (London, England)","id":"ITEM-10","issue":"10","issued":{"date-parts":[["2016"]]},"page":"1639-53","publisher":"NIH Public Access","title":"Facilitators and barriers in HIV linkage to care interventions: a qualitative evidence review.","type":"article-journal","volume":"30"},"uris":["http://www.mendeley.com/documents/?uuid=124ef7b3-9f4c-3c10-b348-03d1cde90df7"]}],"mendeley":{"formattedCitation":"(11,19–27)","plainTextFormattedCitation":"(11,19–27)","previouslyFormattedCitation":"(11,19,20,22–27,34)"},"properties":{"noteIndex":0},"schema":"https://github.com/citation-style-language/schema/raw/master/csl-citation.json"}</w:instrText>
            </w:r>
            <w:r w:rsidRPr="00D10856">
              <w:rPr>
                <w:rFonts w:ascii="Arial" w:hAnsi="Arial" w:cs="Arial"/>
                <w:i/>
                <w:sz w:val="20"/>
                <w:szCs w:val="20"/>
              </w:rPr>
              <w:fldChar w:fldCharType="separate"/>
            </w:r>
            <w:r w:rsidR="00902B77" w:rsidRPr="00902B77">
              <w:rPr>
                <w:rFonts w:ascii="Arial" w:eastAsia="Arial" w:hAnsi="Arial" w:cs="Arial"/>
                <w:iCs/>
                <w:noProof/>
                <w:sz w:val="20"/>
                <w:szCs w:val="20"/>
                <w:bdr w:val="nil"/>
                <w:lang w:val="fr-FR"/>
              </w:rPr>
              <w:t>(11,19–27)</w:t>
            </w:r>
            <w:r w:rsidRPr="00D10856">
              <w:rPr>
                <w:rFonts w:ascii="Arial" w:hAnsi="Arial" w:cs="Arial"/>
                <w:i/>
                <w:sz w:val="20"/>
                <w:szCs w:val="20"/>
              </w:rPr>
              <w:fldChar w:fldCharType="end"/>
            </w:r>
          </w:p>
          <w:p w:rsidR="0044028E" w:rsidRPr="00D10856" w:rsidRDefault="0044028E" w:rsidP="008A1F00">
            <w:pPr>
              <w:pStyle w:val="NoSpacing"/>
              <w:spacing w:line="240" w:lineRule="auto"/>
              <w:rPr>
                <w:rFonts w:ascii="Arial" w:hAnsi="Arial" w:cs="Arial"/>
                <w:sz w:val="20"/>
                <w:szCs w:val="20"/>
                <w:lang w:val="fr-FR"/>
              </w:rPr>
            </w:pPr>
          </w:p>
          <w:p w:rsidR="0044028E" w:rsidRPr="00D10856" w:rsidRDefault="0044028E" w:rsidP="008A1F00">
            <w:pPr>
              <w:pStyle w:val="NoSpacing"/>
              <w:spacing w:line="240" w:lineRule="auto"/>
              <w:rPr>
                <w:rFonts w:ascii="Arial" w:hAnsi="Arial" w:cs="Arial"/>
                <w:sz w:val="20"/>
                <w:szCs w:val="20"/>
                <w:lang w:val="fr-FR"/>
              </w:rPr>
            </w:pPr>
          </w:p>
        </w:tc>
        <w:tc>
          <w:tcPr>
            <w:tcW w:w="3079" w:type="pct"/>
            <w:tcBorders>
              <w:top w:val="single" w:sz="4" w:space="0" w:color="auto"/>
              <w:bottom w:val="single" w:sz="4" w:space="0" w:color="auto"/>
            </w:tcBorders>
          </w:tcPr>
          <w:p w:rsidR="0044028E" w:rsidRPr="000614A5" w:rsidRDefault="0044028E" w:rsidP="008A1F00">
            <w:pPr>
              <w:pStyle w:val="NoSpacing"/>
              <w:numPr>
                <w:ilvl w:val="0"/>
                <w:numId w:val="45"/>
              </w:numPr>
              <w:spacing w:line="240" w:lineRule="auto"/>
              <w:rPr>
                <w:rFonts w:ascii="Arial" w:hAnsi="Arial" w:cs="Arial"/>
                <w:sz w:val="20"/>
                <w:szCs w:val="20"/>
                <w:lang w:val="fr-FR"/>
              </w:rPr>
            </w:pPr>
            <w:r w:rsidRPr="000614A5">
              <w:rPr>
                <w:rFonts w:ascii="Arial" w:eastAsia="Arial" w:hAnsi="Arial" w:cs="Arial"/>
                <w:sz w:val="20"/>
                <w:szCs w:val="20"/>
                <w:bdr w:val="nil"/>
                <w:lang w:val="fr-FR"/>
              </w:rPr>
              <w:t xml:space="preserve">Sélection des candidats dans la communauté par la direction locale, </w:t>
            </w:r>
            <w:r w:rsidR="00122E24" w:rsidRPr="000614A5">
              <w:rPr>
                <w:rFonts w:ascii="Arial" w:eastAsia="Arial" w:hAnsi="Arial" w:cs="Arial"/>
                <w:sz w:val="20"/>
                <w:szCs w:val="20"/>
                <w:bdr w:val="nil"/>
                <w:lang w:val="fr-FR"/>
              </w:rPr>
              <w:t>l</w:t>
            </w:r>
            <w:r w:rsidR="00122E24">
              <w:rPr>
                <w:rFonts w:ascii="Arial" w:eastAsia="Arial" w:hAnsi="Arial" w:cs="Arial"/>
                <w:sz w:val="20"/>
                <w:szCs w:val="20"/>
                <w:bdr w:val="nil"/>
                <w:lang w:val="fr-FR"/>
              </w:rPr>
              <w:t>a formation sanitaire</w:t>
            </w:r>
            <w:r w:rsidRPr="000614A5">
              <w:rPr>
                <w:rFonts w:ascii="Arial" w:eastAsia="Arial" w:hAnsi="Arial" w:cs="Arial"/>
                <w:sz w:val="20"/>
                <w:szCs w:val="20"/>
                <w:bdr w:val="nil"/>
                <w:lang w:val="fr-FR"/>
              </w:rPr>
              <w:t xml:space="preserve"> et le personnel de SI.</w:t>
            </w:r>
          </w:p>
          <w:p w:rsidR="0044028E" w:rsidRPr="000614A5" w:rsidRDefault="0044028E" w:rsidP="008A1F00">
            <w:pPr>
              <w:pStyle w:val="NoSpacing"/>
              <w:numPr>
                <w:ilvl w:val="0"/>
                <w:numId w:val="45"/>
              </w:numPr>
              <w:spacing w:line="240" w:lineRule="auto"/>
              <w:rPr>
                <w:rFonts w:ascii="Arial" w:hAnsi="Arial" w:cs="Arial"/>
                <w:sz w:val="20"/>
                <w:szCs w:val="20"/>
                <w:lang w:val="fr-FR"/>
              </w:rPr>
            </w:pPr>
            <w:r w:rsidRPr="000614A5">
              <w:rPr>
                <w:rFonts w:ascii="Arial" w:eastAsia="Arial" w:hAnsi="Arial" w:cs="Arial"/>
                <w:sz w:val="20"/>
                <w:szCs w:val="20"/>
                <w:bdr w:val="nil"/>
                <w:lang w:val="fr-FR"/>
              </w:rPr>
              <w:t>Préférence accordée aux résidents de sexe féminin qui répondent aux critères de sélection (certain niveau d’</w:t>
            </w:r>
            <w:r w:rsidR="00B469A5" w:rsidRPr="000614A5">
              <w:rPr>
                <w:rFonts w:ascii="Arial" w:eastAsia="Arial" w:hAnsi="Arial" w:cs="Arial"/>
                <w:sz w:val="20"/>
                <w:szCs w:val="20"/>
                <w:bdr w:val="nil"/>
                <w:lang w:val="fr-FR"/>
              </w:rPr>
              <w:t>alphabétisation, résultats</w:t>
            </w:r>
            <w:r w:rsidRPr="000614A5">
              <w:rPr>
                <w:rFonts w:ascii="Arial" w:eastAsia="Arial" w:hAnsi="Arial" w:cs="Arial"/>
                <w:sz w:val="20"/>
                <w:szCs w:val="20"/>
                <w:bdr w:val="nil"/>
                <w:lang w:val="fr-FR"/>
              </w:rPr>
              <w:t xml:space="preserve"> pré-</w:t>
            </w:r>
            <w:r w:rsidR="00CB6398">
              <w:rPr>
                <w:rFonts w:ascii="Arial" w:eastAsia="Arial" w:hAnsi="Arial" w:cs="Arial"/>
                <w:sz w:val="20"/>
                <w:szCs w:val="20"/>
                <w:bdr w:val="nil"/>
                <w:lang w:val="fr-FR"/>
              </w:rPr>
              <w:t xml:space="preserve"> et post-test, compétences connexes</w:t>
            </w:r>
            <w:r w:rsidRPr="000614A5">
              <w:rPr>
                <w:rFonts w:ascii="Arial" w:eastAsia="Arial" w:hAnsi="Arial" w:cs="Arial"/>
                <w:sz w:val="20"/>
                <w:szCs w:val="20"/>
                <w:bdr w:val="nil"/>
                <w:lang w:val="fr-FR"/>
              </w:rPr>
              <w:t xml:space="preserve"> prouvées). </w:t>
            </w:r>
          </w:p>
          <w:p w:rsidR="0044028E" w:rsidRPr="000614A5" w:rsidRDefault="0044028E" w:rsidP="008A1F00">
            <w:pPr>
              <w:pStyle w:val="NoSpacing"/>
              <w:numPr>
                <w:ilvl w:val="0"/>
                <w:numId w:val="45"/>
              </w:numPr>
              <w:spacing w:line="240" w:lineRule="auto"/>
              <w:rPr>
                <w:rFonts w:ascii="Arial" w:hAnsi="Arial" w:cs="Arial"/>
                <w:sz w:val="20"/>
                <w:szCs w:val="20"/>
                <w:lang w:val="fr-FR"/>
              </w:rPr>
            </w:pPr>
            <w:r w:rsidRPr="000614A5">
              <w:rPr>
                <w:rFonts w:ascii="Arial" w:eastAsia="Arial" w:hAnsi="Arial" w:cs="Arial"/>
                <w:sz w:val="20"/>
                <w:szCs w:val="20"/>
                <w:bdr w:val="nil"/>
                <w:lang w:val="fr-FR"/>
              </w:rPr>
              <w:t>Formation de 23 jours en PCIME-C, santé maternelle et en conseil et dépistage du VIH, réalisée par le MS et le personnel de SI avant la prise de service</w:t>
            </w:r>
            <w:r w:rsidR="00FD3DDA">
              <w:rPr>
                <w:rFonts w:ascii="Arial" w:eastAsia="Arial" w:hAnsi="Arial" w:cs="Arial"/>
                <w:sz w:val="20"/>
                <w:szCs w:val="20"/>
                <w:bdr w:val="nil"/>
                <w:lang w:val="fr-FR"/>
              </w:rPr>
              <w:t> </w:t>
            </w:r>
            <w:r w:rsidRPr="000614A5">
              <w:rPr>
                <w:rFonts w:ascii="Arial" w:eastAsia="Arial" w:hAnsi="Arial" w:cs="Arial"/>
                <w:sz w:val="20"/>
                <w:szCs w:val="20"/>
                <w:bdr w:val="nil"/>
                <w:lang w:val="fr-FR"/>
              </w:rPr>
              <w:t>;</w:t>
            </w:r>
          </w:p>
          <w:p w:rsidR="0044028E" w:rsidRPr="000614A5" w:rsidRDefault="0044028E" w:rsidP="008A1F00">
            <w:pPr>
              <w:pStyle w:val="NoSpacing"/>
              <w:numPr>
                <w:ilvl w:val="0"/>
                <w:numId w:val="45"/>
              </w:numPr>
              <w:spacing w:line="240" w:lineRule="auto"/>
              <w:rPr>
                <w:rFonts w:ascii="Arial" w:hAnsi="Arial" w:cs="Arial"/>
                <w:sz w:val="20"/>
                <w:szCs w:val="20"/>
                <w:lang w:val="fr-FR"/>
              </w:rPr>
            </w:pPr>
            <w:r w:rsidRPr="000614A5">
              <w:rPr>
                <w:rFonts w:ascii="Arial" w:eastAsia="Arial" w:hAnsi="Arial" w:cs="Arial"/>
                <w:sz w:val="20"/>
                <w:szCs w:val="20"/>
                <w:bdr w:val="nil"/>
                <w:lang w:val="fr-FR"/>
              </w:rPr>
              <w:t>Formation de cinq jours sur le terrain dans le domaine de la planification familiale et du conseil par le MS et le personnel de SI.</w:t>
            </w:r>
          </w:p>
          <w:p w:rsidR="0044028E" w:rsidRPr="000614A5" w:rsidRDefault="0044028E" w:rsidP="008A1F00">
            <w:pPr>
              <w:pStyle w:val="NoSpacing"/>
              <w:numPr>
                <w:ilvl w:val="0"/>
                <w:numId w:val="45"/>
              </w:numPr>
              <w:spacing w:line="240" w:lineRule="auto"/>
              <w:rPr>
                <w:rFonts w:ascii="Arial" w:hAnsi="Arial" w:cs="Arial"/>
                <w:sz w:val="20"/>
                <w:szCs w:val="20"/>
                <w:lang w:val="fr-FR"/>
              </w:rPr>
            </w:pPr>
            <w:r w:rsidRPr="000614A5">
              <w:rPr>
                <w:rFonts w:ascii="Arial" w:eastAsia="Arial" w:hAnsi="Arial" w:cs="Arial"/>
                <w:sz w:val="20"/>
                <w:szCs w:val="20"/>
                <w:bdr w:val="nil"/>
                <w:lang w:val="fr-FR"/>
              </w:rPr>
              <w:t>Tous les supports de formation ont été élaborés en collaboration avec le MS, sont basés s</w:t>
            </w:r>
            <w:r w:rsidR="00CB6398">
              <w:rPr>
                <w:rFonts w:ascii="Arial" w:eastAsia="Arial" w:hAnsi="Arial" w:cs="Arial"/>
                <w:sz w:val="20"/>
                <w:szCs w:val="20"/>
                <w:bdr w:val="nil"/>
                <w:lang w:val="fr-FR"/>
              </w:rPr>
              <w:t>ur les directives nationales/internation</w:t>
            </w:r>
            <w:r w:rsidRPr="000614A5">
              <w:rPr>
                <w:rFonts w:ascii="Arial" w:eastAsia="Arial" w:hAnsi="Arial" w:cs="Arial"/>
                <w:sz w:val="20"/>
                <w:szCs w:val="20"/>
                <w:bdr w:val="nil"/>
                <w:lang w:val="fr-FR"/>
              </w:rPr>
              <w:t>ales et sont fondés sur des données proban</w:t>
            </w:r>
            <w:r w:rsidR="00CB6398">
              <w:rPr>
                <w:rFonts w:ascii="Arial" w:eastAsia="Arial" w:hAnsi="Arial" w:cs="Arial"/>
                <w:sz w:val="20"/>
                <w:szCs w:val="20"/>
                <w:bdr w:val="nil"/>
                <w:lang w:val="fr-FR"/>
              </w:rPr>
              <w:t xml:space="preserve">tes fournies par l’Association Togolaise pour le </w:t>
            </w:r>
            <w:r w:rsidR="00B469A5">
              <w:rPr>
                <w:rFonts w:ascii="Arial" w:eastAsia="Arial" w:hAnsi="Arial" w:cs="Arial"/>
                <w:sz w:val="20"/>
                <w:szCs w:val="20"/>
                <w:bdr w:val="nil"/>
                <w:lang w:val="fr-FR"/>
              </w:rPr>
              <w:t>Bien-Être</w:t>
            </w:r>
            <w:r w:rsidR="00CB6398">
              <w:rPr>
                <w:rFonts w:ascii="Arial" w:eastAsia="Arial" w:hAnsi="Arial" w:cs="Arial"/>
                <w:sz w:val="20"/>
                <w:szCs w:val="20"/>
                <w:bdr w:val="nil"/>
                <w:lang w:val="fr-FR"/>
              </w:rPr>
              <w:t xml:space="preserve"> F</w:t>
            </w:r>
            <w:r w:rsidRPr="000614A5">
              <w:rPr>
                <w:rFonts w:ascii="Arial" w:eastAsia="Arial" w:hAnsi="Arial" w:cs="Arial"/>
                <w:sz w:val="20"/>
                <w:szCs w:val="20"/>
                <w:bdr w:val="nil"/>
                <w:lang w:val="fr-FR"/>
              </w:rPr>
              <w:t>amilial, Better Birth Project, Last Mile Health, Muso, Partners In Health.</w:t>
            </w:r>
          </w:p>
          <w:p w:rsidR="0044028E" w:rsidRPr="000614A5" w:rsidRDefault="0044028E" w:rsidP="008A1F00">
            <w:pPr>
              <w:pStyle w:val="NoSpacing"/>
              <w:numPr>
                <w:ilvl w:val="0"/>
                <w:numId w:val="45"/>
              </w:numPr>
              <w:spacing w:line="240" w:lineRule="auto"/>
              <w:rPr>
                <w:rFonts w:ascii="Arial" w:hAnsi="Arial" w:cs="Arial"/>
                <w:sz w:val="20"/>
                <w:szCs w:val="20"/>
                <w:lang w:val="fr-FR"/>
              </w:rPr>
            </w:pPr>
            <w:r w:rsidRPr="000614A5">
              <w:rPr>
                <w:rFonts w:ascii="Arial" w:eastAsia="Arial" w:hAnsi="Arial" w:cs="Arial"/>
                <w:sz w:val="20"/>
                <w:szCs w:val="20"/>
                <w:bdr w:val="nil"/>
                <w:lang w:val="fr-FR"/>
              </w:rPr>
              <w:t>Équipés en matériel (guides de formation, sac à dos, chronomètres, thermomètres, balances, dispositifs de mesure du tour de bras, tests rapides, traitement médical pour les cas basiques de PCIME-C, cahiers, stylos).</w:t>
            </w:r>
          </w:p>
          <w:p w:rsidR="0044028E" w:rsidRPr="000614A5" w:rsidRDefault="0044028E" w:rsidP="008A1F00">
            <w:pPr>
              <w:pStyle w:val="NoSpacing"/>
              <w:numPr>
                <w:ilvl w:val="0"/>
                <w:numId w:val="45"/>
              </w:numPr>
              <w:spacing w:line="240" w:lineRule="auto"/>
              <w:rPr>
                <w:rFonts w:ascii="Arial" w:hAnsi="Arial" w:cs="Arial"/>
                <w:sz w:val="20"/>
                <w:szCs w:val="20"/>
                <w:lang w:val="fr-FR"/>
              </w:rPr>
            </w:pPr>
            <w:r w:rsidRPr="000614A5">
              <w:rPr>
                <w:rFonts w:ascii="Arial" w:eastAsia="Arial" w:hAnsi="Arial" w:cs="Arial"/>
                <w:sz w:val="20"/>
                <w:szCs w:val="20"/>
                <w:bdr w:val="nil"/>
                <w:lang w:val="fr-FR"/>
              </w:rPr>
              <w:t>Consultations ASC</w:t>
            </w:r>
            <w:r w:rsidR="00CB6398">
              <w:rPr>
                <w:rFonts w:ascii="Arial" w:eastAsia="Arial" w:hAnsi="Arial" w:cs="Arial"/>
                <w:sz w:val="20"/>
                <w:szCs w:val="20"/>
                <w:bdr w:val="nil"/>
                <w:lang w:val="fr-FR"/>
              </w:rPr>
              <w:t>s</w:t>
            </w:r>
            <w:r w:rsidRPr="000614A5">
              <w:rPr>
                <w:rFonts w:ascii="Arial" w:eastAsia="Arial" w:hAnsi="Arial" w:cs="Arial"/>
                <w:sz w:val="20"/>
                <w:szCs w:val="20"/>
                <w:bdr w:val="nil"/>
                <w:lang w:val="fr-FR"/>
              </w:rPr>
              <w:t>, recommandations, médicaments et matériel fournis gratuitement.</w:t>
            </w:r>
          </w:p>
          <w:p w:rsidR="0044028E" w:rsidRPr="000614A5" w:rsidRDefault="0044028E" w:rsidP="008A1F00">
            <w:pPr>
              <w:pStyle w:val="NoSpacing"/>
              <w:numPr>
                <w:ilvl w:val="0"/>
                <w:numId w:val="45"/>
              </w:numPr>
              <w:spacing w:line="240" w:lineRule="auto"/>
              <w:rPr>
                <w:rFonts w:ascii="Arial" w:hAnsi="Arial" w:cs="Arial"/>
                <w:sz w:val="20"/>
                <w:szCs w:val="20"/>
                <w:lang w:val="fr-FR"/>
              </w:rPr>
            </w:pPr>
            <w:r w:rsidRPr="000614A5">
              <w:rPr>
                <w:rFonts w:ascii="Arial" w:eastAsia="Arial" w:hAnsi="Arial" w:cs="Arial"/>
                <w:sz w:val="20"/>
                <w:szCs w:val="20"/>
                <w:bdr w:val="nil"/>
                <w:lang w:val="fr-FR"/>
              </w:rPr>
              <w:t>Supervision d’assistance avec parrainage et encadrement par des superviseurs de SI (infirmier</w:t>
            </w:r>
            <w:r w:rsidR="00122E24">
              <w:rPr>
                <w:rFonts w:ascii="Arial" w:eastAsia="Arial" w:hAnsi="Arial" w:cs="Arial"/>
                <w:sz w:val="20"/>
                <w:szCs w:val="20"/>
                <w:bdr w:val="nil"/>
                <w:lang w:val="fr-FR"/>
              </w:rPr>
              <w:t>s</w:t>
            </w:r>
            <w:r w:rsidRPr="000614A5">
              <w:rPr>
                <w:rFonts w:ascii="Arial" w:eastAsia="Arial" w:hAnsi="Arial" w:cs="Arial"/>
                <w:sz w:val="20"/>
                <w:szCs w:val="20"/>
                <w:bdr w:val="nil"/>
                <w:lang w:val="fr-FR"/>
              </w:rPr>
              <w:t>/assistants médicaux).</w:t>
            </w:r>
          </w:p>
          <w:p w:rsidR="0044028E" w:rsidRPr="000614A5" w:rsidRDefault="0044028E" w:rsidP="008A1F00">
            <w:pPr>
              <w:pStyle w:val="NoSpacing"/>
              <w:numPr>
                <w:ilvl w:val="0"/>
                <w:numId w:val="45"/>
              </w:numPr>
              <w:spacing w:line="240" w:lineRule="auto"/>
              <w:rPr>
                <w:rFonts w:ascii="Arial" w:hAnsi="Arial" w:cs="Arial"/>
                <w:sz w:val="20"/>
                <w:szCs w:val="20"/>
                <w:lang w:val="fr-FR"/>
              </w:rPr>
            </w:pPr>
            <w:r w:rsidRPr="000614A5">
              <w:rPr>
                <w:rFonts w:ascii="Arial" w:eastAsia="Arial" w:hAnsi="Arial" w:cs="Arial"/>
                <w:sz w:val="20"/>
                <w:szCs w:val="20"/>
                <w:bdr w:val="nil"/>
                <w:lang w:val="fr-FR"/>
              </w:rPr>
              <w:t>Contrôle régulier des prestations fournies par les ASC</w:t>
            </w:r>
            <w:r w:rsidR="00CB6398">
              <w:rPr>
                <w:rFonts w:ascii="Arial" w:eastAsia="Arial" w:hAnsi="Arial" w:cs="Arial"/>
                <w:sz w:val="20"/>
                <w:szCs w:val="20"/>
                <w:bdr w:val="nil"/>
                <w:lang w:val="fr-FR"/>
              </w:rPr>
              <w:t>s</w:t>
            </w:r>
            <w:r w:rsidRPr="000614A5">
              <w:rPr>
                <w:rFonts w:ascii="Arial" w:eastAsia="Arial" w:hAnsi="Arial" w:cs="Arial"/>
                <w:sz w:val="20"/>
                <w:szCs w:val="20"/>
                <w:bdr w:val="nil"/>
                <w:lang w:val="fr-FR"/>
              </w:rPr>
              <w:t>, effectué à l’aide des données de programmation régulières et des commentaires de la communauté.</w:t>
            </w:r>
          </w:p>
          <w:p w:rsidR="0044028E" w:rsidRPr="000614A5" w:rsidRDefault="0044028E" w:rsidP="008A1F00">
            <w:pPr>
              <w:pStyle w:val="NoSpacing"/>
              <w:numPr>
                <w:ilvl w:val="0"/>
                <w:numId w:val="45"/>
              </w:numPr>
              <w:spacing w:line="240" w:lineRule="auto"/>
              <w:rPr>
                <w:rFonts w:ascii="Arial" w:hAnsi="Arial" w:cs="Arial"/>
                <w:sz w:val="20"/>
                <w:szCs w:val="20"/>
                <w:lang w:val="fr-FR"/>
              </w:rPr>
            </w:pPr>
            <w:r w:rsidRPr="000614A5">
              <w:rPr>
                <w:rFonts w:ascii="Arial" w:eastAsia="Arial" w:hAnsi="Arial" w:cs="Arial"/>
                <w:sz w:val="20"/>
                <w:szCs w:val="20"/>
                <w:bdr w:val="nil"/>
                <w:lang w:val="fr-FR"/>
              </w:rPr>
              <w:t>Les ASC reçoivent un salaire régulier et équitable pour leur travail à temps plein via la recherche proactive de cas et le suivi.</w:t>
            </w:r>
          </w:p>
        </w:tc>
      </w:tr>
      <w:tr w:rsidR="0044028E" w:rsidRPr="002316CE" w:rsidTr="005336C5">
        <w:tc>
          <w:tcPr>
            <w:tcW w:w="192" w:type="pct"/>
            <w:tcBorders>
              <w:top w:val="single" w:sz="4" w:space="0" w:color="auto"/>
              <w:bottom w:val="single" w:sz="4" w:space="0" w:color="auto"/>
            </w:tcBorders>
          </w:tcPr>
          <w:p w:rsidR="0044028E" w:rsidRPr="00F87DFE" w:rsidRDefault="0044028E" w:rsidP="008A1F00">
            <w:pPr>
              <w:pStyle w:val="NoSpacing"/>
              <w:spacing w:line="240" w:lineRule="auto"/>
              <w:rPr>
                <w:rFonts w:ascii="Arial" w:hAnsi="Arial" w:cs="Arial"/>
                <w:sz w:val="20"/>
                <w:szCs w:val="20"/>
              </w:rPr>
            </w:pPr>
            <w:r w:rsidRPr="00F87DFE">
              <w:rPr>
                <w:rFonts w:ascii="Arial" w:eastAsia="Arial" w:hAnsi="Arial" w:cs="Arial"/>
                <w:sz w:val="20"/>
                <w:szCs w:val="20"/>
                <w:bdr w:val="nil"/>
                <w:lang w:val="fr-FR"/>
              </w:rPr>
              <w:t>4</w:t>
            </w:r>
            <w:r w:rsidR="005360F6">
              <w:rPr>
                <w:rFonts w:ascii="Arial" w:eastAsia="Arial" w:hAnsi="Arial" w:cs="Arial"/>
                <w:sz w:val="20"/>
                <w:szCs w:val="20"/>
                <w:bdr w:val="nil"/>
                <w:lang w:val="fr-FR"/>
              </w:rPr>
              <w:t>.</w:t>
            </w:r>
          </w:p>
        </w:tc>
        <w:tc>
          <w:tcPr>
            <w:tcW w:w="1729" w:type="pct"/>
            <w:tcBorders>
              <w:top w:val="single" w:sz="4" w:space="0" w:color="auto"/>
              <w:bottom w:val="single" w:sz="4" w:space="0" w:color="auto"/>
            </w:tcBorders>
          </w:tcPr>
          <w:p w:rsidR="0044028E" w:rsidRDefault="0044028E" w:rsidP="008A1F00">
            <w:pPr>
              <w:pStyle w:val="NoSpacing"/>
              <w:spacing w:line="240" w:lineRule="auto"/>
              <w:rPr>
                <w:rFonts w:ascii="Arial" w:eastAsia="Arial" w:hAnsi="Arial" w:cs="Arial"/>
                <w:sz w:val="20"/>
                <w:szCs w:val="20"/>
                <w:bdr w:val="nil"/>
                <w:lang w:val="fr-FR"/>
              </w:rPr>
            </w:pPr>
            <w:r w:rsidRPr="00F87DFE">
              <w:rPr>
                <w:rFonts w:ascii="Arial" w:eastAsia="Arial" w:hAnsi="Arial" w:cs="Arial"/>
                <w:sz w:val="20"/>
                <w:szCs w:val="20"/>
                <w:bdr w:val="nil"/>
                <w:lang w:val="fr-FR"/>
              </w:rPr>
              <w:t xml:space="preserve">Mentorat clinique et supervision </w:t>
            </w:r>
            <w:r w:rsidR="00122E24">
              <w:rPr>
                <w:rFonts w:ascii="Arial" w:eastAsia="Arial" w:hAnsi="Arial" w:cs="Arial"/>
                <w:sz w:val="20"/>
                <w:szCs w:val="20"/>
                <w:bdr w:val="nil"/>
                <w:lang w:val="fr-FR"/>
              </w:rPr>
              <w:t>soutien</w:t>
            </w:r>
            <w:r w:rsidR="00122E24" w:rsidRPr="00F87DFE">
              <w:rPr>
                <w:rFonts w:ascii="Arial" w:eastAsia="Arial" w:hAnsi="Arial" w:cs="Arial"/>
                <w:sz w:val="20"/>
                <w:szCs w:val="20"/>
                <w:bdr w:val="nil"/>
                <w:lang w:val="fr-FR"/>
              </w:rPr>
              <w:t xml:space="preserve"> </w:t>
            </w:r>
            <w:r w:rsidRPr="00F87DFE">
              <w:rPr>
                <w:rFonts w:ascii="Arial" w:eastAsia="Arial" w:hAnsi="Arial" w:cs="Arial"/>
                <w:sz w:val="20"/>
                <w:szCs w:val="20"/>
                <w:bdr w:val="nil"/>
                <w:lang w:val="fr-FR"/>
              </w:rPr>
              <w:t xml:space="preserve">par un superviseur de pairs formé dans des formations sanitaires du secteur public. </w:t>
            </w:r>
          </w:p>
          <w:p w:rsidR="006337DC" w:rsidRPr="00F87DFE" w:rsidRDefault="006337DC" w:rsidP="008A1F00">
            <w:pPr>
              <w:pStyle w:val="NoSpacing"/>
              <w:spacing w:line="240" w:lineRule="auto"/>
              <w:rPr>
                <w:rFonts w:ascii="Arial" w:hAnsi="Arial" w:cs="Arial"/>
                <w:sz w:val="20"/>
                <w:szCs w:val="20"/>
                <w:lang w:val="fr-FR"/>
              </w:rPr>
            </w:pPr>
          </w:p>
          <w:p w:rsidR="0044028E" w:rsidRPr="00F87DFE" w:rsidRDefault="0044028E" w:rsidP="008A1F00">
            <w:pPr>
              <w:pStyle w:val="NoSpacing"/>
              <w:spacing w:line="240" w:lineRule="auto"/>
              <w:rPr>
                <w:rFonts w:ascii="Arial" w:hAnsi="Arial" w:cs="Arial"/>
                <w:sz w:val="20"/>
                <w:szCs w:val="20"/>
                <w:lang w:val="fr-FR"/>
              </w:rPr>
            </w:pPr>
            <w:r w:rsidRPr="00F87DFE">
              <w:rPr>
                <w:rFonts w:ascii="Arial" w:eastAsia="Arial" w:hAnsi="Arial" w:cs="Arial"/>
                <w:i/>
                <w:iCs/>
                <w:sz w:val="20"/>
                <w:szCs w:val="20"/>
                <w:bdr w:val="nil"/>
                <w:lang w:val="fr-FR"/>
              </w:rPr>
              <w:t xml:space="preserve">Preuve : </w:t>
            </w:r>
            <w:r w:rsidRPr="00F87DFE">
              <w:rPr>
                <w:rFonts w:ascii="Arial" w:hAnsi="Arial" w:cs="Arial"/>
                <w:i/>
                <w:sz w:val="20"/>
                <w:szCs w:val="20"/>
              </w:rPr>
              <w:fldChar w:fldCharType="begin" w:fldLock="1"/>
            </w:r>
            <w:r w:rsidR="00356EBB">
              <w:rPr>
                <w:rFonts w:ascii="Arial" w:hAnsi="Arial" w:cs="Arial"/>
                <w:i/>
                <w:sz w:val="20"/>
                <w:szCs w:val="20"/>
              </w:rPr>
              <w:instrText>ADDIN CSL_CITATION {"citationItems":[{"id":"ITEM-1","itemData":{"DOI":"10.1186/1472-6963-13-S2-S8","ISBN":"9780309072809","ISSN":"14726963","PMID":"23819662","abstract":"BACKGROUND: Integrated into the work in health systems strengthening (HSS) is a growing focus on the importance of ensuring quality of the services delivered and systems which support them. Understanding how to define and measure quality in the different key World Health Organization building blocks is critical to providing the information needed to address gaps and identify models for replication.\\n\\nDESCRIPTION OF APPROACHES: We describe the approaches to defining and improving quality across the five country programs funded through the Doris Duke Charitable Foundation African Health Initiative. While each program has independently developed and implemented country-specific approaches to strengthening health systems, they all included quality of services and systems as a core principle. We describe the differences and similarities across the programs in defining and improving quality as an embedded process essential for HSS to achieve the goal of improved population health. The programs measured quality across most or all of the six WHO building blocks, with specific areas of overlap in improving quality falling into four main categories: 1) defining and measuring quality; 2) ensuring data quality, and building capacity for data use for decision making and response to quality measurements; 3) strengthened supportive supervision and/or mentoring; and 4) operational research to understand the factors associated with observed variation in quality.\\n\\nCONCLUSIONS: Learning the value and challenges of these approaches to measuring and improving quality across the key components of HSS as the projects continue their work will help inform similar efforts both now and in the future to ensure quality across the critical components of a health system and the impact on population health.","author":[{"dropping-particle":"","family":"Hirschhorn","given":"Lisa R.","non-dropping-particle":"","parse-names":false,"suffix":""},{"dropping-particle":"","family":"Baynes","given":"Colin","non-dropping-particle":"","parse-names":false,"suffix":""},{"dropping-particle":"","family":"Sherr","given":"Kenneth","non-dropping-particle":"","parse-names":false,"suffix":""},{"dropping-particle":"","family":"Chintu","given":"Namwinga","non-dropping-particle":"","parse-names":false,"suffix":""},{"dropping-particle":"","family":"Awoonor-Williams","given":"John Koku","non-dropping-particle":"","parse-names":false,"suffix":""},{"dropping-particle":"","family":"Finnegan","given":"Karen","non-dropping-particle":"","parse-names":false,"suffix":""},{"dropping-particle":"","family":"Philips","given":"James F.","non-dropping-particle":"","parse-names":false,"suffix":""},{"dropping-particle":"","family":"Anatole","given":"Manzi","non-dropping-particle":"","parse-names":false,"suffix":""},{"dropping-particle":"","family":"Bawah","given":"Ayaga A.","non-dropping-particle":"","parse-names":false,"suffix":""},{"dropping-particle":"","family":"Basinga","given":"Paulin","non-dropping-particle":"","parse-names":false,"suffix":""}],"container-title":"BMC Health Services Research","id":"ITEM-1","issue":"SUPPL.2","issued":{"date-parts":[["2013"]]},"title":"Approaches to ensuring and improving quality in the context of health system strengthening: A cross-site analysis of the five African Health Initiative Partnership programs","type":"article-journal","volume":"13"},"uris":["http://www.mendeley.com/documents/?uuid=7efb2483-d103-4d2e-b9d4-c2722ac08cca"]},{"id":"ITEM-2","itemData":{"DOI":"10.1186/1472-6963-14-275","author":[{"dropping-particle":"","family":"Manzi","given":"A.","non-dropping-particle":"","parse-names":false,"suffix":""},{"dropping-particle":"","family":"Magge","given":"H.L","non-dropping-particle":"","parse-names":false,"suffix":""},{"dropping-particle":"","family":"Hedt-Gauthier","given":"B.L","non-dropping-particle":"","parse-names":false,"suffix":""},{"dropping-particle":"","family":"Michaelis","given":"A.P.","non-dropping-particle":"","parse-names":false,"suffix":""},{"dropping-particle":"","family":"Cyamatare","given":"F.R.","non-dropping-particle":"","parse-names":false,"suffix":""},{"dropping-particle":"","family":"Nyirazinyoye","given":"L","non-dropping-particle":"","parse-names":false,"suffix":""}],"container-title":"BMC Health Services Research","id":"ITEM-2","issued":{"date-parts":[["2014"]]},"title":"Clinical mentorship to improve pediatric quality of care at the health centers in rural Rwanda: a qualitative study of perceptions and acceptability of health care workers. Hirschhorn LR, Ntaganira J.","type":"article-journal","volume":"14"},"uris":["http://www.mendeley.com/documents/?uuid=6fcfd7b9-286a-4021-8cf7-cc7b36512119"]},{"id":"ITEM-3","itemData":{"DOI":"10.1136/archdischild-2013-305863","ISSN":"14682044","PMID":"24819369","abstract":"OBJECTIVE: Integrated Management of Childhood Illness (IMCI) is the leading clinical protocol designed to decrease under-five mortality globally. However, impact is threatened by gaps in IMCI quality of care (QOC). In 2010, Partners In Health and the Rwanda Ministry of Health implemented a nurse mentorship intervention Mentoring and Enhanced Supervision at Health Centres (MESH) in two rural districts. This study measures change in QOC following the addition of MESH to didactic training.\\n\\nDESIGN: Prepost intervention study of change in QOC after 12 months of MESH support measured by case observation using a standardised checklist. Study sample was children age 2 months to 5 years presenting on the days of data collection (292 baseline, 413 endpoint).\\n\\nSETTING: 21 rural health centres in Rwanda.\\n\\nOUTCOMES: Primary outcome was a validated index of key IMCI assessments. Secondary outcomes included assessment, classification and treatment indicators, and QOC variability across providers. A mixed-effects regression model of the index was created.\\n\\nRESULTS: In multivariate analyses, the index significantly improved in southern Kayonza (β-coefficient 0.17, 95% CI 0.12 to 0.22) and Kirehe (β-coefficient 0.29, 95% CI 0.23 to 0.34) districts. Children seen by IMCI-trained nurses increased from 83.2% to 100% (p&lt;0.001) and use of IMCI case recording forms improved from 65.9% to 97.1% (p&lt;0.001). Correct classification improved (56.0% to 91.5%, p&lt;0.001), as did correct treatment (78.3% to 98.2%, p&lt;0.001). Variability in QOC decreased (intracluster correlation coefficient 0.613-0.346).\\n\\nCONCLUSIONS: MESH was associated with significant improvements in all domains of IMCI quality. MESH could be an innovative strategy to improve IMCI implementation in resource-limited settings working to decrease under-five mortality.","author":[{"dropping-particle":"","family":"Magge","given":"Hema","non-dropping-particle":"","parse-names":false,"suffix":""},{"dropping-particle":"","family":"Anatole","given":"Manzi","non-dropping-particle":"","parse-names":false,"suffix":""},{"</w:instrText>
            </w:r>
            <w:r w:rsidR="00356EBB" w:rsidRPr="00B13189">
              <w:rPr>
                <w:rFonts w:ascii="Arial" w:hAnsi="Arial" w:cs="Arial"/>
                <w:i/>
                <w:sz w:val="20"/>
                <w:szCs w:val="20"/>
                <w:lang w:val="fr-FR"/>
              </w:rPr>
              <w:instrText>dropping-particle":"","family":"Cyamatare","given":"Felix Rwabukwisi","non-dropping-particle":"","parse-names":false,"suffix":""},{"dropping-particle":"","family":"Mezzacappa","given":"Catherine","non-dropping-particle":"","parse-names":false,"suffix":""},{"dropping-particle":"","family":"Nkikabahizi","given":"Fulgence","non-dropping-particle":"","parse-names":false,"suffix":""},{"dropping-particle":"","family":"Niyonzima","given":"Saleh","non-dropping-particle":"","parse-names":false,"suffix":""},{"dropping-particle":"","family":"Drobac","given":"Peter C.","non-dropping-particle":"","parse-names":false,"suffix":""},{"dropping-particle":"","family":"Ngabo","given":"Fidele","non-dropping-particle":"","parse-names":false,"suffix":""},{"dropping-particle":"","family":"Hirschhorn","given":"Lisa R.","non-dropping-particle":"","parse-names":false,"suffix":""}],"container-title":"Archives of Disease in Childhood","id":"ITEM-3","issue":"6","issued":{"date-parts":[["2015"]]},"page":"565-570","title":"Mentoring and quality improvement strengthen integrated management of childhood illness implementation in rural Rwanda","type":"article-journal","volume":"100"},"uris":["http://www.mendeley.com/documents/?uuid=3e02ecda-ce1a-4f12-b98e-8f9c1e45a5ee"]}],"mendeley":{"formattedCitation":"(28–30)","plainTextFormattedCitation":"(28–30)","previouslyFormattedCitation":"(28–30)"},"properties":{"noteIndex":0},"schema":"https://github.com/citation-style-language/schema/raw/master/csl-citation.json"}</w:instrText>
            </w:r>
            <w:r w:rsidRPr="00F87DFE">
              <w:rPr>
                <w:rFonts w:ascii="Arial" w:hAnsi="Arial" w:cs="Arial"/>
                <w:i/>
                <w:sz w:val="20"/>
                <w:szCs w:val="20"/>
              </w:rPr>
              <w:fldChar w:fldCharType="separate"/>
            </w:r>
            <w:r w:rsidR="007363DC" w:rsidRPr="007363DC">
              <w:rPr>
                <w:rFonts w:ascii="Arial" w:eastAsia="Arial" w:hAnsi="Arial" w:cs="Arial"/>
                <w:iCs/>
                <w:noProof/>
                <w:sz w:val="20"/>
                <w:szCs w:val="20"/>
                <w:bdr w:val="nil"/>
                <w:lang w:val="fr-FR"/>
              </w:rPr>
              <w:t>(28–30)</w:t>
            </w:r>
            <w:r w:rsidRPr="00F87DFE">
              <w:rPr>
                <w:rFonts w:ascii="Arial" w:hAnsi="Arial" w:cs="Arial"/>
                <w:i/>
                <w:sz w:val="20"/>
                <w:szCs w:val="20"/>
              </w:rPr>
              <w:fldChar w:fldCharType="end"/>
            </w:r>
          </w:p>
        </w:tc>
        <w:tc>
          <w:tcPr>
            <w:tcW w:w="3079" w:type="pct"/>
            <w:tcBorders>
              <w:top w:val="single" w:sz="4" w:space="0" w:color="auto"/>
              <w:bottom w:val="single" w:sz="4" w:space="0" w:color="auto"/>
            </w:tcBorders>
          </w:tcPr>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 xml:space="preserve">Formation de quatre jours sur le terrain avant la prise de service dans le domaine de la santé maternelle, sexuelle, néonatale et infantile, ainsi qu’en lien avec le VIH, réalisée par un </w:t>
            </w:r>
            <w:r w:rsidR="00D10856">
              <w:rPr>
                <w:rFonts w:ascii="Arial" w:eastAsia="Arial" w:hAnsi="Arial" w:cs="Arial"/>
                <w:sz w:val="20"/>
                <w:szCs w:val="20"/>
                <w:bdr w:val="nil"/>
                <w:lang w:val="fr-FR"/>
              </w:rPr>
              <w:t>mentorat clinique</w:t>
            </w:r>
            <w:r w:rsidRPr="00F87DFE">
              <w:rPr>
                <w:rFonts w:ascii="Arial" w:eastAsia="Arial" w:hAnsi="Arial" w:cs="Arial"/>
                <w:sz w:val="20"/>
                <w:szCs w:val="20"/>
                <w:bdr w:val="nil"/>
                <w:lang w:val="fr-FR"/>
              </w:rPr>
              <w:t xml:space="preserve"> (infirmier/assistant médical) et un directeur médical</w:t>
            </w:r>
            <w:r w:rsidR="00D10856">
              <w:rPr>
                <w:rFonts w:ascii="Arial" w:eastAsia="Arial" w:hAnsi="Arial" w:cs="Arial"/>
                <w:sz w:val="20"/>
                <w:szCs w:val="20"/>
                <w:bdr w:val="nil"/>
                <w:lang w:val="fr-FR"/>
              </w:rPr>
              <w:t xml:space="preserve"> (médecin)</w:t>
            </w:r>
            <w:r w:rsidRPr="00F87DFE">
              <w:rPr>
                <w:rFonts w:ascii="Arial" w:eastAsia="Arial" w:hAnsi="Arial" w:cs="Arial"/>
                <w:sz w:val="20"/>
                <w:szCs w:val="20"/>
                <w:bdr w:val="nil"/>
                <w:lang w:val="fr-FR"/>
              </w:rPr>
              <w:t>.</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Supports de formation élaborés en collaboration avec le MS, basés sur les</w:t>
            </w:r>
            <w:r w:rsidR="00CB6398">
              <w:rPr>
                <w:rFonts w:ascii="Arial" w:eastAsia="Arial" w:hAnsi="Arial" w:cs="Arial"/>
                <w:sz w:val="20"/>
                <w:szCs w:val="20"/>
                <w:bdr w:val="nil"/>
                <w:lang w:val="fr-FR"/>
              </w:rPr>
              <w:t xml:space="preserve"> directives nationales/internationales</w:t>
            </w:r>
            <w:r w:rsidRPr="00F87DFE">
              <w:rPr>
                <w:rFonts w:ascii="Arial" w:eastAsia="Arial" w:hAnsi="Arial" w:cs="Arial"/>
                <w:sz w:val="20"/>
                <w:szCs w:val="20"/>
                <w:bdr w:val="nil"/>
                <w:lang w:val="fr-FR"/>
              </w:rPr>
              <w:t xml:space="preserve"> et fondés sur des données probantes fournies par l’OMS, l’American </w:t>
            </w:r>
            <w:r w:rsidRPr="00F87DFE">
              <w:rPr>
                <w:rFonts w:ascii="Arial" w:eastAsia="Arial" w:hAnsi="Arial" w:cs="Arial"/>
                <w:sz w:val="20"/>
                <w:szCs w:val="20"/>
                <w:bdr w:val="nil"/>
                <w:lang w:val="fr-FR"/>
              </w:rPr>
              <w:lastRenderedPageBreak/>
              <w:t xml:space="preserve">Academy of Pediatrics, Ariadne Labs, Better Birth Project, Last Mile Health, Partners In Health, Muso. </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 xml:space="preserve">Supervision d’assistance hebdomadaire en </w:t>
            </w:r>
            <w:r w:rsidR="00F87DFE">
              <w:rPr>
                <w:rFonts w:ascii="Arial" w:eastAsia="Arial" w:hAnsi="Arial" w:cs="Arial"/>
                <w:sz w:val="20"/>
                <w:szCs w:val="20"/>
                <w:bdr w:val="nil"/>
                <w:lang w:val="fr-FR"/>
              </w:rPr>
              <w:t>formation sanitaire</w:t>
            </w:r>
            <w:r w:rsidR="00F87DFE" w:rsidRPr="00F87DFE">
              <w:rPr>
                <w:rFonts w:ascii="Arial" w:eastAsia="Arial" w:hAnsi="Arial" w:cs="Arial"/>
                <w:sz w:val="20"/>
                <w:szCs w:val="20"/>
                <w:bdr w:val="nil"/>
                <w:lang w:val="fr-FR"/>
              </w:rPr>
              <w:t xml:space="preserve"> </w:t>
            </w:r>
            <w:r w:rsidRPr="00F87DFE">
              <w:rPr>
                <w:rFonts w:ascii="Arial" w:eastAsia="Arial" w:hAnsi="Arial" w:cs="Arial"/>
                <w:sz w:val="20"/>
                <w:szCs w:val="20"/>
                <w:bdr w:val="nil"/>
                <w:lang w:val="fr-FR"/>
              </w:rPr>
              <w:t xml:space="preserve">par les formateurs-cliniciens de SI (personnel infirmier, sage-femme, assistants médicaux) avec une expérience antérieure dans les </w:t>
            </w:r>
            <w:r w:rsidR="00D10856">
              <w:rPr>
                <w:rFonts w:ascii="Arial" w:eastAsia="Arial" w:hAnsi="Arial" w:cs="Arial"/>
                <w:sz w:val="20"/>
                <w:szCs w:val="20"/>
                <w:bdr w:val="nil"/>
                <w:lang w:val="fr-FR"/>
              </w:rPr>
              <w:t xml:space="preserve">formations </w:t>
            </w:r>
            <w:r w:rsidRPr="00F87DFE">
              <w:rPr>
                <w:rFonts w:ascii="Arial" w:eastAsia="Arial" w:hAnsi="Arial" w:cs="Arial"/>
                <w:sz w:val="20"/>
                <w:szCs w:val="20"/>
                <w:bdr w:val="nil"/>
                <w:lang w:val="fr-FR"/>
              </w:rPr>
              <w:t>sanitaires du secteur public.</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Contrôle régulier des prestations fournies par</w:t>
            </w:r>
            <w:r w:rsidR="00CB6398">
              <w:rPr>
                <w:rFonts w:ascii="Arial" w:eastAsia="Arial" w:hAnsi="Arial" w:cs="Arial"/>
                <w:sz w:val="20"/>
                <w:szCs w:val="20"/>
                <w:bdr w:val="nil"/>
                <w:lang w:val="fr-FR"/>
              </w:rPr>
              <w:t xml:space="preserve"> le personnel de la formation sanitaire</w:t>
            </w:r>
            <w:r w:rsidRPr="00F87DFE">
              <w:rPr>
                <w:rFonts w:ascii="Arial" w:eastAsia="Arial" w:hAnsi="Arial" w:cs="Arial"/>
                <w:sz w:val="20"/>
                <w:szCs w:val="20"/>
                <w:bdr w:val="nil"/>
                <w:lang w:val="fr-FR"/>
              </w:rPr>
              <w:t>, effectué à l’aide des données de programmation régulières et des commentaires de la communauté.</w:t>
            </w:r>
          </w:p>
        </w:tc>
      </w:tr>
      <w:tr w:rsidR="0044028E" w:rsidRPr="002316CE" w:rsidTr="005336C5">
        <w:tc>
          <w:tcPr>
            <w:tcW w:w="192" w:type="pct"/>
            <w:tcBorders>
              <w:top w:val="single" w:sz="4" w:space="0" w:color="auto"/>
              <w:bottom w:val="single" w:sz="4" w:space="0" w:color="auto"/>
            </w:tcBorders>
          </w:tcPr>
          <w:p w:rsidR="0044028E" w:rsidRPr="00F87DFE" w:rsidRDefault="0044028E" w:rsidP="008A1F00">
            <w:pPr>
              <w:pStyle w:val="NoSpacing"/>
              <w:spacing w:line="240" w:lineRule="auto"/>
              <w:rPr>
                <w:rFonts w:ascii="Arial" w:hAnsi="Arial" w:cs="Arial"/>
                <w:sz w:val="20"/>
                <w:szCs w:val="20"/>
                <w:lang w:val="fr-FR"/>
              </w:rPr>
            </w:pPr>
            <w:r w:rsidRPr="00F87DFE">
              <w:rPr>
                <w:rFonts w:ascii="Arial" w:eastAsia="Arial" w:hAnsi="Arial" w:cs="Arial"/>
                <w:sz w:val="20"/>
                <w:szCs w:val="20"/>
                <w:bdr w:val="nil"/>
                <w:lang w:val="fr-FR"/>
              </w:rPr>
              <w:lastRenderedPageBreak/>
              <w:t>5</w:t>
            </w:r>
            <w:r w:rsidR="005360F6">
              <w:rPr>
                <w:rFonts w:ascii="Arial" w:eastAsia="Arial" w:hAnsi="Arial" w:cs="Arial"/>
                <w:sz w:val="20"/>
                <w:szCs w:val="20"/>
                <w:bdr w:val="nil"/>
                <w:lang w:val="fr-FR"/>
              </w:rPr>
              <w:t>.</w:t>
            </w:r>
          </w:p>
        </w:tc>
        <w:tc>
          <w:tcPr>
            <w:tcW w:w="1729" w:type="pct"/>
            <w:tcBorders>
              <w:top w:val="single" w:sz="4" w:space="0" w:color="auto"/>
              <w:bottom w:val="single" w:sz="4" w:space="0" w:color="auto"/>
            </w:tcBorders>
          </w:tcPr>
          <w:p w:rsidR="0044028E" w:rsidRPr="00F87DFE" w:rsidRDefault="0044028E" w:rsidP="008A1F00">
            <w:pPr>
              <w:pStyle w:val="NoSpacing"/>
              <w:spacing w:line="240" w:lineRule="auto"/>
              <w:rPr>
                <w:rFonts w:ascii="Arial" w:hAnsi="Arial" w:cs="Arial"/>
                <w:sz w:val="20"/>
                <w:szCs w:val="20"/>
                <w:lang w:val="fr-FR"/>
              </w:rPr>
            </w:pPr>
            <w:r w:rsidRPr="00F87DFE">
              <w:rPr>
                <w:rFonts w:ascii="Arial" w:eastAsia="Arial" w:hAnsi="Arial" w:cs="Arial"/>
                <w:sz w:val="20"/>
                <w:szCs w:val="20"/>
                <w:bdr w:val="nil"/>
                <w:lang w:val="fr-FR"/>
              </w:rPr>
              <w:t xml:space="preserve">Améliorations basiques de l’infrastructure et des équipements, et formation à la gestion de la chaîne d’approvisionnement et des gestionnaires de la pharmacie </w:t>
            </w:r>
          </w:p>
          <w:p w:rsidR="0044028E" w:rsidRPr="00F87DFE" w:rsidRDefault="0044028E" w:rsidP="008A1F00">
            <w:pPr>
              <w:pStyle w:val="NoSpacing"/>
              <w:spacing w:line="240" w:lineRule="auto"/>
              <w:rPr>
                <w:rFonts w:ascii="Arial" w:hAnsi="Arial" w:cs="Arial"/>
                <w:i/>
                <w:sz w:val="20"/>
                <w:szCs w:val="20"/>
                <w:lang w:val="fr-FR"/>
              </w:rPr>
            </w:pPr>
          </w:p>
          <w:p w:rsidR="0044028E" w:rsidRPr="00F87DFE" w:rsidRDefault="0044028E" w:rsidP="008A1F00">
            <w:pPr>
              <w:pStyle w:val="NoSpacing"/>
              <w:spacing w:line="240" w:lineRule="auto"/>
              <w:rPr>
                <w:rFonts w:ascii="Arial" w:hAnsi="Arial" w:cs="Arial"/>
                <w:sz w:val="20"/>
                <w:szCs w:val="20"/>
                <w:lang w:val="fr-FR"/>
              </w:rPr>
            </w:pPr>
            <w:r w:rsidRPr="00F87DFE">
              <w:rPr>
                <w:rFonts w:ascii="Arial" w:eastAsia="Arial" w:hAnsi="Arial" w:cs="Arial"/>
                <w:i/>
                <w:iCs/>
                <w:sz w:val="20"/>
                <w:szCs w:val="20"/>
                <w:bdr w:val="nil"/>
                <w:lang w:val="fr-FR"/>
              </w:rPr>
              <w:t xml:space="preserve">Preuve : </w:t>
            </w:r>
            <w:r w:rsidRPr="00F87DFE">
              <w:rPr>
                <w:rFonts w:ascii="Arial" w:hAnsi="Arial" w:cs="Arial"/>
                <w:i/>
                <w:sz w:val="20"/>
                <w:szCs w:val="20"/>
              </w:rPr>
              <w:fldChar w:fldCharType="begin" w:fldLock="1"/>
            </w:r>
            <w:r w:rsidR="00356EBB">
              <w:rPr>
                <w:rFonts w:ascii="Arial" w:hAnsi="Arial" w:cs="Arial"/>
                <w:i/>
                <w:sz w:val="20"/>
                <w:szCs w:val="20"/>
                <w:lang w:val="fr-FR"/>
              </w:rPr>
              <w:instrText>ADDIN CSL_CITATION {"citationItems":[{"id":"ITEM-1","itemData":{"DOI":"10.1093/heapol/czu126","ISSN":"0268-1080","PMID":"25500559","abstract":"Community health workers (CHWs) are increasingly recognized as an integral component of the health workforce needed to achieve public health goals in low- and middle-income countries (LMICs). Many factors influence CHW performance. A systematic review was conducted to identify intervention design related factors influencing performance of CHWs. We systematically searched six databases for quantitative and qualitative studies that included CHWs working in promotional, preventive or curative primary health services in LMICs. One hundred and forty studies met the inclusion criteria, were quality assessed and double read to extract data relevant to the design of CHW programmes. A preliminary framework containing factors influencing CHW performance and characteristics of CHW performance (such as motivation and competencies) guided the literature search and review.A mix of financial and non-financial incentives, predictable for the CHWs, was found to be an effective strategy to enhance performance, especially of those CHWs with multiple tasks. Performance-based financial incentives sometimes resulted in neglect of unpaid tasks. Intervention designs which involved frequent supervision and continuous training led to better CHW performance in certain settings. Supervision and training were often mentioned as facilitating factors, but few studies tested which approach worked best or how these were best implemented. Embedment of CHWs in community and health systems was found to diminish workload and increase CHW credibility. Clearly defined CHW roles and introduction of clear processes for communication among different levels of the health system could strengthen CHW performance.When designing community-based health programmes, factors that increased CHW performance in comparable settings should be taken into account. Additional intervention research to develop a better evidence base for the most effective training and supervision mechanisms and qualitative research to inform policymakers in development of CHW interventions are needed.","author":[{"dropping-particle":"","family":"Kok","given":"Maryse C","non-dropping-particle":"","parse-names":false,"suffix":""},{"dropping-particle":"","family":"Dieleman","given":"Marjolein","non-dropping-particle":"","parse-names":false,"suffix":""},{"dropping-particle":"","family":"Taegtmeyer","given":"Miriam","non-dropping-particle":"","parse-names":false,"suffix":""},{"dropping-particle":"","family":"Broerse","given":"Jacqueline EW","non-dropping-particle":"","parse-names":false,"suffix":""},{"dropping-particle":"","family":"Kane","given":"Sumit S","non-dropping-particle":"","parse-names":false,"suffix":""},{"dropping-particle":"","family":"Ormel","given":"Hermen","non-dropping-particle":"","parse-names":false,"suffix":""},{"dropping-particle":"","family":"Tijm","given":"Mandy M","non-dropping-particle":"","parse-names":false,"suffix":""},{"dropping-particle":"","family":"Koning","given":"Korrie AM","non-dropping-particle":"de","parse-names":false,"suffix":""}],"container-title":"Health Policy and Planning","id":"ITEM-1","issue":"9","issued":{"date-parts":[["2015","11"]]},"page":"1207-1227","title":"Which intervention design factors influence performance of community health workers in low- and middle-income countries? A systematic review","type":"article-journal","volume":"30"},"uris":["http://www.mendeley.com/documents/?uuid=14d5dfe7-5e80-3d96-8e5f-65f0430ae5f8"]},{"id":"ITEM-2","itemData":{"DOI":"10.1186/1471-2458-14-987","ISSN":"1471-2458","abstract":"Despite the development of national community-based health worker (CBHW) programmes in several low- and middle-income countries, their integration into health systems has not been optimal. Studies have been conducted to investigate the factors influencing the integration processes, but systematic reviews to provide a more comprehensive understanding are lacking. We conducted a systematic review of published research to understand factors that may influence the integration of national CBHW programmes into health systems in low- and middle-income countries. To be included in the study, CBHW programmes should have been developed by the government and have standardised training, supervision and incentive structures. A conceptual framework on the integration of health innovations into health systems guided the review. We identified 3410 records, of which 36 were finally selected, and on which an analysis was conducted concerning the themes and pathways associated with different factors that may influence the integration process. Four programmes from Brazil, Ethiopia, India and Pakistan met the inclusion criteria. Different aspects of each of these programmes were integrated in different ways into their respective health systems. Factors that facilitated the integration process included the magnitude of countries’ human resources for health problems and the associated discourses about how to address these problems; the perceived relative advantage of national CBHWs with regard to delivering health services over training and retaining highly skilled health workers; and the participation of some politicians and community members in programme processes, with the result that they viewed the programmes as legitimate, credible and relevant. Finally, integration of programmes within the existing health systems enhanced programme compatibility with the health systems’ governance, financing and training functions. Factors that inhibited the integration process included a rapid scale-up process; resistance from other health workers; discrimination of CBHWs based on social, gender and economic status; ineffective incentive structures; inadequate infrastructure and supplies; and hierarchical and parallel communication structures. CBHW programmes should design their scale-up strategy differently based on current contextual factors. Further, adoption of a stepwise approach to the scale-up and integration process may positively shape the integration process of CBHW programm…","author":[{"dropping-particle":"","family":"Zulu","given":"Joseph Mumba","non-dropping-particle":"","parse-names":false,"suffix":""},{"dropping-particle":"","family":"Kinsman","given":"John","non-dropping-particle":"","parse-names":false,"suffix":""},{"dropping-particle":"","family":"Michelo","given":"Charles","non-dropping-particle":"","parse-names":false,"suffix":""},{"dropping-particle":"","family":"Hurtig","given":"Anna-Karin","non-dropping-particle":"","parse-names":false,"suffix":""}],"container-title":"BMC Public Health","id":"ITEM-2","issue":"1","issued":{"date-parts":[["2014","12","22"]]},"page":"987","publisher":"BioMed Central","title":"Integrating national community-based health worker programmes into health systems: a systematic review identifying lessons learned from low-and middle-income countries","type":"article-journal","volume":"14"},"uris":["http://www.mendeley.com/documents/?uuid=2163aee9-d4f1-3b39-aa90-6c5c3afc1047"]},{"id":"ITEM-3","itemData":{"DOI":"10.1371/journal.pone.0117919","ISSN":"1932-6203","PMID":"25706531","abstract":"Pneumonia is the leading cause of childhood mortality in sub-Saharan Africa (SSA). Because effective antibiotic treatment exists, timely recognition of pneumonia and subsequent care seeking for treatment can prevent deaths. For six high pneumonia mortality countries in SSA we examined if children with suspected pneumonia were taken for care, and if so, from which type of care providers, using national survey data of 76530 children. We also assessed factors independently associated with care seeking from health providers, also known as 'appropriate' providers. We report important differences in care seeking patterns across these countries. In Tanzania 85% of children with suspected pneumonia were taken for care, whereas this was only 30% in Ethiopia. Most of the children living in these six countries were taken to a primary health care facility; 86, 68 and 59% in Ethiopia, Tanzania and Burkina Faso respectively. In Uganda, hospital care was sought for 60% of children. 16-18% of children were taken to a private pharmacy in Democratic Republic of Congo (DRC), Tanzania and Nigeria. In Tanzania, children from the richest households were 9.5 times (CI 2.3-39.3) more likely to be brought for care than children from the poorest households, after controlling for the child's age, sex, caregiver's education and urban-rural residence. The influence of the age of a child, when controlling for sex, urban-rural residence, education and wealth, shows that the youngest children (&lt;2 years) were more likely to be brought to a care provider in Nigeria, Ethiopia and DRC. Urban-rural residence was not significantly associated with care seeking, after controlling for the age and sex of the child, caregivers education and wealth. The study suggests that it is crucial to understand country-specific care seeking patterns for children with suspected pneumonia and related determinants using available data prior to planning programmatic responses.","author":[{"dropping-particle":"","family":"Noordam","given":"Aaltje Camielle","non-dropping-particle":"","parse-names":false,"suffix":""},{"dropping-particle":"","family":"Carvajal-Velez","given":"Liliana","non-dropping-particle":"","parse-names":false,"suffix":""},{"dropping-particle":"","family":"Sharkey","given":"Alyssa B.","non-dropping-particle":"","parse-names":false,"suffix":""},{"dropping-particle":"","family":"Young","given":"Mark","non-dropping-particle":"","parse-names":false,"suffix":""},{"dropping-particle":"","family":"Cals","given":"Jochen W. L.","non-dropping-particle":"","parse-names":false,"suffix":""}],"container-title":"PLOS ONE","editor":[{"dropping-particle":"","family":"Patra","given":"Jayadeep","non-dropping-particle":"","parse-names":false,"suffix":""}],"id":"ITEM-3","issue":"2","issued":{"date-parts":[["2015","2"]]},"page":"e0117919","title":"Care Seeking Behaviour for Children with Suspected Pneumonia in Countries in Sub-Saharan Africa with High Pneumonia Mortality","type":"article-journal","volume":"10"},"uris":["http://www.mendeley.com/documents/?uuid=4b2d32a1-ab60-406a-ac4a-24377888152d"]},{"id":"ITEM-4","itemData":{"DOI":"10.1186/s12936-016-1667-x","abstract":"Background: Human resource for health crisis has impaired global efforts against malaria in highly endemic countries. To address this, the World Health Organization (WHO) recommended scaling-up of community health workers (CHWs) and related cadres owing to their documented success in malaria and other disease prevention and management. Evidence is inconsistent on the roles and challenges they encounter in malaria interventions. This systematic review aims to summarize evidence on roles and challenges of CHWs and related cadres in integrated community case management for malaria (iCCM). Methods: This systematic review retrieved evidence from PubMed, CINAHL, ISI Web of Knowledge, and WHO regional databases. Terms extracted from the Boolean phrase used for PubMed were also used in other databases. The review included studies with Randomized Control Trial, Quasi-experimental, Pre-post interventional, Longitudinal and cohort, Cross-sectional, Case study, and Secondary data analysis. Because of heterogeneity, only narrative synthesis was conducted for this review. Results: A total of 66 articles were eligible for analysis out of 1380 studies retrieved. CHWs and related cadre roles in malaria interventions included: malaria case management, prevention including health surveillance and health promotion specific to malaria. Despite their documented success, CHWs and related cadres succumb to health system challenges. These are poor and unsustainable finance for iCCM, workforce related challenges, lack of and unsustain-able supply of medicines and diagnostics, lack of information and research, service delivery and leadership challenges. Conclusions: Community health workers and related cadres had important preventive, case management and promotive roles in malaria interventions. To enable their effective integration into the health systems, the identified challenges should be addressed. They include: introducing sustainable financing on iCCM programmes, tailoring their training to address the identified gaps, improving sustainable supply chain management of malaria drugs and diagnostics, and addressing regulatory challenges in the local contexts.","author":[{"dropping-particle":"","family":"Sunguya","given":"Bruno F","non-dropping-particle":"","parse-names":false,"suffix":""},{"dropping-particle":"","family":"Mlunde","given":"Linda B","non-dropping-particle":"","parse-names":false,"suffix":""},{"dropping-particle":"","family":"Ayer","given":"Rakesh","non-dropping-particle":"","parse-names":false,"suffix":""},{"dropping-particle":"","family":"Jimba","given":"Masamine","non-dropping-particle":"","parse-names":false,"suffix":""}],"container-title":"Malaria Journal","id":"ITEM-4","issued":{"date-parts":[["2017"]]},"page":"10","title":"Towards eliminating malaria in high endemic countries: the roles of community health workers and related cadres and their challenges in integrated community case management for malaria: a systematic review","type":"article-journal","volume":"16"},"uris":["http://www.mendeley.com/documents/?uuid=11685936-491d-39aa-9638-719d1f7c3538"]}],"mendeley":{"formattedCitation":"(15,31–33)","plainTextFormattedCitation":"(15,31–33)","previouslyFormattedCitation":"(15,31–33)"},"properties":{"noteIndex":0},"schema":"https://github.com/citation-style-language/schema/raw/master/csl-citation.json"}</w:instrText>
            </w:r>
            <w:r w:rsidRPr="00F87DFE">
              <w:rPr>
                <w:rFonts w:ascii="Arial" w:hAnsi="Arial" w:cs="Arial"/>
                <w:i/>
                <w:sz w:val="20"/>
                <w:szCs w:val="20"/>
              </w:rPr>
              <w:fldChar w:fldCharType="separate"/>
            </w:r>
            <w:r w:rsidR="007363DC" w:rsidRPr="007363DC">
              <w:rPr>
                <w:rFonts w:ascii="Arial" w:eastAsia="Arial" w:hAnsi="Arial" w:cs="Arial"/>
                <w:iCs/>
                <w:noProof/>
                <w:sz w:val="20"/>
                <w:szCs w:val="20"/>
                <w:bdr w:val="nil"/>
                <w:lang w:val="fr-FR"/>
              </w:rPr>
              <w:t>(15,31–33)</w:t>
            </w:r>
            <w:r w:rsidRPr="00F87DFE">
              <w:rPr>
                <w:rFonts w:ascii="Arial" w:hAnsi="Arial" w:cs="Arial"/>
                <w:i/>
                <w:sz w:val="20"/>
                <w:szCs w:val="20"/>
              </w:rPr>
              <w:fldChar w:fldCharType="end"/>
            </w:r>
          </w:p>
        </w:tc>
        <w:tc>
          <w:tcPr>
            <w:tcW w:w="3079" w:type="pct"/>
            <w:tcBorders>
              <w:top w:val="single" w:sz="4" w:space="0" w:color="auto"/>
              <w:bottom w:val="single" w:sz="4" w:space="0" w:color="auto"/>
            </w:tcBorders>
          </w:tcPr>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Évaluation formelle de l’infrastructure et des besoins en équipements réalisée avec le MS à l’aide de l’outil SARA de l’OMS</w:t>
            </w:r>
            <w:r w:rsidRPr="00F87DFE">
              <w:rPr>
                <w:rFonts w:ascii="Arial" w:hAnsi="Arial" w:cs="Arial"/>
                <w:sz w:val="20"/>
                <w:szCs w:val="20"/>
              </w:rPr>
              <w:fldChar w:fldCharType="begin" w:fldLock="1"/>
            </w:r>
            <w:r w:rsidR="00902B77">
              <w:rPr>
                <w:rFonts w:ascii="Arial" w:hAnsi="Arial" w:cs="Arial"/>
                <w:sz w:val="20"/>
                <w:szCs w:val="20"/>
                <w:lang w:val="fr-FR"/>
              </w:rPr>
              <w:instrText>ADDIN CSL_CITATION {"citationItems":[{"id":"ITEM-1","itemData":{"author":[{"dropping-particle":"","family":"World Health Organization","given":"","non-dropping-particle":"","parse-names":false,"suffix":""}],"id":"ITEM-1","issued":{"date-parts":[["2013"]]},"publisher-place":"Geneva","title":"Service Availability and Readiness Assessment (SARA) An annual monitoring system for service delivery, version 2.1","type":"report"},"uris":["http://www.mendeley.com/documents/?uuid=976273ec-41f7-405d-b270-e329ee8935e2"]}],"mendeley":{"formattedCitation":"(34)","plainTextFormattedCitation":"(34)","previouslyFormattedCitation":"(35)"},"properties":{"noteIndex":0},"schema":"https://github.com/citation-style-language/schema/raw/master/csl-citation.json"}</w:instrText>
            </w:r>
            <w:r w:rsidRPr="00F87DFE">
              <w:rPr>
                <w:rFonts w:ascii="Arial" w:hAnsi="Arial" w:cs="Arial"/>
                <w:sz w:val="20"/>
                <w:szCs w:val="20"/>
              </w:rPr>
              <w:fldChar w:fldCharType="separate"/>
            </w:r>
            <w:r w:rsidR="00902B77" w:rsidRPr="00902B77">
              <w:rPr>
                <w:rFonts w:ascii="Arial" w:eastAsia="Arial" w:hAnsi="Arial" w:cs="Arial"/>
                <w:noProof/>
                <w:sz w:val="20"/>
                <w:szCs w:val="20"/>
                <w:bdr w:val="nil"/>
                <w:lang w:val="fr-FR"/>
              </w:rPr>
              <w:t>(34)</w:t>
            </w:r>
            <w:r w:rsidRPr="00F87DFE">
              <w:rPr>
                <w:rFonts w:ascii="Arial" w:hAnsi="Arial" w:cs="Arial"/>
                <w:sz w:val="20"/>
                <w:szCs w:val="20"/>
              </w:rPr>
              <w:fldChar w:fldCharType="end"/>
            </w:r>
            <w:r w:rsidRPr="00F87DFE">
              <w:rPr>
                <w:rFonts w:ascii="Arial" w:eastAsia="Arial" w:hAnsi="Arial" w:cs="Arial"/>
                <w:sz w:val="20"/>
                <w:szCs w:val="20"/>
                <w:bdr w:val="nil"/>
                <w:lang w:val="fr-FR"/>
              </w:rPr>
              <w:t>.</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 xml:space="preserve">Favorise les améliorations structurelles afin de </w:t>
            </w:r>
            <w:r w:rsidR="00F87DFE" w:rsidRPr="00F87DFE">
              <w:rPr>
                <w:rFonts w:ascii="Arial" w:eastAsia="Arial" w:hAnsi="Arial" w:cs="Arial"/>
                <w:sz w:val="20"/>
                <w:szCs w:val="20"/>
                <w:bdr w:val="nil"/>
                <w:lang w:val="fr-FR"/>
              </w:rPr>
              <w:t>rénover</w:t>
            </w:r>
            <w:r w:rsidRPr="00F87DFE">
              <w:rPr>
                <w:rFonts w:ascii="Arial" w:eastAsia="Arial" w:hAnsi="Arial" w:cs="Arial"/>
                <w:sz w:val="20"/>
                <w:szCs w:val="20"/>
                <w:bdr w:val="nil"/>
                <w:lang w:val="fr-FR"/>
              </w:rPr>
              <w:t xml:space="preserve"> les </w:t>
            </w:r>
            <w:r w:rsidR="00F87DFE">
              <w:rPr>
                <w:rFonts w:ascii="Arial" w:eastAsia="Arial" w:hAnsi="Arial" w:cs="Arial"/>
                <w:sz w:val="20"/>
                <w:szCs w:val="20"/>
                <w:bdr w:val="nil"/>
                <w:lang w:val="fr-FR"/>
              </w:rPr>
              <w:t>formations sanitaires.</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Équipe l</w:t>
            </w:r>
            <w:r w:rsidR="00F87DFE">
              <w:rPr>
                <w:rFonts w:ascii="Arial" w:eastAsia="Arial" w:hAnsi="Arial" w:cs="Arial"/>
                <w:sz w:val="20"/>
                <w:szCs w:val="20"/>
                <w:bdr w:val="nil"/>
                <w:lang w:val="fr-FR"/>
              </w:rPr>
              <w:t>a formation sanitaire</w:t>
            </w:r>
            <w:r w:rsidRPr="00F87DFE">
              <w:rPr>
                <w:rFonts w:ascii="Arial" w:eastAsia="Arial" w:hAnsi="Arial" w:cs="Arial"/>
                <w:sz w:val="20"/>
                <w:szCs w:val="20"/>
                <w:bdr w:val="nil"/>
                <w:lang w:val="fr-FR"/>
              </w:rPr>
              <w:t xml:space="preserve"> en médicaments et matériel essentiels identifiés par une évaluation et des protocoles sanitaires nationaux.</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Formation sur le terrain aux pratiques de gestion de la chaîne d’approvisionnement, y compris la conservation appropriée des médicaments, le rempliss</w:t>
            </w:r>
            <w:r w:rsidR="00DC3646">
              <w:rPr>
                <w:rFonts w:ascii="Arial" w:eastAsia="Arial" w:hAnsi="Arial" w:cs="Arial"/>
                <w:sz w:val="20"/>
                <w:szCs w:val="20"/>
                <w:bdr w:val="nil"/>
                <w:lang w:val="fr-FR"/>
              </w:rPr>
              <w:t>age des fiches</w:t>
            </w:r>
            <w:r w:rsidRPr="00F87DFE">
              <w:rPr>
                <w:rFonts w:ascii="Arial" w:eastAsia="Arial" w:hAnsi="Arial" w:cs="Arial"/>
                <w:sz w:val="20"/>
                <w:szCs w:val="20"/>
                <w:bdr w:val="nil"/>
                <w:lang w:val="fr-FR"/>
              </w:rPr>
              <w:t xml:space="preserve"> de stock et les commandes en fonction de la consommation mensuelle d’intrants.</w:t>
            </w:r>
          </w:p>
          <w:p w:rsidR="0044028E" w:rsidRPr="00F87DFE" w:rsidRDefault="0044028E" w:rsidP="008A1F00">
            <w:pPr>
              <w:pStyle w:val="NoSpacing"/>
              <w:numPr>
                <w:ilvl w:val="0"/>
                <w:numId w:val="45"/>
              </w:numPr>
              <w:spacing w:line="240" w:lineRule="auto"/>
              <w:rPr>
                <w:rFonts w:ascii="Arial" w:hAnsi="Arial" w:cs="Arial"/>
                <w:sz w:val="20"/>
                <w:szCs w:val="20"/>
                <w:lang w:val="fr-FR"/>
              </w:rPr>
            </w:pPr>
            <w:r w:rsidRPr="00F87DFE">
              <w:rPr>
                <w:rFonts w:ascii="Arial" w:eastAsia="Arial" w:hAnsi="Arial" w:cs="Arial"/>
                <w:sz w:val="20"/>
                <w:szCs w:val="20"/>
                <w:bdr w:val="nil"/>
                <w:lang w:val="fr-FR"/>
              </w:rPr>
              <w:t xml:space="preserve">Supervision et assistance régulières par le </w:t>
            </w:r>
            <w:r w:rsidR="00F87DFE">
              <w:rPr>
                <w:rFonts w:ascii="Arial" w:eastAsia="Arial" w:hAnsi="Arial" w:cs="Arial"/>
                <w:sz w:val="20"/>
                <w:szCs w:val="20"/>
                <w:bdr w:val="nil"/>
                <w:lang w:val="fr-FR"/>
              </w:rPr>
              <w:t>mentorat</w:t>
            </w:r>
            <w:r w:rsidR="00D10856">
              <w:rPr>
                <w:rFonts w:ascii="Arial" w:eastAsia="Arial" w:hAnsi="Arial" w:cs="Arial"/>
                <w:sz w:val="20"/>
                <w:szCs w:val="20"/>
                <w:bdr w:val="nil"/>
                <w:lang w:val="fr-FR"/>
              </w:rPr>
              <w:t xml:space="preserve"> clinique </w:t>
            </w:r>
            <w:r w:rsidRPr="00F87DFE">
              <w:rPr>
                <w:rFonts w:ascii="Arial" w:eastAsia="Arial" w:hAnsi="Arial" w:cs="Arial"/>
                <w:sz w:val="20"/>
                <w:szCs w:val="20"/>
                <w:bdr w:val="nil"/>
                <w:lang w:val="fr-FR"/>
              </w:rPr>
              <w:t>de SI.</w:t>
            </w:r>
          </w:p>
        </w:tc>
      </w:tr>
    </w:tbl>
    <w:p w:rsidR="001C0DEE" w:rsidRDefault="001C0DEE" w:rsidP="00545895">
      <w:pPr>
        <w:pStyle w:val="NoSpacing"/>
        <w:rPr>
          <w:rFonts w:ascii="Arial" w:hAnsi="Arial" w:cs="Arial"/>
          <w:sz w:val="22"/>
          <w:szCs w:val="22"/>
          <w:lang w:val="es-US"/>
        </w:rPr>
      </w:pPr>
    </w:p>
    <w:p w:rsidR="001C0DEE" w:rsidRDefault="00767532">
      <w:pPr>
        <w:pStyle w:val="NoSpacing"/>
        <w:rPr>
          <w:rFonts w:ascii="Arial" w:hAnsi="Arial" w:cs="Arial"/>
          <w:sz w:val="22"/>
          <w:szCs w:val="22"/>
          <w:shd w:val="clear" w:color="auto" w:fill="FFFFFF"/>
          <w:lang w:val="es-US"/>
        </w:rPr>
      </w:pPr>
      <w:r>
        <w:rPr>
          <w:rFonts w:ascii="Arial" w:eastAsia="Arial" w:hAnsi="Arial" w:cs="Arial"/>
          <w:sz w:val="22"/>
          <w:szCs w:val="22"/>
          <w:bdr w:val="nil"/>
          <w:shd w:val="clear" w:color="auto" w:fill="FFFFFF"/>
          <w:lang w:val="fr-FR"/>
        </w:rPr>
        <w:t xml:space="preserve">Les résultats préliminaires de l’essai pilote de mise en œuvre </w:t>
      </w:r>
      <w:r w:rsidRPr="00E71481">
        <w:rPr>
          <w:rFonts w:ascii="Arial" w:eastAsia="Arial" w:hAnsi="Arial" w:cs="Arial"/>
          <w:sz w:val="22"/>
          <w:szCs w:val="22"/>
          <w:bdr w:val="nil"/>
          <w:shd w:val="clear" w:color="auto" w:fill="FFFFFF"/>
          <w:lang w:val="fr-FR"/>
        </w:rPr>
        <w:t>du R</w:t>
      </w:r>
      <w:r w:rsidR="004F17D5" w:rsidRPr="00E71481">
        <w:rPr>
          <w:rFonts w:ascii="Arial" w:eastAsia="Arial" w:hAnsi="Arial" w:cs="Arial"/>
          <w:sz w:val="22"/>
          <w:szCs w:val="22"/>
          <w:bdr w:val="nil"/>
          <w:shd w:val="clear" w:color="auto" w:fill="FFFFFF"/>
          <w:lang w:val="fr-FR"/>
        </w:rPr>
        <w:t>SS</w:t>
      </w:r>
      <w:r w:rsidR="00B27B11">
        <w:rPr>
          <w:rFonts w:ascii="Arial" w:eastAsia="Arial" w:hAnsi="Arial" w:cs="Arial"/>
          <w:sz w:val="22"/>
          <w:szCs w:val="22"/>
          <w:bdr w:val="nil"/>
          <w:shd w:val="clear" w:color="auto" w:fill="FFFFFF"/>
          <w:lang w:val="fr-FR"/>
        </w:rPr>
        <w:t>B</w:t>
      </w:r>
      <w:r w:rsidR="004F17D5" w:rsidRPr="00E71481">
        <w:rPr>
          <w:rFonts w:ascii="Arial" w:eastAsia="Arial" w:hAnsi="Arial" w:cs="Arial"/>
          <w:sz w:val="22"/>
          <w:szCs w:val="22"/>
          <w:bdr w:val="nil"/>
          <w:shd w:val="clear" w:color="auto" w:fill="FFFFFF"/>
          <w:lang w:val="fr-FR"/>
        </w:rPr>
        <w:t>C</w:t>
      </w:r>
      <w:r w:rsidRPr="00E71481">
        <w:rPr>
          <w:rFonts w:ascii="Arial" w:eastAsia="Arial" w:hAnsi="Arial" w:cs="Arial"/>
          <w:sz w:val="22"/>
          <w:szCs w:val="22"/>
          <w:bdr w:val="nil"/>
          <w:shd w:val="clear" w:color="auto" w:fill="FFFFFF"/>
          <w:lang w:val="fr-FR"/>
        </w:rPr>
        <w:t xml:space="preserve"> dans</w:t>
      </w:r>
      <w:r>
        <w:rPr>
          <w:rFonts w:ascii="Arial" w:eastAsia="Arial" w:hAnsi="Arial" w:cs="Arial"/>
          <w:sz w:val="22"/>
          <w:szCs w:val="22"/>
          <w:bdr w:val="nil"/>
          <w:shd w:val="clear" w:color="auto" w:fill="FFFFFF"/>
          <w:lang w:val="fr-FR"/>
        </w:rPr>
        <w:t xml:space="preserve"> la préfecture de Kozah ont révélé une réduction de la mortalité chez les enfants âgés de moins de cinq ans et une augmentation de l’utilisation des services de santé pour les services sanitaires destinés aux enfants et à leurs mères sur l’ensemble des quatre sites d’intervention </w:t>
      </w:r>
      <w:bookmarkStart w:id="3" w:name="_Hlk17729506"/>
      <w:r>
        <w:rPr>
          <w:rFonts w:ascii="Arial" w:eastAsia="Arial" w:hAnsi="Arial" w:cs="Arial"/>
          <w:sz w:val="22"/>
          <w:szCs w:val="22"/>
          <w:bdr w:val="nil"/>
          <w:lang w:val="fr-FR"/>
        </w:rPr>
        <w:t>(</w:t>
      </w:r>
      <w:r>
        <w:rPr>
          <w:rFonts w:ascii="Arial" w:eastAsia="Arial" w:hAnsi="Arial" w:cs="Arial"/>
          <w:sz w:val="22"/>
          <w:szCs w:val="22"/>
          <w:bdr w:val="nil"/>
          <w:shd w:val="clear" w:color="auto" w:fill="FFFFFF"/>
          <w:lang w:val="fr-FR"/>
        </w:rPr>
        <w:t>ClinicalTrials.gov Identifiant :</w:t>
      </w:r>
      <w:r w:rsidR="00FD3DDA">
        <w:rPr>
          <w:rFonts w:ascii="Arial" w:eastAsia="Arial" w:hAnsi="Arial" w:cs="Arial"/>
          <w:sz w:val="22"/>
          <w:szCs w:val="22"/>
          <w:bdr w:val="nil"/>
          <w:shd w:val="clear" w:color="auto" w:fill="FFFFFF"/>
          <w:lang w:val="fr-FR"/>
        </w:rPr>
        <w:t xml:space="preserve"> </w:t>
      </w:r>
      <w:r>
        <w:rPr>
          <w:rFonts w:ascii="Arial" w:eastAsia="Arial" w:hAnsi="Arial" w:cs="Arial"/>
          <w:sz w:val="22"/>
          <w:szCs w:val="22"/>
          <w:bdr w:val="nil"/>
          <w:shd w:val="clear" w:color="auto" w:fill="FFFFFF"/>
          <w:lang w:val="fr-FR"/>
        </w:rPr>
        <w:t>NCT03773913)</w:t>
      </w:r>
      <w:bookmarkEnd w:id="3"/>
      <w:r>
        <w:rPr>
          <w:rFonts w:ascii="Arial" w:eastAsia="Arial" w:hAnsi="Arial" w:cs="Arial"/>
          <w:sz w:val="22"/>
          <w:szCs w:val="22"/>
          <w:bdr w:val="nil"/>
          <w:shd w:val="clear" w:color="auto" w:fill="FFFFFF"/>
          <w:lang w:val="fr-FR"/>
        </w:rPr>
        <w:t xml:space="preserve">. Cette évaluation a été menée à l’aide d’une enquête auprès des ménages répétée, représentative de la population et transversale. Nous anticipons des résultats à 48 mois de la mise en œuvre en 2019. </w:t>
      </w:r>
    </w:p>
    <w:p w:rsidR="001C0DEE" w:rsidRDefault="00767532">
      <w:pPr>
        <w:pStyle w:val="NoSpacing"/>
        <w:rPr>
          <w:rFonts w:ascii="Arial" w:hAnsi="Arial" w:cs="Arial"/>
          <w:sz w:val="22"/>
          <w:szCs w:val="22"/>
          <w:shd w:val="clear" w:color="auto" w:fill="FFFFFF"/>
          <w:lang w:val="es-US"/>
        </w:rPr>
      </w:pPr>
      <w:r>
        <w:rPr>
          <w:rFonts w:ascii="Arial" w:hAnsi="Arial" w:cs="Arial"/>
          <w:sz w:val="22"/>
          <w:szCs w:val="22"/>
          <w:shd w:val="clear" w:color="auto" w:fill="FFFFFF"/>
          <w:lang w:val="es-US"/>
        </w:rPr>
        <w:tab/>
      </w:r>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t xml:space="preserve">Après cette phase pilote préliminaire réussie et en tenant compte des besoins, le MS a demandé à SI d’étendre le modèle de </w:t>
      </w:r>
      <w:r w:rsidR="004F17D5">
        <w:rPr>
          <w:rFonts w:ascii="Arial" w:eastAsia="Arial" w:hAnsi="Arial" w:cs="Arial"/>
          <w:sz w:val="22"/>
          <w:szCs w:val="22"/>
          <w:bdr w:val="nil"/>
          <w:lang w:val="fr-FR"/>
        </w:rPr>
        <w:t>R</w:t>
      </w:r>
      <w:r w:rsidR="004F17D5">
        <w:rPr>
          <w:rFonts w:ascii="Arial" w:eastAsia="Arial" w:hAnsi="Arial" w:cs="Arial"/>
          <w:sz w:val="22"/>
          <w:szCs w:val="22"/>
          <w:bdr w:val="nil"/>
          <w:shd w:val="clear" w:color="auto" w:fill="FFFFFF"/>
          <w:lang w:val="fr-FR"/>
        </w:rPr>
        <w:t>SS</w:t>
      </w:r>
      <w:r w:rsidR="00884002">
        <w:rPr>
          <w:rFonts w:ascii="Arial" w:eastAsia="Arial" w:hAnsi="Arial" w:cs="Arial"/>
          <w:sz w:val="22"/>
          <w:szCs w:val="22"/>
          <w:bdr w:val="nil"/>
          <w:shd w:val="clear" w:color="auto" w:fill="FFFFFF"/>
          <w:lang w:val="fr-FR"/>
        </w:rPr>
        <w:t>B</w:t>
      </w:r>
      <w:r w:rsidR="004F17D5">
        <w:rPr>
          <w:rFonts w:ascii="Arial" w:eastAsia="Arial" w:hAnsi="Arial" w:cs="Arial"/>
          <w:sz w:val="22"/>
          <w:szCs w:val="22"/>
          <w:bdr w:val="nil"/>
          <w:shd w:val="clear" w:color="auto" w:fill="FFFFFF"/>
          <w:lang w:val="fr-FR"/>
        </w:rPr>
        <w:t>C</w:t>
      </w:r>
      <w:r w:rsidR="004F17D5">
        <w:rPr>
          <w:rFonts w:ascii="Arial" w:eastAsia="Arial" w:hAnsi="Arial" w:cs="Arial"/>
          <w:sz w:val="22"/>
          <w:szCs w:val="22"/>
          <w:bdr w:val="nil"/>
          <w:lang w:val="fr-FR"/>
        </w:rPr>
        <w:t xml:space="preserve"> </w:t>
      </w:r>
      <w:r>
        <w:rPr>
          <w:rFonts w:ascii="Arial" w:eastAsia="Arial" w:hAnsi="Arial" w:cs="Arial"/>
          <w:sz w:val="22"/>
          <w:szCs w:val="22"/>
          <w:bdr w:val="nil"/>
          <w:lang w:val="fr-FR"/>
        </w:rPr>
        <w:t xml:space="preserve">à des sites supplémentaires à compter de 2018. En collaboration avec le MS et des partenaires techniques, SI reproduit le modèle </w:t>
      </w:r>
      <w:r w:rsidR="004F17D5">
        <w:rPr>
          <w:rFonts w:ascii="Arial" w:eastAsia="Arial" w:hAnsi="Arial" w:cs="Arial"/>
          <w:sz w:val="22"/>
          <w:szCs w:val="22"/>
          <w:bdr w:val="nil"/>
          <w:lang w:val="fr-FR"/>
        </w:rPr>
        <w:t>R</w:t>
      </w:r>
      <w:r w:rsidR="004F17D5">
        <w:rPr>
          <w:rFonts w:ascii="Arial" w:eastAsia="Arial" w:hAnsi="Arial" w:cs="Arial"/>
          <w:sz w:val="22"/>
          <w:szCs w:val="22"/>
          <w:bdr w:val="nil"/>
          <w:shd w:val="clear" w:color="auto" w:fill="FFFFFF"/>
          <w:lang w:val="fr-FR"/>
        </w:rPr>
        <w:t>SS</w:t>
      </w:r>
      <w:r w:rsidR="00563657">
        <w:rPr>
          <w:rFonts w:ascii="Arial" w:eastAsia="Arial" w:hAnsi="Arial" w:cs="Arial"/>
          <w:sz w:val="22"/>
          <w:szCs w:val="22"/>
          <w:bdr w:val="nil"/>
          <w:shd w:val="clear" w:color="auto" w:fill="FFFFFF"/>
          <w:lang w:val="fr-FR"/>
        </w:rPr>
        <w:t>B</w:t>
      </w:r>
      <w:r w:rsidR="004F17D5">
        <w:rPr>
          <w:rFonts w:ascii="Arial" w:eastAsia="Arial" w:hAnsi="Arial" w:cs="Arial"/>
          <w:sz w:val="22"/>
          <w:szCs w:val="22"/>
          <w:bdr w:val="nil"/>
          <w:shd w:val="clear" w:color="auto" w:fill="FFFFFF"/>
          <w:lang w:val="fr-FR"/>
        </w:rPr>
        <w:t>C</w:t>
      </w:r>
      <w:r w:rsidR="004F17D5" w:rsidDel="004F17D5">
        <w:rPr>
          <w:rFonts w:ascii="Arial" w:eastAsia="Arial" w:hAnsi="Arial" w:cs="Arial"/>
          <w:sz w:val="22"/>
          <w:szCs w:val="22"/>
          <w:bdr w:val="nil"/>
          <w:lang w:val="fr-FR"/>
        </w:rPr>
        <w:t xml:space="preserve"> </w:t>
      </w:r>
      <w:r>
        <w:rPr>
          <w:rFonts w:ascii="Arial" w:eastAsia="Arial" w:hAnsi="Arial" w:cs="Arial"/>
          <w:sz w:val="22"/>
          <w:szCs w:val="22"/>
          <w:bdr w:val="nil"/>
          <w:lang w:val="fr-FR"/>
        </w:rPr>
        <w:t>dans 21 </w:t>
      </w:r>
      <w:r w:rsidR="00563657">
        <w:rPr>
          <w:rFonts w:ascii="Arial" w:eastAsia="Arial" w:hAnsi="Arial" w:cs="Arial"/>
          <w:sz w:val="22"/>
          <w:szCs w:val="22"/>
          <w:bdr w:val="nil"/>
          <w:lang w:val="fr-FR"/>
        </w:rPr>
        <w:t xml:space="preserve">formations </w:t>
      </w:r>
      <w:r>
        <w:rPr>
          <w:rFonts w:ascii="Arial" w:eastAsia="Arial" w:hAnsi="Arial" w:cs="Arial"/>
          <w:sz w:val="22"/>
          <w:szCs w:val="22"/>
          <w:bdr w:val="nil"/>
          <w:lang w:val="fr-FR"/>
        </w:rPr>
        <w:t xml:space="preserve">sanitaires ruraux distincts, situés dans 4 préfectures supplémentaires. En collaboration avec les partenaires du MS, l’équipe du programme de </w:t>
      </w:r>
      <w:r w:rsidR="004F17D5">
        <w:rPr>
          <w:rFonts w:ascii="Arial" w:eastAsia="Arial" w:hAnsi="Arial" w:cs="Arial"/>
          <w:sz w:val="22"/>
          <w:szCs w:val="22"/>
          <w:bdr w:val="nil"/>
          <w:lang w:val="fr-FR"/>
        </w:rPr>
        <w:t>R</w:t>
      </w:r>
      <w:r w:rsidR="004F17D5">
        <w:rPr>
          <w:rFonts w:ascii="Arial" w:eastAsia="Arial" w:hAnsi="Arial" w:cs="Arial"/>
          <w:sz w:val="22"/>
          <w:szCs w:val="22"/>
          <w:bdr w:val="nil"/>
          <w:shd w:val="clear" w:color="auto" w:fill="FFFFFF"/>
          <w:lang w:val="fr-FR"/>
        </w:rPr>
        <w:t>SS</w:t>
      </w:r>
      <w:r w:rsidR="00563657">
        <w:rPr>
          <w:rFonts w:ascii="Arial" w:eastAsia="Arial" w:hAnsi="Arial" w:cs="Arial"/>
          <w:sz w:val="22"/>
          <w:szCs w:val="22"/>
          <w:bdr w:val="nil"/>
          <w:shd w:val="clear" w:color="auto" w:fill="FFFFFF"/>
          <w:lang w:val="fr-FR"/>
        </w:rPr>
        <w:t>B</w:t>
      </w:r>
      <w:r w:rsidR="004F17D5">
        <w:rPr>
          <w:rFonts w:ascii="Arial" w:eastAsia="Arial" w:hAnsi="Arial" w:cs="Arial"/>
          <w:sz w:val="22"/>
          <w:szCs w:val="22"/>
          <w:bdr w:val="nil"/>
          <w:shd w:val="clear" w:color="auto" w:fill="FFFFFF"/>
          <w:lang w:val="fr-FR"/>
        </w:rPr>
        <w:t>C</w:t>
      </w:r>
      <w:r>
        <w:rPr>
          <w:rFonts w:ascii="Arial" w:eastAsia="Arial" w:hAnsi="Arial" w:cs="Arial"/>
          <w:sz w:val="22"/>
          <w:szCs w:val="22"/>
          <w:bdr w:val="nil"/>
          <w:lang w:val="fr-FR"/>
        </w:rPr>
        <w:t xml:space="preserve"> a conçu une </w:t>
      </w:r>
      <w:r>
        <w:rPr>
          <w:rFonts w:ascii="Arial" w:eastAsia="Arial" w:hAnsi="Arial" w:cs="Arial"/>
          <w:sz w:val="22"/>
          <w:szCs w:val="22"/>
          <w:bdr w:val="nil"/>
          <w:lang w:val="fr-FR"/>
        </w:rPr>
        <w:lastRenderedPageBreak/>
        <w:t>stratégie de mise en œuvre pour cette extension afin de favoriser l’adoption, la mise en œuvre et la durabilité du modèle</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{"citationItems":[{"id":"ITEM-1","itemData":{"abstract":"Implementation strategies have unparalleled importance in implementation science, as they constitute the 'how to' component of changing healthcare practice. Yet, implementation researchers and other stakeholders are not able to fully utilize the findings of studies focusing on implementation strategies because they are often inconsistently labelled and poorly described, are rarely justified theoretically, lack operational definitions or manuals to guide their use, and are part of 'packaged' approaches whose specific elements are poorly understood. We address the challenges of specifying and reporting implementation strategies encountered by researchers who design, conduct, and report research on implementation strategies. Specifically, we propose guidelines for naming, defining, and operationalizing implementation strategies in terms of seven dimensions: actor, the action, action targets, temporality, dose, implementation outcomes addressed, and theoretical justification. Ultimately, implementation strategies cannot be used in practice or tested in research without a full description of their components and how they should be used. As with all intervention research, their descriptions must be precise enough to enable measurement and 'reproducibility.' We propose these recommendations to improve the reporting of implementation strategies in research studies and to stimulate further identification of elements pertinent to implementation strategies that should be included in reporting guidelines for implementation strategies.","author":[{"dropping-particle":"","family":"Proctor","given":"Enola K","non-dropping-particle":"","parse-names":false,"suffix":""},{"dropping-particle":"","family":"Powell","given":"Byron J","non-dropping-particle":"","parse-names":false,"suffix":""},{"dropping-particle":"","family":"Mcmillen","given":"J Curtis","non-dropping-particle":"","parse-names":false,"suffix":""}],"id":"ITEM-1","issued":{"date-parts":[["2013"]]},"title":"Implementation strategies: recommendations for specifying and reporting","type":"report"},"uris":["http://www.mendeley.com/documents/?uuid=89d07278-1f8e-366d-a61f-7c4c7386019c"]},{"id":"ITEM-2","itemData":{"DOI":"10.1097/MLR.0b013e3182408812","ISSN":"1537-1948","PMID":"22310560","abstract":"OBJECTIVES This study proposes methods for blending design components of clinical effectiveness and implementation research. Such blending can provide benefits over pursuing these lines of research independently; for example, more rapid translational gains, more effective implementation strategies, and more useful information for decision makers. This study proposes a \"hybrid effectiveness-implementation\" typology, describes a rationale for their use, outlines the design decisions that must be faced, and provides several real-world examples. RESULTS An effectiveness-implementation hybrid design is one that takes a dual focus a priori in assessing clinical effectiveness and implementation. We propose 3 hybrid types: (1) testing effects of a clinical intervention on relevant outcomes while observing and gathering information on implementation; (2) dual testing of clinical and implementation interventions/strategies; and (3) testing of an implementation strategy while observing and gathering information on the clinical intervention's impact on relevant outcomes. CONCLUSIONS The hybrid typology proposed herein must be considered a construct still in evolution. Although traditional clinical effectiveness and implementation trials are likely to remain the most common approach to moving a clinical intervention through from efficacy research to public health impact, judicious use of the proposed hybrid designs could speed the translation of research findings into routine practice.","author":[{"dropping-particle":"","family":"Curran","given":"Geoffrey M","non-dropping-particle":"","parse-names":false,"suffix":""},{"dropping-particle":"","family":"Bauer","given":"Mark","non-dropping-particle":"","parse-names":false,"suffix":""},{"dropping-particle":"","family":"Mittman","given":"Brian","non-dropping-particle":"","parse-names":false,"suffix":""},{"dropping-particle":"","family":"Pyne","given":"Jeffrey M","non-dropping-particle":"","parse-names":false,"suffix":""},{"dropping-particle":"","family":"Stetler","given":"Cheryl","non-dropping-particle":"","parse-names":false,"suffix":""}],"container-title":"Medical care","id":"ITEM-2","issue":"3","issued":{"date-parts":[["2012","3"]]},"page":"217-26","publisher":"NIH Public Access","title":"Effectiveness-implementation hybrid designs: combining elements of clinical effectiveness and implementation research to enhance public health impact.","type":"article-journal","volume":"50"},"uris":["http://www.mendeley.com/documents/?uuid=8f220507-84ab-35df-8e92-f89544795d99"]},{"id":"ITEM-3","itemData":{"DOI":"10.1186/s13012-017-0657-x","ISSN":"1748-5908","abstract":"Strategies are central to the National Institutes of Health’s definition of implementation research as “the study of strategies to integrate evidence-based interventions into specific settings.” Multiple scholars have proposed lists of the strategies used in implementation research and practice, which they increasingly are classifying under the single term “implementation strategies.” We contend that classifying all strategies under a single term leads to confusion, impedes synthesis across studies, and limits advancement of the full range of strategies of importance to implementation. To address this concern, we offer a system for classifying implementation strategies that builds on Proctor and colleagues’ (2013) reporting guidelines, which recommend that authors not only name and define their implementation strategies but also specify who enacted the strategy (i.e., the actor) and the level and determinants that were targeted (i.e., the action targets). We build on Wandersman and colleagues’ Interactive Systems Framework to distinguish strategies based on whether they are enacted by actors functioning as part of a Delivery, Support, or Synthesis and Translation System. We build on Damschroder and colleague’s Consolidated Framework for Implementation Research to distinguish the levels that strategies target (intervention, inner setting, outer setting, individual, and process). We then draw on numerous resources to identify determinants, which are conceptualized as modifiable factors that prevent or enable the adoption and implementation of evidence-based interventions. Identifying actors and targets resulted in five conceptually distinct classes of implementation strategies: dissemination, implementation process, integration, capacity-building, and scale-up. In our descriptions of each class, we identify the level of the Interactive System Framework at which the strategy is enacted (actors), level and determinants targeted (action targets), and outcomes used to assess strategy effectiveness. We illustrate how each class would apply to efforts to improve colorectal cancer screening rates in Federally Qualified Health Centers. Structuring strategies into classes will aid reporting of implementation research findings, alignment of strategies with relevant theories, synthesis of findings across studies, and identification of potential gaps in current strategy listings. Organizing strategies into classes also will assist users in locating the strategies tha…","author":[{"dropping-particle":"","family":"Leeman","given":"Jennifer","non-dropping-particle":"","parse-names":false,"suffix":""},{"dropping-particle":"","family":"Birken","given":"Sarah A.","non-dropping-particle":"","parse-names":false,"suffix":""},{"dropping-particle":"","family":"Powell","given":"Byron J.","non-dropping-particle":"","parse-names":false,"suffix":""},{"dropping-particle":"","family":"Rohweder","given":"Catherine","non-dropping-particle":"","parse-names":false,"suffix":""},{"dropping-particle":"","family":"Shea","given":"Christopher M.","non-dropping-particle":"","parse-names":false,"suffix":""}],"container-title":"Implementation Science","id":"ITEM-3","issue":"1","issued":{"date-parts":[["2017","12","3"]]},"page":"125","publisher":"BioMed Central","title":"Beyond “implementation strategies”: classifying the full range of strategies used in implementation science and practice","type":"article-journal","volume":"12"},"uris":["http://www.mendeley.com/documents/?uuid=b5e6327a-4f37-3a8c-873c-e2df91cbb832"]}],"mendeley":{"formattedCitation":"(35–37)","plainTextFormattedCitation":"(35–37)","previouslyFormattedCitation":"(36–38)"},"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(35–37)</w:t>
      </w:r>
      <w:r>
        <w:rPr>
          <w:rFonts w:ascii="Arial" w:hAnsi="Arial" w:cs="Arial"/>
          <w:sz w:val="22"/>
          <w:szCs w:val="22"/>
        </w:rPr>
        <w:fldChar w:fldCharType="end"/>
      </w:r>
      <w:r>
        <w:rPr>
          <w:rFonts w:ascii="Arial" w:eastAsia="Arial" w:hAnsi="Arial" w:cs="Arial"/>
          <w:sz w:val="22"/>
          <w:szCs w:val="22"/>
          <w:bdr w:val="nil"/>
          <w:lang w:val="fr-FR"/>
        </w:rPr>
        <w:t xml:space="preserve">. Cette stratégie permet un déploiement vers une nouvelle préfecture tous les 12 mois et se fonde sur l’expérience pilote, les facteurs contextuels locaux ainsi que sur des considérations d’ordre budgétaire et de faisabilité. En tant que membre de cette extension lancée en 2018, SI et les </w:t>
      </w:r>
      <w:r w:rsidRPr="009E4748">
        <w:rPr>
          <w:rFonts w:ascii="Arial" w:eastAsia="Arial" w:hAnsi="Arial" w:cs="Arial"/>
          <w:sz w:val="22"/>
          <w:szCs w:val="22"/>
          <w:bdr w:val="nil"/>
          <w:lang w:val="fr-FR"/>
        </w:rPr>
        <w:t xml:space="preserve">partenaires du MS ont conçu un essai randomisé </w:t>
      </w:r>
      <w:r w:rsidR="00DC3646">
        <w:rPr>
          <w:rFonts w:ascii="Arial" w:eastAsia="Arial" w:hAnsi="Arial" w:cs="Arial"/>
          <w:sz w:val="22"/>
          <w:szCs w:val="22"/>
          <w:bdr w:val="nil"/>
          <w:lang w:val="fr-FR"/>
        </w:rPr>
        <w:t xml:space="preserve">en </w:t>
      </w:r>
      <w:r w:rsidR="00DC3646" w:rsidRPr="009E4748">
        <w:rPr>
          <w:rFonts w:ascii="Arial" w:eastAsia="Arial" w:hAnsi="Arial" w:cs="Arial"/>
          <w:sz w:val="22"/>
          <w:szCs w:val="22"/>
          <w:bdr w:val="nil"/>
          <w:lang w:val="fr-FR"/>
        </w:rPr>
        <w:t xml:space="preserve">grappes </w:t>
      </w:r>
      <w:r w:rsidR="00D511BE">
        <w:rPr>
          <w:rFonts w:ascii="Arial" w:eastAsia="Arial" w:hAnsi="Arial" w:cs="Arial"/>
          <w:sz w:val="22"/>
          <w:szCs w:val="22"/>
          <w:bdr w:val="nil"/>
          <w:lang w:val="fr-FR"/>
        </w:rPr>
        <w:t>avec permutation séquentielle</w:t>
      </w:r>
      <w:r w:rsidRPr="009E4748">
        <w:rPr>
          <w:rFonts w:ascii="Arial" w:eastAsia="Arial" w:hAnsi="Arial" w:cs="Arial"/>
          <w:sz w:val="22"/>
          <w:szCs w:val="22"/>
          <w:bdr w:val="nil"/>
          <w:lang w:val="fr-FR"/>
        </w:rPr>
        <w:t xml:space="preserve"> pour permettre une évaluation rigoureuse de l’efficacité de l’intervention et des stratégies de mise en œuvre destiné à transmettre des informations</w:t>
      </w:r>
      <w:r>
        <w:rPr>
          <w:rFonts w:ascii="Arial" w:eastAsia="Arial" w:hAnsi="Arial" w:cs="Arial"/>
          <w:sz w:val="22"/>
          <w:szCs w:val="22"/>
          <w:bdr w:val="nil"/>
          <w:lang w:val="fr-FR"/>
        </w:rPr>
        <w:t xml:space="preserve"> nécessaires à la politique nationale. </w:t>
      </w:r>
    </w:p>
    <w:p w:rsidR="001C0DEE" w:rsidRDefault="001C0DEE">
      <w:pPr>
        <w:pStyle w:val="NoSpacing"/>
        <w:rPr>
          <w:rFonts w:ascii="Arial" w:hAnsi="Arial" w:cs="Arial"/>
          <w:sz w:val="22"/>
          <w:szCs w:val="22"/>
          <w:lang w:val="es-US"/>
        </w:rPr>
      </w:pPr>
    </w:p>
    <w:p w:rsidR="001C0DEE" w:rsidRDefault="00767532">
      <w:pPr>
        <w:pStyle w:val="NoSpacing"/>
        <w:outlineLvl w:val="0"/>
        <w:rPr>
          <w:rFonts w:ascii="Arial" w:hAnsi="Arial" w:cs="Arial"/>
          <w:i/>
          <w:sz w:val="22"/>
          <w:szCs w:val="22"/>
          <w:lang w:val="es-US"/>
        </w:rPr>
      </w:pPr>
      <w:r>
        <w:rPr>
          <w:rFonts w:ascii="Arial" w:eastAsia="Arial" w:hAnsi="Arial" w:cs="Arial"/>
          <w:i/>
          <w:iCs/>
          <w:sz w:val="22"/>
          <w:szCs w:val="22"/>
          <w:bdr w:val="nil"/>
          <w:lang w:val="fr-FR"/>
        </w:rPr>
        <w:t xml:space="preserve">Justification de la conception de l’étude </w:t>
      </w:r>
    </w:p>
    <w:p w:rsidR="001C0DEE" w:rsidRPr="007C0186" w:rsidRDefault="00767532">
      <w:pPr>
        <w:pStyle w:val="NoSpacing"/>
        <w:rPr>
          <w:rFonts w:ascii="Arial" w:hAnsi="Arial" w:cs="Arial"/>
          <w:sz w:val="22"/>
          <w:szCs w:val="22"/>
          <w:lang w:val="fr-FR"/>
        </w:rPr>
      </w:pPr>
      <w:r>
        <w:rPr>
          <w:rFonts w:ascii="Arial" w:eastAsia="Arial" w:hAnsi="Arial" w:cs="Arial"/>
          <w:sz w:val="22"/>
          <w:szCs w:val="22"/>
          <w:bdr w:val="nil"/>
          <w:lang w:val="fr-FR"/>
        </w:rPr>
        <w:t>Nous avons sélectionné une étude hybride pragmatique de</w:t>
      </w:r>
      <w:r w:rsidR="009E4748">
        <w:rPr>
          <w:rFonts w:ascii="Arial" w:eastAsia="Arial" w:hAnsi="Arial" w:cs="Arial"/>
          <w:sz w:val="22"/>
          <w:szCs w:val="22"/>
          <w:bdr w:val="nil"/>
          <w:lang w:val="fr-FR"/>
        </w:rPr>
        <w:t xml:space="preserve"> </w:t>
      </w:r>
      <w:r>
        <w:rPr>
          <w:rFonts w:ascii="Arial" w:eastAsia="Arial" w:hAnsi="Arial" w:cs="Arial"/>
          <w:sz w:val="22"/>
          <w:szCs w:val="22"/>
          <w:bdr w:val="nil"/>
          <w:lang w:val="fr-FR"/>
        </w:rPr>
        <w:t>type II d’efficacité et de mise en œuvre, puisqu’elle permet des évaluations simultanées combinant différentes méthodes portant sur l’efficacité de l’intervention et sur les stratégies de mise en œuvre dans le cadre de systèmes sanitaires «</w:t>
      </w:r>
      <w:r w:rsidR="00FD3DDA">
        <w:rPr>
          <w:rFonts w:ascii="Arial" w:eastAsia="Arial" w:hAnsi="Arial" w:cs="Arial"/>
          <w:sz w:val="22"/>
          <w:szCs w:val="22"/>
          <w:bdr w:val="nil"/>
          <w:lang w:val="fr-FR"/>
        </w:rPr>
        <w:t> </w:t>
      </w:r>
      <w:r>
        <w:rPr>
          <w:rFonts w:ascii="Arial" w:eastAsia="Arial" w:hAnsi="Arial" w:cs="Arial"/>
          <w:sz w:val="22"/>
          <w:szCs w:val="22"/>
          <w:bdr w:val="nil"/>
          <w:lang w:val="fr-FR"/>
        </w:rPr>
        <w:t>en situation réelle</w:t>
      </w:r>
      <w:r w:rsidR="00FD3DDA">
        <w:rPr>
          <w:rFonts w:ascii="Arial" w:eastAsia="Arial" w:hAnsi="Arial" w:cs="Arial"/>
          <w:sz w:val="22"/>
          <w:szCs w:val="22"/>
          <w:bdr w:val="nil"/>
          <w:lang w:val="fr-FR"/>
        </w:rPr>
        <w:t xml:space="preserve"> » </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{"citationItems":[{"id":"ITEM-1","itemData":{"DOI":"10.1097/MLR.0b013e3182408812","ISSN":"1537-1948","PMID":"22310560","abstract":"OBJECTIVES This study proposes methods for blending design components of clinical effectiveness and implementation research. Such blending can provide benefits over pursuing these lines of research independently; for example, more rapid translational gains, more effective implementation strategies, and more useful information for decision makers. This study proposes a \"hybrid effectiveness-implementation\" typology, describes a rationale for their use, outlines the design decisions that must be faced, and provides several real-world examples. RESULTS An effectiveness-implementation hybrid design is one that takes a dual focus a priori in assessing clinical effectiveness and implementation. We propose 3 hybrid types: (1) testing effects of a clinical intervention on relevant outcomes while observing and gathering information on implementation; (2) dual testing of clinical and implementation interventions/strategies; and (3) testing of an implementation strategy while observing and gathering information on the clinical intervention's impact on relevant outcomes. CONCLUSIONS The hybrid typology proposed herein must be considered a construct still in evolution. Although traditional clinical effectiveness and implementation trials are likely to remain the most common approach to moving a clinical intervention through from efficacy research to public health impact, judicious use of the proposed hybrid designs could speed the translation of research findings into routine practice.","author":[{"dropping-particle":"","family":"Curran","given":"Geoffrey M","non-dropping-particle":"","parse-names":false,"suffix":""},{"dropping-particle":"","family":"Bauer","given":"Mark","non-dropping-particle":"","parse-names":false,"suffix":""},{"dropping-particle":"","family":"Mittman","given":"Brian","non-dropping-particle":"","parse-names":false,"suffix":""},{"dropping-particle":"","family":"Pyne","given":"Jeffrey M","non-dropping-particle":"","parse-names":false,"suffix":""},{"dropping-particle":"","family":"Stetler","given":"Cheryl","non-dropping-particle":"","parse-names":false,"suffix":""}],"container-title":"Medical care","id":"ITEM-1","issue":"3","issued":{"date-parts":[["2012","3"]]},"page":"217-26","publisher":"NIH Public Access","title":"Effectiveness-implementation hybrid designs: combining elements of clinical effectiveness and implementation research to enhance public health impact.","type":"article-journal","volume":"50"},"uris":["http://www.mendeley.com/documents/?uuid=8f220507-84ab-35df-8e92-f89544795d99"]},{"id":"ITEM-2","itemData":{"DOI":"10.1186/1748-5908-8-S1-S2","ISBN":"93:12611267","abstract":"Presentation This article summarizes the three types of hybrid effectiveness implementation designs and associated evaluation methods. It includes a discussion of how hybrid designs have the potential to enhance knowledge development and application of clinical interventions and implementation strategies in \"real world\" settings. The authors propose implications of hybrid designs for quality improvement research. Traditionally, researchers think of knowledge development and application as a uni-directional, step-wise, progression , in which different questions are addressed in isolation. First, a randomized clinical trial (RCT) is deployed to determine if an intervention implemented under controlled conditions has efficacy in specific populations. Next, \"effectiveness research\" methods determine if the effect remains when implemented in less controlled conditions with broader populations. Finally, \"implementa-tion research\" methods, such as cluster randomized controlled trials, are deployed to understand the best methods to introduce the intervention into practice. While systematic , this unidirectional approach can take a great deal of time from the original efficacy study design to the final conclusions about implementation, and conditions may change so that original clinical and policy questions become less relevant [1]. Additionally, the unidirectional approach does not help us understand interaction effects between the intervention and the implementation strategy. Hybrid designs simultaneously evaluate the impact of interventions introduced in real world settings (e.g. \"effec-tiveness\"), and the implementation strategy. Such designs enhance the ability to identify important intervention-implementation interactions, which inform decisions about optimal deployment and generalized impact, and may accelerate the introduction of valuable innovations into practice. This has implications for quality improvement researchers, who are often guiding the deployment and evaluating the impact of interventions in healthcare settings. Types of hybrid designs Hybrid designs form a continuum between pure effectiveness research and pure implementation research, as defined above. Hybrid designs are best suited for the study of minimal risk interventions with at least indirect evidence of effectiveness, and strong face validity to support applicability to the new setting, population or delivery method in question. Each type describes two a priori aims: one for testing …","author":[{"dropping-particle":"","family":"Bernet","given":"Alice C","non-dropping-particle":"","parse-names":false,"suffix":""},{"dropping-particle":"","family":"Willens","given":"David E","non-dropping-particle":"","parse-names":false,"suffix":""},{"dropping-particle":"","family":"Bauer","given":"Mark S","non-dropping-particle":"","parse-names":false,"suffix":""}],"container-title":"Bernet et al. Implementation Science","id":"ITEM-2","issue":"8","issued":{"date-parts":[["2012"]]},"page":"2","title":"Effectiveness-implementation hybrid designs: implications for quality improvement science","type":"article-journal"},"uris":["http://www.mendeley.com/documents/?uuid=a5329d20-a017-35b0-b47a-65b301d3f9a9"]}],"mendeley":{"formattedCitation":"(36,38)","plainTextFormattedCitation":"(36,38)","previouslyFormattedCitation":"(37,39)"},"properties":{"noteIndex":0},"schema":"https://github.com/citation-style-language/schema/raw/master/csl-citation.json"}</w:instrText>
      </w:r>
      <w:r>
        <w:rPr>
          <w:rFonts w:ascii="Arial" w:hAnsi="Arial" w:cs="Arial"/>
          <w:sz w:val="22"/>
          <w:szCs w:val="22"/>
        </w:rPr>
        <w:fldChar w:fldCharType="separate"/>
      </w:r>
      <w:r w:rsidR="00902B77" w:rsidRPr="00902B77">
        <w:rPr>
          <w:rFonts w:ascii="Arial" w:eastAsia="Arial" w:hAnsi="Arial" w:cs="Arial"/>
          <w:noProof/>
          <w:sz w:val="22"/>
          <w:szCs w:val="22"/>
          <w:bdr w:val="nil"/>
          <w:lang w:val="fr-FR"/>
        </w:rPr>
        <w:t>(36,38)</w:t>
      </w:r>
      <w:r>
        <w:rPr>
          <w:rFonts w:ascii="Arial" w:hAnsi="Arial" w:cs="Arial"/>
          <w:sz w:val="22"/>
          <w:szCs w:val="22"/>
        </w:rPr>
        <w:fldChar w:fldCharType="end"/>
      </w:r>
      <w:r>
        <w:rPr>
          <w:rFonts w:ascii="Arial" w:eastAsia="Arial" w:hAnsi="Arial" w:cs="Arial"/>
          <w:sz w:val="22"/>
          <w:szCs w:val="22"/>
          <w:bdr w:val="nil"/>
          <w:lang w:val="fr-FR"/>
        </w:rPr>
        <w:t>. Via cette conception convergente</w:t>
      </w:r>
      <w:r>
        <w:rPr>
          <w:rFonts w:ascii="Arial" w:hAnsi="Arial" w:cs="Arial"/>
          <w:sz w:val="22"/>
          <w:szCs w:val="22"/>
        </w:rPr>
        <w:fldChar w:fldCharType="begin" w:fldLock="1"/>
      </w:r>
      <w:r w:rsidR="00902B77">
        <w:rPr>
          <w:rFonts w:ascii="Arial" w:hAnsi="Arial" w:cs="Arial"/>
          <w:sz w:val="22"/>
          <w:szCs w:val="22"/>
        </w:rPr>
        <w:instrText>ADDIN CSL_CITATION {"citationItems":[{"id":"ITEM-1","itemData":{"DOI":"10.1111/1475-6773.12117","PMID":"24279835","author":[{"dropping-particle":"","family":"Fetters","given":"Michael D","non-dropping-particle":"","parse-names":false,"suffix":""},{"dropping-particle":"","family":"Curry","given":"Leslie A","non-dropping-particle":"","parse-names":false,"suffix":""},{"dropping-particle":"","family":"Creswell","given":"John W","non-dropping-particle":"","parse-names":false,"suffix":""}],"container-title":"Health Services Research","id":"ITEM-1","issue":"6 Pt 2","issued":{"date-parts":[["2013"]]},"page":"2134","publisher":"Health Research &amp; Educational Trust","title":"Achieving Integration in Mixed Methods Designs—Principles and Practices","type":"article-journal","volume":"48"},"uris":["http://www.mendeley.com/documents/?uuid=00c557bb-7b31-3d17-b6ce-2f476057e5df"]}],"mendeley":{"formattedCitation":"(39)","plainTextFormattedCitation":"(39)","previouslyFormattedCitation":"(40)"},"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(39)</w:t>
      </w:r>
      <w:r>
        <w:rPr>
          <w:rFonts w:ascii="Arial" w:hAnsi="Arial" w:cs="Arial"/>
          <w:sz w:val="22"/>
          <w:szCs w:val="22"/>
        </w:rPr>
        <w:fldChar w:fldCharType="end"/>
      </w:r>
      <w:r>
        <w:rPr>
          <w:rFonts w:ascii="Arial" w:eastAsia="Arial" w:hAnsi="Arial" w:cs="Arial"/>
          <w:sz w:val="22"/>
          <w:szCs w:val="22"/>
          <w:bdr w:val="nil"/>
          <w:lang w:val="fr-FR"/>
        </w:rPr>
        <w:t>, nous espérons diffuser régulièrement</w:t>
      </w:r>
      <w:r>
        <w:rPr>
          <w:rFonts w:ascii="Arial" w:hAnsi="Arial" w:cs="Arial"/>
          <w:sz w:val="22"/>
          <w:szCs w:val="22"/>
        </w:rPr>
        <w:fldChar w:fldCharType="begin" w:fldLock="1"/>
      </w:r>
      <w:r w:rsidR="00902B77">
        <w:rPr>
          <w:rFonts w:ascii="Arial" w:hAnsi="Arial" w:cs="Arial"/>
          <w:sz w:val="22"/>
          <w:szCs w:val="22"/>
        </w:rPr>
        <w:instrText>ADDIN CSL_CITATION {"citationItems":[{"id":"ITEM-1","itemData":{"DOI":"10.1186/s12961-016-0089-0","abstract":"Background: There is an increasing interest worldwide to ensure evidence-informed health policymaking as a means to improve health systems performance. There is a need to engage policymakers in collaborative approaches to generate and use knowledge in real world settings. To address this gap, we implemented two interventions based on iterative exchanges between researchers and policymakers/implementers. This article aims to reflect on the implementation and impact of these multi-site evidence-to-policy approaches implemented in low-resource settings. Methods: The first approach was implemented in Mexico and Nicaragua and focused on implementation research facilitated by communities of practice (CoP) among maternal health stakeholders. We conducted a process evaluation of the CoPs and assessed the professionals' abilities to acquire, analyse, adapt and apply research. The second approach, called the Policy BUilding Demand for evidence in Decision making through Interaction and Enhancing Skills (Policy BUDDIES), was implemented in South Africa an</w:instrText>
      </w:r>
      <w:r w:rsidR="00902B77" w:rsidRPr="00762139">
        <w:rPr>
          <w:rFonts w:ascii="Arial" w:hAnsi="Arial" w:cs="Arial"/>
          <w:sz w:val="22"/>
          <w:szCs w:val="22"/>
          <w:lang w:val="fr-FR"/>
        </w:rPr>
        <w:instrText>d Cameroon. The intervention put forth a 'buddying' process to enhance demand and use of systematic reviews by sub-national policymakers. The Policy BUDDIES initiative was assessed using a mixed-methods realist evaluation design.","author":[{"dropping-particle":"V","family":"Langlois","given":"Etienne","non-dropping-particle":"","parse-names":false,"suffix":""},{"dropping-particle":"","family":"Montekio","given":"Victor Becerril","non-dropping-particle":"","parse-names":false,"suffix":""},{"dropping-particle":"","family":"Young","given":"Taryn","non-dropping-particle":"","parse-names":false,"suffix":""},{"dropping-particle":"","family":"Song","given":"Kayla","non-dropping-particle":"","parse-names":false,"suffix":""},{"dropping-particle":"","family":"Alcalde-Rabanal","given":"Jacqueline","non-dropping-particle":"","parse-names":false,"suffix":""},{"dropping-particle":"","family":"Tran","given":"Nhan","non-dropping-particle":"","parse-names":false,"suffix":""}],"id":"ITEM-1","issued":{"date-parts":[["2016"]]},"title":"Enhancing evidence informed policymaking in complex health systems: lessons from multi-site collaborative approaches","type":"article-journal"},"uris":["http://www.mendeley.com/documents/?uuid=d57e686c-0df5-3c48-9856-d9251bd301cd"]}],"mendeley":{"formattedCitation":"(40)","plainTextFormattedCitation":"(40)","previouslyFormattedCitation":"(41)"},"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(40)</w:t>
      </w:r>
      <w:r>
        <w:rPr>
          <w:rFonts w:ascii="Arial" w:hAnsi="Arial" w:cs="Arial"/>
          <w:sz w:val="22"/>
          <w:szCs w:val="22"/>
        </w:rPr>
        <w:fldChar w:fldCharType="end"/>
      </w:r>
      <w:r>
        <w:rPr>
          <w:rFonts w:ascii="Arial" w:eastAsia="Arial" w:hAnsi="Arial" w:cs="Arial"/>
          <w:sz w:val="22"/>
          <w:szCs w:val="22"/>
          <w:bdr w:val="nil"/>
          <w:lang w:val="fr-FR"/>
        </w:rPr>
        <w:t xml:space="preserve"> nos résultats d’étude aux partenaires du MS. Les mesures de l’efficacité fourniront des preuves soutenant ou non l’impact de l’intervention de </w:t>
      </w:r>
      <w:r w:rsidR="004F17D5">
        <w:rPr>
          <w:rFonts w:ascii="Arial" w:eastAsia="Arial" w:hAnsi="Arial" w:cs="Arial"/>
          <w:sz w:val="22"/>
          <w:szCs w:val="22"/>
          <w:bdr w:val="nil"/>
          <w:lang w:val="fr-FR"/>
        </w:rPr>
        <w:t>RSS</w:t>
      </w:r>
      <w:r w:rsidR="00563657">
        <w:rPr>
          <w:rFonts w:ascii="Arial" w:eastAsia="Arial" w:hAnsi="Arial" w:cs="Arial"/>
          <w:sz w:val="22"/>
          <w:szCs w:val="22"/>
          <w:bdr w:val="nil"/>
          <w:lang w:val="fr-FR"/>
        </w:rPr>
        <w:t>B</w:t>
      </w:r>
      <w:r w:rsidR="004F17D5">
        <w:rPr>
          <w:rFonts w:ascii="Arial" w:eastAsia="Arial" w:hAnsi="Arial" w:cs="Arial"/>
          <w:sz w:val="22"/>
          <w:szCs w:val="22"/>
          <w:bdr w:val="nil"/>
          <w:lang w:val="fr-FR"/>
        </w:rPr>
        <w:t xml:space="preserve">C </w:t>
      </w:r>
      <w:r>
        <w:rPr>
          <w:rFonts w:ascii="Arial" w:eastAsia="Arial" w:hAnsi="Arial" w:cs="Arial"/>
          <w:sz w:val="22"/>
          <w:szCs w:val="22"/>
          <w:bdr w:val="nil"/>
          <w:lang w:val="fr-FR"/>
        </w:rPr>
        <w:t>sur la mortalité infantile et, via cette conception pragmatique, fourniront des estimations plus propices à la généralisation par rapport aux conceptions d’étude</w:t>
      </w:r>
      <w:r w:rsidR="00D511BE">
        <w:rPr>
          <w:rFonts w:ascii="Arial" w:eastAsia="Arial" w:hAnsi="Arial" w:cs="Arial"/>
          <w:sz w:val="22"/>
          <w:szCs w:val="22"/>
          <w:bdr w:val="nil"/>
          <w:lang w:val="fr-FR"/>
        </w:rPr>
        <w:t>s</w:t>
      </w:r>
      <w:r>
        <w:rPr>
          <w:rFonts w:ascii="Arial" w:eastAsia="Arial" w:hAnsi="Arial" w:cs="Arial"/>
          <w:sz w:val="22"/>
          <w:szCs w:val="22"/>
          <w:bdr w:val="nil"/>
          <w:lang w:val="fr-FR"/>
        </w:rPr>
        <w:t xml:space="preserve"> traditionnelles</w:t>
      </w:r>
      <w:r>
        <w:rPr>
          <w:rFonts w:ascii="Arial" w:hAnsi="Arial" w:cs="Arial"/>
          <w:sz w:val="22"/>
          <w:szCs w:val="22"/>
        </w:rPr>
        <w:fldChar w:fldCharType="begin" w:fldLock="1"/>
      </w:r>
      <w:r w:rsidR="00902B77">
        <w:rPr>
          <w:rFonts w:ascii="Arial" w:hAnsi="Arial" w:cs="Arial"/>
          <w:sz w:val="22"/>
          <w:szCs w:val="22"/>
          <w:lang w:val="fr-FR"/>
        </w:rPr>
        <w:instrText>ADDIN CSL_CITATION {"citationItems":[{"id":"ITEM-1","itemData":{"DOI":"10.1097/MLR.0b013e3182408812","ISSN":"1537-1948","PMID":"22310560","abstract":"OBJECTIVES This study proposes methods for blending design components of clinical effectiveness and implementation research. Such blending can provide benefits over pursuing these lines of research independently; for example, more rapid translational gains, more effective implementation strategies, and more useful information for decision makers. This study proposes a \"hybrid effectiveness-implementation\" typology, describes a rationale for their use, outlines the design decisions that must be faced, and provides several real-world examples. RESULTS An effectiveness-implementation hybrid design is one that takes a dual focus a priori in assessing clinical effectiveness and implementation. We propose 3 hybrid types: (1) testing effects of a clinical intervention on relevant outcomes while observing and gathering information on implementation; (2) dual testing of clinical and implementation interventions/strategies; and (3) testing of an implementation strategy while observing and gathering information on the clinical intervention's impact on relevant outcomes. CONCLUSIONS The hybrid typology proposed herein must be considered a construct still in evolution. Although traditional clinical effectiveness and implementation trials are likely to remain the most common approach to moving a clinical intervention through from efficacy research to public health impact, judicious use of the proposed hybrid designs could speed the translation of research findings into routine practice.","author":[{"dropping-particle":"","family":"Curran","given":"Geoffrey M","non-dropping-particle":"","parse-names":false,"suffix":""},{"dropping-particle":"","family":"Bauer","given":"Mark","non-dropping-particle":"","parse-names":false,"suffix":""},{"dropping-particle":"","family":"Mittman","given":"Brian","non-dropping-particle":"","parse-names":false,"suffix":""},{"dropping-particle":"","family":"Pyne","given":"Jeffrey M","non-dropping-particle":"","parse-names":false,"suffix":""},{"dropping-particle":"","family":"Stetler","given":"Cheryl","non-dropping-particle":"","parse-names":false,"suffix":""}],"container-title":"Medical care","id":"ITEM-1","issue":"3","issued":{"date-parts":[["2012","3"]]},"page":"217-26","publisher":"NIH Public Access","title":"Effectiveness-implementation hybrid designs: combining elements of clinical effectiveness and implementation research to enhance public health impact.","type":"article-journal","volume":"50"},"uris":["http://www.mendeley.com/documents/?uuid=8f220507-84ab-35df-8e92-f89544795d99"]}],"mendeley":{"formattedCitation":"(36)","plainTextFormattedCitation":"(36)","previouslyFormattedCitation":"(37)"},"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(36)</w:t>
      </w:r>
      <w:r>
        <w:rPr>
          <w:rFonts w:ascii="Arial" w:hAnsi="Arial" w:cs="Arial"/>
          <w:sz w:val="22"/>
          <w:szCs w:val="22"/>
        </w:rPr>
        <w:fldChar w:fldCharType="end"/>
      </w:r>
      <w:r>
        <w:rPr>
          <w:rFonts w:ascii="Arial" w:eastAsia="Arial" w:hAnsi="Arial" w:cs="Arial"/>
          <w:sz w:val="22"/>
          <w:szCs w:val="22"/>
          <w:bdr w:val="nil"/>
          <w:lang w:val="fr-FR"/>
        </w:rPr>
        <w:t xml:space="preserve">. Évaluer la stratégie de mise en œuvre créera des connaissances sur les résultats du processus et la faisabilité, incluant les obstacles et les facteurs favorables, les éléments principaux qui peuvent être généralisés et où l’adaptation locale est indispensable pour une reproduction dans d’autres situations. Ces connaissances pouvant être mises en pratique sont indispensables pour les acteurs de la mise en œuvre dans les </w:t>
      </w:r>
      <w:r w:rsidR="00563657">
        <w:rPr>
          <w:rFonts w:ascii="Arial" w:eastAsia="Arial" w:hAnsi="Arial" w:cs="Arial"/>
          <w:sz w:val="22"/>
          <w:szCs w:val="22"/>
          <w:bdr w:val="nil"/>
          <w:lang w:val="fr-FR"/>
        </w:rPr>
        <w:t xml:space="preserve">formations </w:t>
      </w:r>
      <w:r w:rsidR="00884002">
        <w:rPr>
          <w:rFonts w:ascii="Arial" w:eastAsia="Arial" w:hAnsi="Arial" w:cs="Arial"/>
          <w:sz w:val="22"/>
          <w:szCs w:val="22"/>
          <w:bdr w:val="nil"/>
          <w:lang w:val="fr-FR"/>
        </w:rPr>
        <w:t>sanitaires</w:t>
      </w:r>
      <w:r w:rsidR="00563657">
        <w:rPr>
          <w:rFonts w:ascii="Arial" w:eastAsia="Arial" w:hAnsi="Arial" w:cs="Arial"/>
          <w:sz w:val="22"/>
          <w:szCs w:val="22"/>
          <w:bdr w:val="nil"/>
          <w:lang w:val="fr-FR"/>
        </w:rPr>
        <w:t xml:space="preserve"> </w:t>
      </w:r>
      <w:r>
        <w:rPr>
          <w:rFonts w:ascii="Arial" w:eastAsia="Arial" w:hAnsi="Arial" w:cs="Arial"/>
          <w:sz w:val="22"/>
          <w:szCs w:val="22"/>
          <w:bdr w:val="nil"/>
          <w:lang w:val="fr-FR"/>
        </w:rPr>
        <w:t>à faible et moyen revenu, en particulier pour les interventions de systèmes sanitaires complexes</w:t>
      </w:r>
      <w:r>
        <w:rPr>
          <w:rFonts w:ascii="Arial" w:hAnsi="Arial" w:cs="Arial"/>
          <w:sz w:val="22"/>
          <w:szCs w:val="22"/>
        </w:rPr>
        <w:fldChar w:fldCharType="begin" w:fldLock="1"/>
      </w:r>
      <w:r w:rsidR="00902B77">
        <w:rPr>
          <w:rFonts w:ascii="Arial" w:hAnsi="Arial" w:cs="Arial"/>
          <w:sz w:val="22"/>
          <w:szCs w:val="22"/>
          <w:lang w:val="fr-FR"/>
        </w:rPr>
        <w:instrText>ADDIN CSL_CITATION {"citationItems":[{"id":"ITEM-1","itemData":{"DOI":"10.1016/S2214-109X(18)30482-0","ISSN":"2214109X","PMID":"30430994","abstract":"Optimising community health worker (CHW) programmes requires evidence-based policies on their education, deployment, and management. This guideline aims to inform efforts by planners, policy makers, and managers to improve CHW programmes as part of an integrated approach to strengthen primary health care and health systems. The development of this guideline followed the standard WHO approach to developing global guidelines. We conducted one overview of reviews, 15 systematic reviews (each one on a specific policy question), and a survey of stakeholders' views on the acceptability and feasibility of the interventions under consideration. We assessed the quality of systematic reviews using the AMSTAR tool, and the certainty of the evidence using the GRADE methodology. The overview of reviews identified 122 eligible articles and the systematic reviews identified 137 eligible primary studies. The stakeholder perception survey obtained inputs from 96 respondents. Recommendations were developed in the areas of CHW selection, preservice education, certification, supervision, remuneration and career advancement, planning, community embeddedness, and health system support. These are the first evidence-based global guidelines for health policy and system support to optimise community health worker programmes. Key considerations for implementation include the need to define the role of CHWs in relation to other health workers and plan for the health workforce as a whole rather than by specific occupational groups; appropriately integrate CHW programmes into the general health system and existing community systems; and ensure internal coherence and consistency across different policies and programmes affecting CHWs.","author":[{"dropping-particle":"","family":"Cometto","given":"Giorgio","non-dropping-particle":"","parse-names":false,"suffix":""},{"dropping-particle":"","family":"Ford","given":"Nathan","non-dropping-particle":"","parse-names":false,"suffix":""},{"dropping-particle":"","family":"Pfaffman-Zambruni","given":"Jerome","non-dropping-particle":"","parse-names":false,"suffix":""},{"dropping-particle":"","family":"Akl","given":"Elie A","non-dropping-particle":"","parse-names":false,"suffix":""},{"dropping-particle":"","family":"Lehmann","given":"Uta","non-dropping-particle":"","parse-names":false,"suffix":""},{"dropping-particle":"","family":"McPake","given":"Barbara","non-dropping-particle":"","parse-names":false,"suffix":""},{"dropping-particle":"","family":"Ballard","given":"Madeleine","non-dropping-particle":"","parse-names":false,"suffix":""},{"dropping-particle":"","family":"Kok","given":"Maryse","non-dropping-particle":"","parse-names":false,"suffix":""},{"dropping-particle":"","family":"Najafizada","given":"Maisam","non-dropping-particle":"","parse-names":false,"suffix":""},{"dropping-particle":"","family":"Olaniran","given":"Abimbola","non-dropping-particle":"","parse-names":false,"suffix":""},{"dropping-particle":"","family":"Ajuebor","given":"Onyema","non-dropping-particle":"","parse-names":false,"suffix":""},{"dropping-particle":"","family":"Perry","given":"Henry B","non-dropping-particle":"","parse-names":false,"suffix":""},{"dropping-particle":"","family":"Scott","given":"Kerry","non-dropping-particle":"","parse-names":false,"suffix":""},{"dropping-particle":"","family":"Albers","given":"Bianca","non-dropping-particle":"","parse-names":false,"suffix":""},{"dropping-particle":"","family":"Shlonsky","given":"Aron","non-dropping-particle":"","parse-names":false,"suffix":""},{"dropping-particle":"","family":"Taylor","given":"David","non-dropping-particle":"","parse-names":false,"suffix":""}],"container-title":"The Lancet Global Health","id":"ITEM-1","issue":"12","issued":{"date-parts":[["2018","12"]]},"page":"e1397-e1404","title":"Health policy and system support to optimise community health worker programmes: an abridged WHO guideline","type":"article-journal","volume":"6"},"uris":["http://www.mendeley.com/documents/?uuid=932cf6dc-2e5e-32f0-b777-ddb1a81923ee"]},{"id":"ITEM-2","itemData":{"DOI":"10.1071/HE16056","ISSN":"10361073","author":[{"dropping-particle":"","family":"Wolfenden","given":"Luke","non-dropping-particle":"","parse-names":false,"suffix":""},{"dropping-particle":"","family":"Williams","given":"Christopher M.","non-dropping-particle":"","parse-names":false,"suffix":""},{"dropping-particle":"","family":"Wiggers","given":"John","non-dropping-particle":"","parse-names":false,"suffix":""},{"dropping-particle":"","family":"Nathan","given":"Nicole","non-dropping-particle":"","parse-names":false,"suffix":""},{"dropping-particle":"","family":"Yoong","given":"Sze Lin","non-dropping-particle":"","parse-names":false,"suffix":""}],"container-title":"Health Promotion Journal of Australia","id":"ITEM-2","issue":"3","issued":{"date-parts":[["2016","12","1"]]},"page":"204-207","publisher":"John Wiley &amp; Sons, Ltd","title":"Improving the translation of health promotion interventions using effectiveness-implementation hybrid designs in program evaluations","type":"article-journal","volume":"27"},"uris":["http://www.mendeley.com/documents/?uuid=de09fbc4-f27e-3410-a8ce-6396e4fa5fe0"]}],"mendeley":{"formattedCitation":"(12,41)","plainTextFormattedCitation":"(12,41)","previouslyFormattedCitation":"(12,42)"},"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(12,41)</w:t>
      </w:r>
      <w:r>
        <w:rPr>
          <w:rFonts w:ascii="Arial" w:hAnsi="Arial" w:cs="Arial"/>
          <w:sz w:val="22"/>
          <w:szCs w:val="22"/>
        </w:rPr>
        <w:fldChar w:fldCharType="end"/>
      </w:r>
      <w:r>
        <w:rPr>
          <w:rFonts w:ascii="Arial" w:eastAsia="Arial" w:hAnsi="Arial" w:cs="Arial"/>
          <w:sz w:val="22"/>
          <w:szCs w:val="22"/>
          <w:bdr w:val="nil"/>
          <w:lang w:val="fr-FR"/>
        </w:rPr>
        <w:t xml:space="preserve">. </w:t>
      </w:r>
    </w:p>
    <w:p w:rsidR="001C0DEE" w:rsidRPr="007C0186" w:rsidRDefault="001C0DEE" w:rsidP="00815904">
      <w:pPr>
        <w:rPr>
          <w:lang w:val="fr-FR"/>
        </w:rPr>
      </w:pPr>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lastRenderedPageBreak/>
        <w:t xml:space="preserve">Bien que notre étude pilote préliminaire à Kozah ait fourni des données initiales suggérant l’efficacité du </w:t>
      </w:r>
      <w:r w:rsidR="004F17D5">
        <w:rPr>
          <w:rFonts w:ascii="Arial" w:eastAsia="Arial" w:hAnsi="Arial" w:cs="Arial"/>
          <w:sz w:val="22"/>
          <w:szCs w:val="22"/>
          <w:bdr w:val="nil"/>
          <w:lang w:val="fr-FR"/>
        </w:rPr>
        <w:t>RSS</w:t>
      </w:r>
      <w:r w:rsidR="00563657">
        <w:rPr>
          <w:rFonts w:ascii="Arial" w:eastAsia="Arial" w:hAnsi="Arial" w:cs="Arial"/>
          <w:sz w:val="22"/>
          <w:szCs w:val="22"/>
          <w:bdr w:val="nil"/>
          <w:lang w:val="fr-FR"/>
        </w:rPr>
        <w:t>B</w:t>
      </w:r>
      <w:r w:rsidR="004F17D5">
        <w:rPr>
          <w:rFonts w:ascii="Arial" w:eastAsia="Arial" w:hAnsi="Arial" w:cs="Arial"/>
          <w:sz w:val="22"/>
          <w:szCs w:val="22"/>
          <w:bdr w:val="nil"/>
          <w:lang w:val="fr-FR"/>
        </w:rPr>
        <w:t>C</w:t>
      </w:r>
      <w:r>
        <w:rPr>
          <w:rFonts w:ascii="Arial" w:eastAsia="Arial" w:hAnsi="Arial" w:cs="Arial"/>
          <w:sz w:val="22"/>
          <w:szCs w:val="22"/>
          <w:bdr w:val="nil"/>
          <w:lang w:val="fr-FR"/>
        </w:rPr>
        <w:t xml:space="preserve">, ces résultats présentent une capacité limitée dans </w:t>
      </w:r>
      <w:r w:rsidRPr="009E4748">
        <w:rPr>
          <w:rFonts w:ascii="Arial" w:eastAsia="Arial" w:hAnsi="Arial" w:cs="Arial"/>
          <w:sz w:val="22"/>
          <w:szCs w:val="22"/>
          <w:bdr w:val="nil"/>
          <w:lang w:val="fr-FR"/>
        </w:rPr>
        <w:t>l’établissement d’une</w:t>
      </w:r>
      <w:r>
        <w:rPr>
          <w:rFonts w:ascii="Arial" w:eastAsia="Arial" w:hAnsi="Arial" w:cs="Arial"/>
          <w:sz w:val="22"/>
          <w:szCs w:val="22"/>
          <w:bdr w:val="nil"/>
          <w:lang w:val="fr-FR"/>
        </w:rPr>
        <w:t xml:space="preserve"> causalité en raison d’une conception à bras unique et de l’absence de groupe de comparaison valide. En outre, notre étude pilote n’a pas été conçue pour évaluer les stratégies de mise en œuvre requises afin de fournir des données pouvant être généralisées et ainsi aider à la reproduction et à la détermination de l’échelle.</w:t>
      </w:r>
    </w:p>
    <w:p w:rsidR="001C0DEE" w:rsidRDefault="001C0DEE">
      <w:pPr>
        <w:pStyle w:val="NoSpacing"/>
        <w:rPr>
          <w:rFonts w:ascii="Arial" w:hAnsi="Arial" w:cs="Arial"/>
          <w:sz w:val="22"/>
          <w:szCs w:val="22"/>
          <w:lang w:val="es-US"/>
        </w:rPr>
      </w:pPr>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t xml:space="preserve">Afin de remédier à ces limitations et évaluer rigoureusement l’efficacité du </w:t>
      </w:r>
      <w:r w:rsidR="004F17D5">
        <w:rPr>
          <w:rFonts w:ascii="Arial" w:eastAsia="Arial" w:hAnsi="Arial" w:cs="Arial"/>
          <w:sz w:val="22"/>
          <w:szCs w:val="22"/>
          <w:bdr w:val="nil"/>
          <w:lang w:val="fr-FR"/>
        </w:rPr>
        <w:t>RSS</w:t>
      </w:r>
      <w:r w:rsidR="00563657">
        <w:rPr>
          <w:rFonts w:ascii="Arial" w:eastAsia="Arial" w:hAnsi="Arial" w:cs="Arial"/>
          <w:sz w:val="22"/>
          <w:szCs w:val="22"/>
          <w:bdr w:val="nil"/>
          <w:lang w:val="fr-FR"/>
        </w:rPr>
        <w:t>B</w:t>
      </w:r>
      <w:r w:rsidR="004F17D5">
        <w:rPr>
          <w:rFonts w:ascii="Arial" w:eastAsia="Arial" w:hAnsi="Arial" w:cs="Arial"/>
          <w:sz w:val="22"/>
          <w:szCs w:val="22"/>
          <w:bdr w:val="nil"/>
          <w:lang w:val="fr-FR"/>
        </w:rPr>
        <w:t xml:space="preserve">C </w:t>
      </w:r>
      <w:r>
        <w:rPr>
          <w:rFonts w:ascii="Arial" w:eastAsia="Arial" w:hAnsi="Arial" w:cs="Arial"/>
          <w:sz w:val="22"/>
          <w:szCs w:val="22"/>
          <w:bdr w:val="nil"/>
          <w:lang w:val="fr-FR"/>
        </w:rPr>
        <w:t xml:space="preserve">et la stratégie de mise en œuvre, nous conduirons une évaluation sommative combinant différentes méthodes à l’aide d’un cadre </w:t>
      </w:r>
      <w:r w:rsidR="003279EC">
        <w:rPr>
          <w:rFonts w:ascii="Arial" w:eastAsia="Arial" w:hAnsi="Arial" w:cs="Arial"/>
          <w:noProof/>
          <w:sz w:val="22"/>
          <w:szCs w:val="22"/>
          <w:bdr w:val="nil"/>
          <w:lang w:val="fr-FR"/>
        </w:rPr>
        <w:t>RE-AIM</w:t>
      </w:r>
      <w:r>
        <w:rPr>
          <w:rFonts w:ascii="Arial" w:eastAsia="Arial" w:hAnsi="Arial" w:cs="Arial"/>
          <w:sz w:val="22"/>
          <w:szCs w:val="22"/>
          <w:bdr w:val="nil"/>
          <w:lang w:val="fr-FR"/>
        </w:rPr>
        <w:t xml:space="preserve"> (portée, efficacité, adoption, mise en œuvre, maintien) modifié</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{"citationItems":[{"id":"ITEM-1","itemData":{"ISSN":"0090-0036","PMID":"10474547","abstract":"Progress in public health and community-based interventions has been hampered by the lack of a comprehensive evaluation framework appropriate to such programs. Multilevel interventions that incorporate policy, environmental, and individual components should be evaluated with measurements suited to their settings, goals, and purpose. In this commentary, the authors propose a model (termed the RE-AIM model) for evaluating public health interventions that assesses 5 dimensions: reach, efficacy, adoption, implementation, and maintenance. These dimensions occur at multiple levels (e.g., individual, clinic or organization, community) and interact to determine the public health or population-based impact of a program or policy. The authors discuss issues in evaluating each of these dimensions and combining them to determine overall public health impact. Failure to adequately evaluate programs on all 5 dimensions can lead to a waste of resources, discontinuities between stages of research, and failure to improve public health to the limits of our capacity. The authors summarize strengths and limitations of the RE-AIM model and recommend areas for future research and application.","author":[{"dropping-particle":"","family":"Glasgow","given":"R E","non-dropping-particle":"","parse-names":false,"suffix":""},{"dropping-particle":"","family":"Vogt","given":"T M","non-dropping-particle":"","parse-names":false,"suffix":""},{"dropping-particle":"","family":"Boles","given":"S M","non-dropping-particle":"","parse-names":false,"suffix":""}],"container-title":"American journal of public health","id":"ITEM-1","issue":"9","issued":{"date-parts":[["1999","9"]]},"page":"1322-7","title":"Evaluating the public health impact of health promotion interventions: the RE-AIM framework.","type":"article-journal","volume":"89"},"uris":["http://www.mendeley.com/documents/?uuid=ea1fd9fa-af52-4de9-94bd-b5a7e8f5bbc2"]}],"mendeley":{"formattedCitation":"(42)","plainTextFormattedCitation":"(42)","previouslyFormattedCitation":"(43)"},"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(42)</w:t>
      </w:r>
      <w:r>
        <w:rPr>
          <w:rFonts w:ascii="Arial" w:hAnsi="Arial" w:cs="Arial"/>
          <w:sz w:val="22"/>
          <w:szCs w:val="22"/>
        </w:rPr>
        <w:fldChar w:fldCharType="end"/>
      </w:r>
      <w:r>
        <w:rPr>
          <w:rFonts w:ascii="Arial" w:eastAsia="Arial" w:hAnsi="Arial" w:cs="Arial"/>
          <w:sz w:val="22"/>
          <w:szCs w:val="22"/>
          <w:bdr w:val="nil"/>
          <w:lang w:val="fr-FR"/>
        </w:rPr>
        <w:t>. Ce cadre est un outil pratique qui permet d’évaluer les interventions complexes dans la pratique réelle, y compris les mesures de l’efficacité clinique et la stratégie de mise en œuvre</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{"citationItems":[{"id":"ITEM-1","itemData":{"DOI":"10.5888/pcd15.170271","ISSN":"1545-1151","author":[{"dropping-particle":"","family":"Glasgow","given":"Russell E.","non-dropping-particle":"","parse-names":false,"suffix":""},{"dropping-particle":"","family":"Estabrooks","given":"Paul E.","non-dropping-particle":"","parse-names":false,"suffix":""}],"container-title":"Preventing Chronic Disease","id":"ITEM-1","issued":{"date-parts":[["2018","1","4"]]},"page":"170271","title":"Pragmatic Applications of RE-AIM for Health Care Initiatives in Community and Clinical Settings","type":"article-journal","volume":"15"},"uris":["http://www.mendeley.com/documents/?uuid=e96c99f0-8b38-38ed-8bb2-a71fa9965153"]}],"mendeley":{"formattedCitation":"(43)","plainTextFormattedCitation":"(43)","previouslyFormattedCitation":"(44)"},"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(43)</w:t>
      </w:r>
      <w:r>
        <w:rPr>
          <w:rFonts w:ascii="Arial" w:hAnsi="Arial" w:cs="Arial"/>
          <w:sz w:val="22"/>
          <w:szCs w:val="22"/>
        </w:rPr>
        <w:fldChar w:fldCharType="end"/>
      </w:r>
      <w:r>
        <w:rPr>
          <w:rFonts w:ascii="Arial" w:eastAsia="Arial" w:hAnsi="Arial" w:cs="Arial"/>
          <w:sz w:val="22"/>
          <w:szCs w:val="22"/>
          <w:bdr w:val="nil"/>
          <w:lang w:val="fr-FR"/>
        </w:rPr>
        <w:t xml:space="preserve">. L’efficacité sera mesurée à l’aide du résultat principal, la mortalité chez les enfants âgés de moins de cinq ans, au moyen d’une conception contrôlée randomisée par groupes avec permutations. La stratégie de mise en œuvre sera évaluée par les mesures de portée, d’adoption, de mise en œuvre et de maintien de l’intervention de </w:t>
      </w:r>
      <w:r w:rsidR="004F17D5">
        <w:rPr>
          <w:rFonts w:ascii="Arial" w:eastAsia="Arial" w:hAnsi="Arial" w:cs="Arial"/>
          <w:sz w:val="22"/>
          <w:szCs w:val="22"/>
          <w:bdr w:val="nil"/>
          <w:lang w:val="fr-FR"/>
        </w:rPr>
        <w:t>RSS</w:t>
      </w:r>
      <w:r w:rsidR="00563657">
        <w:rPr>
          <w:rFonts w:ascii="Arial" w:eastAsia="Arial" w:hAnsi="Arial" w:cs="Arial"/>
          <w:sz w:val="22"/>
          <w:szCs w:val="22"/>
          <w:bdr w:val="nil"/>
          <w:lang w:val="fr-FR"/>
        </w:rPr>
        <w:t>B</w:t>
      </w:r>
      <w:r w:rsidR="004F17D5">
        <w:rPr>
          <w:rFonts w:ascii="Arial" w:eastAsia="Arial" w:hAnsi="Arial" w:cs="Arial"/>
          <w:sz w:val="22"/>
          <w:szCs w:val="22"/>
          <w:bdr w:val="nil"/>
          <w:lang w:val="fr-FR"/>
        </w:rPr>
        <w:t xml:space="preserve">C </w:t>
      </w:r>
      <w:r>
        <w:rPr>
          <w:rFonts w:ascii="Arial" w:eastAsia="Arial" w:hAnsi="Arial" w:cs="Arial"/>
          <w:sz w:val="22"/>
          <w:szCs w:val="22"/>
          <w:bdr w:val="nil"/>
          <w:lang w:val="fr-FR"/>
        </w:rPr>
        <w:t xml:space="preserve">via le recueil de données auprès des informateurs clés, des </w:t>
      </w:r>
      <w:r w:rsidR="00563657">
        <w:rPr>
          <w:rFonts w:ascii="Arial" w:eastAsia="Arial" w:hAnsi="Arial" w:cs="Arial"/>
          <w:sz w:val="22"/>
          <w:szCs w:val="22"/>
          <w:bdr w:val="nil"/>
          <w:lang w:val="fr-FR"/>
        </w:rPr>
        <w:t xml:space="preserve">formations sanitaires </w:t>
      </w:r>
      <w:r>
        <w:rPr>
          <w:rFonts w:ascii="Arial" w:eastAsia="Arial" w:hAnsi="Arial" w:cs="Arial"/>
          <w:sz w:val="22"/>
          <w:szCs w:val="22"/>
          <w:bdr w:val="nil"/>
          <w:lang w:val="fr-FR"/>
        </w:rPr>
        <w:t>et des</w:t>
      </w:r>
      <w:r w:rsidR="00563657">
        <w:rPr>
          <w:rFonts w:ascii="Arial" w:eastAsia="Arial" w:hAnsi="Arial" w:cs="Arial"/>
          <w:sz w:val="22"/>
          <w:szCs w:val="22"/>
          <w:bdr w:val="nil"/>
          <w:lang w:val="fr-FR"/>
        </w:rPr>
        <w:t xml:space="preserve"> </w:t>
      </w:r>
      <w:r>
        <w:rPr>
          <w:rFonts w:ascii="Arial" w:eastAsia="Arial" w:hAnsi="Arial" w:cs="Arial"/>
          <w:sz w:val="22"/>
          <w:szCs w:val="22"/>
          <w:bdr w:val="nil"/>
          <w:lang w:val="fr-FR"/>
        </w:rPr>
        <w:t>populations générales desservies</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{"citationItems":[{"id":"ITEM-1","itemData":{"DOI":"10.1093/her/cyl081","abstract":"Current public health and medical evidence rely heavily on efficacy information to make decisions regarding intervention impact. This evidence base could be enhanced by research studies that evaluate and report multiple in-dicators of internal and external validity such as Reach, Effectiveness, Adoption, Implemen-tation and Maintenance (RE-AIM) as well as their combined impact. However, indices that summarize the combined impact of, and com-plex interactions among, intervention outcome dimensions are not currently available. We pro-pose and discuss a series of composite metrics that combine two or more RE-AIM dimensions, and can be used to estimate overall interven-tion impact. Although speculative and, at this point, there have been limited empirical data on these metrics, they extend current methods and are offered to yield more integrated composite outcomes relevant to public health. Such ap-proaches offer potential to help identify in-terventions most likely to meaningfully impact population health.","author":[{"dropping-particle":"","family":"Glasgow","given":"Russell E","non-dropping-particle":"","parse-names":false,"suffix":""},{"dropping-particle":"","family":"Klesges","given":"Lisa M","non-dropping-particle":"","parse-names":false,"suffix":""},{"dropping-particle":"","family":"Dzewaltowski","given":"David A","non-dropping-particle":"","parse-names":false,"suffix":""},{"dropping-particle":"","family":"Estabrooks","given":"Paul A","non-dropping-particle":"","parse-names":false,"suffix":""},{"dropping-particle":"","family":"Vogt","given":"Thomas M","non-dropping-particle":"","parse-names":false,"suffix":""}],"container-title":"Health Education Research","id":"ITEM-1","issue":"5","issued":{"date-parts":[["2006"]]},"page":"688-694","title":"Evaluating the impact of health promotion programs: using the RE-AIM framework to form summary measures for decision making involving complex issues","type":"article-journal","volume":"21"},"uris":["http://www.mendeley.com/documents/?uuid=460d08b8-405b-4b7c-abc9-77e6f12edf05"]}],"mendeley":{"formattedCitation":"(44)","plainTextFormattedCitation":"(44)","previouslyFormattedCitation":"(45)"},"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(44)</w:t>
      </w:r>
      <w:r>
        <w:rPr>
          <w:rFonts w:ascii="Arial" w:hAnsi="Arial" w:cs="Arial"/>
          <w:sz w:val="22"/>
          <w:szCs w:val="22"/>
        </w:rPr>
        <w:fldChar w:fldCharType="end"/>
      </w:r>
      <w:r>
        <w:rPr>
          <w:rFonts w:ascii="Arial" w:eastAsia="Arial" w:hAnsi="Arial" w:cs="Arial"/>
          <w:sz w:val="22"/>
          <w:szCs w:val="22"/>
          <w:bdr w:val="nil"/>
          <w:lang w:val="fr-FR"/>
        </w:rPr>
        <w:t>. Ce cadre d’évaluation adapté permettra d’améliorer la conception traditionnelle avec permutations en incluant les mesures de la fidélité de la mise en œuvre</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{"citationItems":[{"id":"ITEM-1","itemData":{"DOI":"10.2105/AJPH.2007.126847","abstract":"How are research results translated to public health practice? What is the responsibility of researchers , funding agencies, and journals in facilitating the use of research results in public health programs or policies? We address selected aspects of these questions and announce a new emphasis of the Journal on external validity for appropriate manuscripts.","author":[{"dropping-particle":"","family":"Steckler","given":"Allan","non-dropping-particle":"","parse-names":false,"suffix":""},{"dropping-particle":"","family":"McLeroy","given":"Kenneth R.","non-dropping-particle":"","parse-names":false,"suffix":""}],"container-title":"American Journal of Public Health","id":"ITEM-1","issue":"1","issued":{"date-parts":[["2009"]]},"page":"9-10","title":"The Importance of External Validity","type":"article-journal","volume":"98"},"uris":["http://www.mendeley.com/documents/?uuid=d4b5d738-7825-31c5-b648-ba21241ad7ba"]}],"mendeley":{"formattedCitation":"(45)","plainTextFormattedCitation":"(45)","previouslyFormattedCitation":"(46)"},"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(45)</w:t>
      </w:r>
      <w:r>
        <w:rPr>
          <w:rFonts w:ascii="Arial" w:hAnsi="Arial" w:cs="Arial"/>
          <w:sz w:val="22"/>
          <w:szCs w:val="22"/>
        </w:rPr>
        <w:fldChar w:fldCharType="end"/>
      </w:r>
      <w:r>
        <w:rPr>
          <w:rFonts w:ascii="Arial" w:eastAsia="Arial" w:hAnsi="Arial" w:cs="Arial"/>
          <w:sz w:val="22"/>
          <w:szCs w:val="22"/>
          <w:bdr w:val="nil"/>
          <w:lang w:val="fr-FR"/>
        </w:rPr>
        <w:t xml:space="preserve">. </w:t>
      </w:r>
    </w:p>
    <w:p w:rsidR="001C0DEE" w:rsidRDefault="001C0DEE">
      <w:pPr>
        <w:pStyle w:val="NoSpacing"/>
        <w:rPr>
          <w:rFonts w:ascii="Arial" w:hAnsi="Arial" w:cs="Arial"/>
          <w:sz w:val="22"/>
          <w:szCs w:val="22"/>
          <w:lang w:val="es-US"/>
        </w:rPr>
      </w:pPr>
    </w:p>
    <w:p w:rsidR="009E4748" w:rsidRDefault="00767532">
      <w:pPr>
        <w:pStyle w:val="NoSpacing"/>
        <w:rPr>
          <w:rFonts w:ascii="Arial" w:eastAsia="Arial" w:hAnsi="Arial" w:cs="Arial"/>
          <w:color w:val="000000"/>
          <w:sz w:val="22"/>
          <w:szCs w:val="22"/>
          <w:bdr w:val="nil"/>
          <w:lang w:val="fr-FR"/>
        </w:rPr>
      </w:pPr>
      <w:r>
        <w:rPr>
          <w:rFonts w:ascii="Arial" w:eastAsia="Arial" w:hAnsi="Arial" w:cs="Arial"/>
          <w:sz w:val="22"/>
          <w:szCs w:val="22"/>
          <w:bdr w:val="nil"/>
          <w:lang w:val="fr-FR"/>
        </w:rPr>
        <w:t>Compte tenu des besoins initiaux de la population, des résultats d’efficacité préliminaires et de la requête du MS pour un</w:t>
      </w:r>
      <w:r w:rsidR="00675A68">
        <w:rPr>
          <w:rFonts w:ascii="Arial" w:eastAsia="Arial" w:hAnsi="Arial" w:cs="Arial"/>
          <w:sz w:val="22"/>
          <w:szCs w:val="22"/>
          <w:bdr w:val="nil"/>
          <w:lang w:val="fr-FR"/>
        </w:rPr>
        <w:t xml:space="preserve"> passage à l</w:t>
      </w:r>
      <w:r>
        <w:rPr>
          <w:rFonts w:ascii="Arial" w:eastAsia="Arial" w:hAnsi="Arial" w:cs="Arial"/>
          <w:sz w:val="22"/>
          <w:szCs w:val="22"/>
          <w:bdr w:val="nil"/>
          <w:lang w:val="fr-FR"/>
        </w:rPr>
        <w:t xml:space="preserve">’échelle, nous avons jugé non éthique de suspendre l’intervention </w:t>
      </w:r>
      <w:r w:rsidR="00EB27F6">
        <w:rPr>
          <w:rFonts w:ascii="Arial" w:eastAsia="Arial" w:hAnsi="Arial" w:cs="Arial"/>
          <w:sz w:val="22"/>
          <w:szCs w:val="22"/>
          <w:bdr w:val="nil"/>
          <w:lang w:val="fr-FR"/>
        </w:rPr>
        <w:t>dans l’un des sites de comparaison</w:t>
      </w:r>
      <w:r>
        <w:rPr>
          <w:rFonts w:ascii="Arial" w:eastAsia="Arial" w:hAnsi="Arial" w:cs="Arial"/>
          <w:sz w:val="22"/>
          <w:szCs w:val="22"/>
          <w:bdr w:val="nil"/>
          <w:lang w:val="fr-FR"/>
        </w:rPr>
        <w:t xml:space="preserve">. Les contraintes logistiques et financières pour le lancement du modèle de </w:t>
      </w:r>
      <w:r w:rsidR="004F17D5">
        <w:rPr>
          <w:rFonts w:ascii="Arial" w:eastAsia="Arial" w:hAnsi="Arial" w:cs="Arial"/>
          <w:sz w:val="22"/>
          <w:szCs w:val="22"/>
          <w:bdr w:val="nil"/>
          <w:lang w:val="fr-FR"/>
        </w:rPr>
        <w:t xml:space="preserve">RSSBC </w:t>
      </w:r>
      <w:r>
        <w:rPr>
          <w:rFonts w:ascii="Arial" w:eastAsia="Arial" w:hAnsi="Arial" w:cs="Arial"/>
          <w:sz w:val="22"/>
          <w:szCs w:val="22"/>
          <w:bdr w:val="nil"/>
          <w:lang w:val="fr-FR"/>
        </w:rPr>
        <w:t xml:space="preserve">imposaient déjà la mise en œuvre séquentielle nécessaire à </w:t>
      </w:r>
      <w:r w:rsidR="009E4748" w:rsidRPr="009E4748">
        <w:rPr>
          <w:rFonts w:ascii="Arial" w:eastAsia="Arial" w:hAnsi="Arial" w:cs="Arial"/>
          <w:color w:val="000000"/>
          <w:sz w:val="22"/>
          <w:szCs w:val="22"/>
          <w:bdr w:val="nil"/>
          <w:lang w:val="fr-FR"/>
        </w:rPr>
        <w:t>un essai avec grappes échelonnées.</w:t>
      </w:r>
    </w:p>
    <w:p w:rsidR="009E4748" w:rsidRDefault="009E4748">
      <w:pPr>
        <w:pStyle w:val="NoSpacing"/>
        <w:rPr>
          <w:rFonts w:ascii="Arial" w:eastAsia="Arial" w:hAnsi="Arial" w:cs="Arial"/>
          <w:color w:val="000000"/>
          <w:sz w:val="22"/>
          <w:szCs w:val="22"/>
          <w:bdr w:val="nil"/>
          <w:lang w:val="fr-FR"/>
        </w:rPr>
      </w:pPr>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lastRenderedPageBreak/>
        <w:t>Ce protocole est la meilleure solution compte tenu des limitations du pilote initial suivant une conception à bras unique, répétée et transversale et du besoin de conclusions pouvant être généralisées afin de soutenir la transposition des résultats dans la pratique</w:t>
      </w:r>
      <w:r>
        <w:rPr>
          <w:rFonts w:ascii="Arial" w:hAnsi="Arial" w:cs="Arial"/>
          <w:sz w:val="22"/>
          <w:szCs w:val="22"/>
        </w:rPr>
        <w:fldChar w:fldCharType="begin" w:fldLock="1"/>
      </w:r>
      <w:r w:rsidR="00902B77">
        <w:rPr>
          <w:rFonts w:ascii="Arial" w:hAnsi="Arial" w:cs="Arial"/>
          <w:sz w:val="22"/>
          <w:szCs w:val="22"/>
          <w:lang w:val="fr-FR"/>
        </w:rPr>
        <w:instrText>ADDIN CSL_CITATION {"citationItems":[{"id":"ITEM-1","itemData":{"DOI":"10.2105/AJPH.2007.126847","abstract":"How are research results translated to public health practice? What is the responsibility of researchers , funding agencies, and journals in facilitating the use of research results in public health programs or policies? We address selected aspects of these questions and announce a new emphasis of the Journal on external validity for appropriate manuscripts.","author":[{"dropping-particle":"","family":"Steckler","given":"Allan","non-dropping-particle":"","parse-names":false,"suffix":""},{"dropping-particle":"","family":"McLeroy","given":"Kenneth R.","non-dropping-particle":"","parse-names":false,"suffix":""}],"container-title":"American Journal of Public Health","id":"ITEM-1","issue":"1","issued":{"date-parts":[["2009"]]},"page":"9-10","title":"The Importance of External Validity","type":"article-journal","volume":"98"},"uris":["http://www.mendeley.com/documents/?uuid=d4b5d738-7825-31c5-b648-ba21241ad7ba"]},{"id":"ITEM-2","itemData":{"DOI":"10.1136/bmj.c185","ISSN":"1756-1833","PMID":"20123834","abstract":"Although planning of new health policy could be improved to enable more robust evaluation, Mhairi Mackenzie and colleagues argue that randomised controlled trials are not always suitable or practical \n\nIn 2000, Medical Research Council guidance recommended that evaluators adopt a sequential approach to testing complex interventions in health care.1 The approach would lead to a well theorised and replicable intervention that could be assessed using a randomised controlled trial. The model, largely reflecting that adopted in clinical drug trials, was criticised on several fronts, including a failure to appreciate the complexity of policy related programmes and contextual variation. Although the updated framework in 2008 addressed many of these criticisms, it still argued that evaluators should strive to use the model of randomised controlled trials.2 \n\nThe recent health select committee report on health inequalities3 also criticised the missed opportunities to conduct controlled studies of recent policy interventions and called for policy makers to develop interventions that could be better evaluated. These would be more clearly defined, reasonably stable over time, and have specified levels of consistency in implementation between different contexts. Ideally, these features would provide the opportunity for randomised testing.\n\nHowever, Pawson and Tilley have argued strongly that treating complex programmes as single interventions is misguided and that the randomised controlled design is not appropriate for answering pertinent questions about what works for whom in what circumstances.4 Hawe and Shiell, although advocating the judicious use of controlled designs, have argued that the MRC guidance does not acknowledge the unpredictability of organisational systems into which interventions are introduced. They suggest that, rather than viewing interventions as discrete packages, they should be viewed as “events in systems.”5 We use the example of Keep Well (the Scottish government’s major investment in cardiovascular anticipatory care) to show the problems …","author":[{"dropping-particle":"","family":"Mackenzie","given":"Mhairi","non-dropping-particle":"","parse-names":false,"suffix":""},{"dropping-particle":"","family":"O'Donnell","given":"Catherine","non-dropping-particle":"","parse-names":false,"suffix":""},{"dropping-particle":"","family":"Halliday","given":"Emma","non-dropping-particle":"","parse-names":false,"suffix":""},{"dropping-particle":"","family":"Sridharan","given":"Sanjeev","non-dropping-particle":"","parse-names":false,"suffix":""},{"dropping-particle":"","family":"Platt","given":"Stephen","non-dropping-particle":"","parse-names":false,"suffix":""}],"container-title":"BMJ (Clinical research ed.)","id":"ITEM-2","issued":{"date-parts":[["2010","2","1"]]},"page":"c185","publisher":"British Medical Journal Publishing Group","title":"Do health improvement programmes fit with MRC guidance on evaluating complex interventions?","type":"article-journal","volume":"340"},"uris":["http://www.mendeley.com/documents/?uuid=53ba013a-0cf8-3cab-a4ca-c04b1ac94cb7"]}],"mendeley":{"formattedCitation":"(45,46)","plainTextFormattedCitation":"(45,46)","previouslyFormattedCitation":"(46,47)"},"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(45,46)</w:t>
      </w:r>
      <w:r>
        <w:rPr>
          <w:rFonts w:ascii="Arial" w:hAnsi="Arial" w:cs="Arial"/>
          <w:sz w:val="22"/>
          <w:szCs w:val="22"/>
        </w:rPr>
        <w:fldChar w:fldCharType="end"/>
      </w:r>
      <w:r>
        <w:rPr>
          <w:rFonts w:ascii="Arial" w:eastAsia="Arial" w:hAnsi="Arial" w:cs="Arial"/>
          <w:sz w:val="22"/>
          <w:szCs w:val="22"/>
          <w:bdr w:val="nil"/>
          <w:lang w:val="fr-FR"/>
        </w:rPr>
        <w:t>. Le recueil annuel des données, parallèle</w:t>
      </w:r>
      <w:r w:rsidR="00EB27F6">
        <w:rPr>
          <w:rFonts w:ascii="Arial" w:eastAsia="Arial" w:hAnsi="Arial" w:cs="Arial"/>
          <w:sz w:val="22"/>
          <w:szCs w:val="22"/>
          <w:bdr w:val="nil"/>
          <w:lang w:val="fr-FR"/>
        </w:rPr>
        <w:t>ment</w:t>
      </w:r>
      <w:r>
        <w:rPr>
          <w:rFonts w:ascii="Arial" w:eastAsia="Arial" w:hAnsi="Arial" w:cs="Arial"/>
          <w:sz w:val="22"/>
          <w:szCs w:val="22"/>
          <w:bdr w:val="nil"/>
          <w:lang w:val="fr-FR"/>
        </w:rPr>
        <w:t xml:space="preserve"> à l’augmentation de la demande en ressources et des coûts, a été jugé réalisable et bénéfique, puisqu’il permettra une analyse quantitative et qualitative régulière des données et une diffusion itérative des résultats, en interne pour soutenir les améliorations apportées au programme et avec les partenaires du MS pour des pratiques de recherche intégrées</w:t>
      </w:r>
      <w:r>
        <w:rPr>
          <w:rFonts w:ascii="Arial" w:hAnsi="Arial" w:cs="Arial"/>
          <w:sz w:val="22"/>
          <w:szCs w:val="22"/>
        </w:rPr>
        <w:fldChar w:fldCharType="begin" w:fldLock="1"/>
      </w:r>
      <w:r w:rsidR="00902B77">
        <w:rPr>
          <w:rFonts w:ascii="Arial" w:hAnsi="Arial" w:cs="Arial"/>
          <w:sz w:val="22"/>
          <w:szCs w:val="22"/>
          <w:lang w:val="fr-FR"/>
        </w:rPr>
        <w:instrText>ADDIN CSL_CITATION {"citationItems":[{"id":"ITEM-1","itemData":{"DOI":"10.2471/BLT.16.189126","ISSN":"1564-0604","PMID":"28250505","author":[{"dropping-particle":"","family":"Ghaffar","given":"Abdul","non-dropping-particle":"","parse-names":false,"suffix":""},{"dropping-particle":"V","family":"Langlois","given":"Etienne","non-dropping-particle":"","parse-names":false,"suffix":""},{"dropping-particle":"","family":"Rasanathan","given":"Kumanan","non-dropping-particle":"","parse-names":false,"suffix":""},{"dropping-particle":"","family":"Peterson","given":"Stefan","non-dropping-particle":"","parse-names":false,"suffix":""},{"dropping-particle":"","family":"Adedokun","given":"Lola","non-dropping-particle":"","parse-names":false,"suffix":""},{"dropping-particle":"","family":"Tran","given":"Nhan T","non-dropping-particle":"","parse-names":false,"suffix":""}],"container-title":"Bulletin of the World Health Organization","id":"ITEM-1","issue":"2","issued":{"date-parts":[["2017"]]},"page":"87","publisher":"World Health Organization","title":"Strengthening health systems through embedded research.","type":"article-journal","volume":"95"},"uris":["http://www.mendeley.com/documents/?uuid=c7707edf-22a7-38bd-a936-fad197162755"]}],"mendeley":{"formattedCitation":"(47)","plainTextFormattedCitation":"(47)","previouslyFormattedCitation":"(48)"},"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(47)</w:t>
      </w:r>
      <w:r>
        <w:rPr>
          <w:rFonts w:ascii="Arial" w:hAnsi="Arial" w:cs="Arial"/>
          <w:sz w:val="22"/>
          <w:szCs w:val="22"/>
        </w:rPr>
        <w:fldChar w:fldCharType="end"/>
      </w:r>
      <w:r>
        <w:rPr>
          <w:rFonts w:ascii="Arial" w:eastAsia="Arial" w:hAnsi="Arial" w:cs="Arial"/>
          <w:sz w:val="22"/>
          <w:szCs w:val="22"/>
          <w:bdr w:val="nil"/>
          <w:lang w:val="fr-FR"/>
        </w:rPr>
        <w:t xml:space="preserve">. Notre objectif dans ce document est de décrire le protocole de recherche de cette étude hybride pragmatique d’efficacité et de mise en œuvre visant à mesurer l’efficacité et la stratégie de mise en œuvre de l’initiative de </w:t>
      </w:r>
      <w:r w:rsidR="004F17D5">
        <w:rPr>
          <w:rFonts w:ascii="Arial" w:eastAsia="Arial" w:hAnsi="Arial" w:cs="Arial"/>
          <w:sz w:val="22"/>
          <w:szCs w:val="22"/>
          <w:bdr w:val="nil"/>
          <w:lang w:val="fr-FR"/>
        </w:rPr>
        <w:t>RSSBC</w:t>
      </w:r>
      <w:r>
        <w:rPr>
          <w:rFonts w:ascii="Arial" w:eastAsia="Arial" w:hAnsi="Arial" w:cs="Arial"/>
          <w:sz w:val="22"/>
          <w:szCs w:val="22"/>
          <w:bdr w:val="nil"/>
          <w:lang w:val="fr-FR"/>
        </w:rPr>
        <w:t xml:space="preserve"> sur 48 mois dans le nord du Togo rural en utilisant un cadre </w:t>
      </w:r>
      <w:r w:rsidR="003279EC">
        <w:rPr>
          <w:rFonts w:ascii="Arial" w:eastAsia="Arial" w:hAnsi="Arial" w:cs="Arial"/>
          <w:noProof/>
          <w:sz w:val="22"/>
          <w:szCs w:val="22"/>
          <w:bdr w:val="nil"/>
          <w:lang w:val="fr-FR"/>
        </w:rPr>
        <w:t>RE-AIM</w:t>
      </w:r>
      <w:r>
        <w:rPr>
          <w:rFonts w:ascii="Arial" w:eastAsia="Arial" w:hAnsi="Arial" w:cs="Arial"/>
          <w:sz w:val="22"/>
          <w:szCs w:val="22"/>
          <w:bdr w:val="nil"/>
          <w:lang w:val="fr-FR"/>
        </w:rPr>
        <w:t>.</w:t>
      </w:r>
    </w:p>
    <w:p w:rsidR="001C0DEE" w:rsidRDefault="001C0DEE">
      <w:pPr>
        <w:pStyle w:val="NoSpacing"/>
        <w:rPr>
          <w:rFonts w:ascii="Arial" w:hAnsi="Arial" w:cs="Arial"/>
          <w:sz w:val="22"/>
          <w:szCs w:val="22"/>
          <w:lang w:val="es-US"/>
        </w:rPr>
      </w:pPr>
    </w:p>
    <w:p w:rsidR="001C0DEE" w:rsidRDefault="00767532">
      <w:pPr>
        <w:pStyle w:val="NoSpacing"/>
        <w:outlineLvl w:val="0"/>
        <w:rPr>
          <w:rFonts w:ascii="Arial" w:hAnsi="Arial" w:cs="Arial"/>
          <w:b/>
          <w:sz w:val="22"/>
          <w:szCs w:val="22"/>
          <w:u w:val="single"/>
          <w:lang w:val="es-US"/>
        </w:rPr>
      </w:pPr>
      <w:r>
        <w:rPr>
          <w:rFonts w:ascii="Arial" w:eastAsia="Arial" w:hAnsi="Arial" w:cs="Arial"/>
          <w:b/>
          <w:bCs/>
          <w:sz w:val="22"/>
          <w:szCs w:val="22"/>
          <w:u w:val="single"/>
          <w:bdr w:val="nil"/>
          <w:lang w:val="fr-FR"/>
        </w:rPr>
        <w:t>Méthodes/Conception</w:t>
      </w:r>
    </w:p>
    <w:p w:rsidR="001C0DEE" w:rsidRDefault="00767532">
      <w:pPr>
        <w:pStyle w:val="NoSpacing"/>
        <w:outlineLvl w:val="0"/>
        <w:rPr>
          <w:rFonts w:ascii="Arial" w:hAnsi="Arial" w:cs="Arial"/>
          <w:b/>
          <w:sz w:val="22"/>
          <w:szCs w:val="22"/>
          <w:lang w:val="es-US"/>
        </w:rPr>
      </w:pPr>
      <w:r>
        <w:rPr>
          <w:rFonts w:ascii="Arial" w:eastAsia="Arial" w:hAnsi="Arial" w:cs="Arial"/>
          <w:b/>
          <w:bCs/>
          <w:sz w:val="22"/>
          <w:szCs w:val="22"/>
          <w:bdr w:val="nil"/>
          <w:lang w:val="fr-FR"/>
        </w:rPr>
        <w:t>Objectifs de l’étude</w:t>
      </w:r>
    </w:p>
    <w:p w:rsidR="001C0DEE" w:rsidRDefault="00767532">
      <w:pPr>
        <w:pStyle w:val="NoSpacing"/>
        <w:rPr>
          <w:rFonts w:ascii="Arial" w:hAnsi="Arial" w:cs="Arial"/>
          <w:sz w:val="22"/>
          <w:szCs w:val="22"/>
          <w:lang w:val="fr-FR"/>
        </w:rPr>
      </w:pPr>
      <w:r>
        <w:rPr>
          <w:rFonts w:ascii="Arial" w:eastAsia="Arial" w:hAnsi="Arial" w:cs="Arial"/>
          <w:sz w:val="22"/>
          <w:szCs w:val="22"/>
          <w:bdr w:val="nil"/>
          <w:lang w:val="fr-FR"/>
        </w:rPr>
        <w:t xml:space="preserve">L’objectif de cette étude est d’optimiser la mise en œuvre du modèle de </w:t>
      </w:r>
      <w:r w:rsidR="004F17D5">
        <w:rPr>
          <w:rFonts w:ascii="Arial" w:eastAsia="Arial" w:hAnsi="Arial" w:cs="Arial"/>
          <w:sz w:val="22"/>
          <w:szCs w:val="22"/>
          <w:bdr w:val="nil"/>
          <w:lang w:val="fr-FR"/>
        </w:rPr>
        <w:t>RSSBC</w:t>
      </w:r>
      <w:r>
        <w:rPr>
          <w:rFonts w:ascii="Arial" w:eastAsia="Arial" w:hAnsi="Arial" w:cs="Arial"/>
          <w:sz w:val="22"/>
          <w:szCs w:val="22"/>
          <w:bdr w:val="nil"/>
          <w:lang w:val="fr-FR"/>
        </w:rPr>
        <w:t xml:space="preserve"> à l’aide du cadre d’évaluation </w:t>
      </w:r>
      <w:r w:rsidR="00884002">
        <w:rPr>
          <w:rFonts w:ascii="Arial" w:eastAsia="Arial" w:hAnsi="Arial" w:cs="Arial"/>
          <w:sz w:val="22"/>
          <w:szCs w:val="22"/>
          <w:bdr w:val="nil"/>
          <w:lang w:val="fr-FR"/>
        </w:rPr>
        <w:t xml:space="preserve">RE-AIM </w:t>
      </w:r>
      <w:r>
        <w:rPr>
          <w:rFonts w:ascii="Arial" w:eastAsia="Arial" w:hAnsi="Arial" w:cs="Arial"/>
          <w:sz w:val="22"/>
          <w:szCs w:val="22"/>
          <w:bdr w:val="nil"/>
          <w:lang w:val="fr-FR"/>
        </w:rPr>
        <w:t xml:space="preserve">adapté. À cette fin, nous poursuivons deux objectifs principaux : (1) déterminer l’efficacité du modèle de </w:t>
      </w:r>
      <w:r w:rsidR="004F17D5">
        <w:rPr>
          <w:rFonts w:ascii="Arial" w:eastAsia="Arial" w:hAnsi="Arial" w:cs="Arial"/>
          <w:sz w:val="22"/>
          <w:szCs w:val="22"/>
          <w:bdr w:val="nil"/>
          <w:lang w:val="fr-FR"/>
        </w:rPr>
        <w:t>RSSBC</w:t>
      </w:r>
      <w:r>
        <w:rPr>
          <w:rFonts w:ascii="Arial" w:eastAsia="Arial" w:hAnsi="Arial" w:cs="Arial"/>
          <w:sz w:val="22"/>
          <w:szCs w:val="22"/>
          <w:bdr w:val="nil"/>
          <w:lang w:val="fr-FR"/>
        </w:rPr>
        <w:t xml:space="preserve"> et (2) évaluer la stratégie de mise en œuvre via des mesures de portée, d’adoption, de mise en œuvre et de maintien. Nos objectifs spécifiques d’étude incluent les éléments suivants :</w:t>
      </w:r>
    </w:p>
    <w:p w:rsidR="001C0DEE" w:rsidRDefault="00767532">
      <w:pPr>
        <w:pStyle w:val="NoSpacing"/>
        <w:rPr>
          <w:rFonts w:ascii="Arial" w:hAnsi="Arial" w:cs="Arial"/>
          <w:sz w:val="22"/>
          <w:szCs w:val="22"/>
          <w:lang w:val="fr-FR"/>
        </w:rPr>
      </w:pPr>
      <w:r>
        <w:rPr>
          <w:rFonts w:ascii="Arial" w:hAnsi="Arial" w:cs="Arial"/>
          <w:sz w:val="22"/>
          <w:szCs w:val="22"/>
          <w:lang w:val="fr-FR"/>
        </w:rPr>
        <w:t xml:space="preserve"> </w:t>
      </w:r>
    </w:p>
    <w:p w:rsidR="001C0DEE" w:rsidRDefault="00767532">
      <w:pPr>
        <w:pStyle w:val="NoSpacing"/>
        <w:outlineLvl w:val="0"/>
        <w:rPr>
          <w:rFonts w:ascii="Arial" w:hAnsi="Arial" w:cs="Arial"/>
          <w:sz w:val="22"/>
          <w:szCs w:val="22"/>
          <w:lang w:val="fr-FR"/>
        </w:rPr>
      </w:pPr>
      <w:r>
        <w:rPr>
          <w:rFonts w:ascii="Arial" w:eastAsia="Arial" w:hAnsi="Arial" w:cs="Arial"/>
          <w:sz w:val="22"/>
          <w:szCs w:val="22"/>
          <w:bdr w:val="nil"/>
          <w:lang w:val="fr-FR"/>
        </w:rPr>
        <w:t>Objectif principal 1 : efficacité</w:t>
      </w:r>
    </w:p>
    <w:p w:rsidR="001C0DEE" w:rsidRDefault="00767532">
      <w:pPr>
        <w:pStyle w:val="NoSpacing"/>
        <w:ind w:left="720"/>
        <w:rPr>
          <w:rFonts w:ascii="Arial" w:hAnsi="Arial" w:cs="Arial"/>
          <w:sz w:val="22"/>
          <w:szCs w:val="22"/>
          <w:lang w:val="fr-FR"/>
        </w:rPr>
      </w:pPr>
      <w:r>
        <w:rPr>
          <w:rFonts w:ascii="Arial" w:eastAsia="Arial" w:hAnsi="Arial" w:cs="Arial"/>
          <w:sz w:val="22"/>
          <w:szCs w:val="22"/>
          <w:bdr w:val="nil"/>
          <w:lang w:val="fr-FR"/>
        </w:rPr>
        <w:t xml:space="preserve">(1) Analyser les variations longitudinales dans la mortalité et la morbidité maternelles et infantiles, la qualité des paramètres de soin ainsi que la préparation des </w:t>
      </w:r>
      <w:r w:rsidR="00563657">
        <w:rPr>
          <w:rFonts w:ascii="Arial" w:eastAsia="Arial" w:hAnsi="Arial" w:cs="Arial"/>
          <w:sz w:val="22"/>
          <w:szCs w:val="22"/>
          <w:bdr w:val="nil"/>
          <w:lang w:val="fr-FR"/>
        </w:rPr>
        <w:t xml:space="preserve">formations sanitaires </w:t>
      </w:r>
      <w:r>
        <w:rPr>
          <w:rFonts w:ascii="Arial" w:eastAsia="Arial" w:hAnsi="Arial" w:cs="Arial"/>
          <w:sz w:val="22"/>
          <w:szCs w:val="22"/>
          <w:bdr w:val="nil"/>
          <w:lang w:val="fr-FR"/>
        </w:rPr>
        <w:t>du secteur public dans les zones desservies.</w:t>
      </w:r>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t>Objectif principal 2 : stratégie de mise en œuvre</w:t>
      </w:r>
    </w:p>
    <w:p w:rsidR="001C0DEE" w:rsidRDefault="00767532">
      <w:pPr>
        <w:pStyle w:val="NoSpacing"/>
        <w:ind w:left="720"/>
        <w:rPr>
          <w:rFonts w:ascii="Arial" w:hAnsi="Arial" w:cs="Arial"/>
          <w:sz w:val="22"/>
          <w:szCs w:val="22"/>
          <w:lang w:val="es-US"/>
        </w:rPr>
      </w:pPr>
      <w:r>
        <w:rPr>
          <w:rFonts w:ascii="Arial" w:eastAsia="Arial" w:hAnsi="Arial" w:cs="Arial"/>
          <w:sz w:val="22"/>
          <w:szCs w:val="22"/>
          <w:bdr w:val="nil"/>
          <w:lang w:val="fr-FR"/>
        </w:rPr>
        <w:lastRenderedPageBreak/>
        <w:t xml:space="preserve">(1) Identifier les obstacles et les facilitateurs contribuant à l’accès et à la qualité des services de </w:t>
      </w:r>
      <w:r w:rsidR="004F17D5">
        <w:rPr>
          <w:rFonts w:ascii="Arial" w:eastAsia="Arial" w:hAnsi="Arial" w:cs="Arial"/>
          <w:sz w:val="22"/>
          <w:szCs w:val="22"/>
          <w:bdr w:val="nil"/>
          <w:lang w:val="fr-FR"/>
        </w:rPr>
        <w:t>RSSBC</w:t>
      </w:r>
      <w:r w:rsidR="00FD3DDA">
        <w:rPr>
          <w:rFonts w:ascii="Arial" w:eastAsia="Arial" w:hAnsi="Arial" w:cs="Arial"/>
          <w:sz w:val="22"/>
          <w:szCs w:val="22"/>
          <w:bdr w:val="nil"/>
          <w:lang w:val="fr-FR"/>
        </w:rPr>
        <w:t> </w:t>
      </w:r>
      <w:r>
        <w:rPr>
          <w:rFonts w:ascii="Arial" w:eastAsia="Arial" w:hAnsi="Arial" w:cs="Arial"/>
          <w:sz w:val="22"/>
          <w:szCs w:val="22"/>
          <w:bdr w:val="nil"/>
          <w:lang w:val="fr-FR"/>
        </w:rPr>
        <w:t xml:space="preserve">; </w:t>
      </w:r>
    </w:p>
    <w:p w:rsidR="001C0DEE" w:rsidRDefault="00767532">
      <w:pPr>
        <w:pStyle w:val="NoSpacing"/>
        <w:ind w:left="720"/>
        <w:rPr>
          <w:rFonts w:ascii="Arial" w:hAnsi="Arial" w:cs="Arial"/>
          <w:sz w:val="22"/>
          <w:szCs w:val="22"/>
          <w:lang w:val="es-US"/>
        </w:rPr>
      </w:pPr>
      <w:r>
        <w:rPr>
          <w:rFonts w:ascii="Arial" w:eastAsia="Arial" w:hAnsi="Arial" w:cs="Arial"/>
          <w:sz w:val="22"/>
          <w:szCs w:val="22"/>
          <w:bdr w:val="nil"/>
          <w:lang w:val="fr-FR"/>
        </w:rPr>
        <w:t>(2) Mesurer les variations dans la couverture, les taux d’utilisation des services sanitaires et l’adoption de l’intervention</w:t>
      </w:r>
      <w:r w:rsidR="00FD3DDA">
        <w:rPr>
          <w:rFonts w:ascii="Arial" w:eastAsia="Arial" w:hAnsi="Arial" w:cs="Arial"/>
          <w:sz w:val="22"/>
          <w:szCs w:val="22"/>
          <w:bdr w:val="nil"/>
          <w:lang w:val="fr-FR"/>
        </w:rPr>
        <w:t> </w:t>
      </w:r>
      <w:r>
        <w:rPr>
          <w:rFonts w:ascii="Arial" w:eastAsia="Arial" w:hAnsi="Arial" w:cs="Arial"/>
          <w:sz w:val="22"/>
          <w:szCs w:val="22"/>
          <w:bdr w:val="nil"/>
          <w:lang w:val="fr-FR"/>
        </w:rPr>
        <w:t xml:space="preserve">; </w:t>
      </w:r>
    </w:p>
    <w:p w:rsidR="001C0DEE" w:rsidRDefault="00767532">
      <w:pPr>
        <w:pStyle w:val="NoSpacing"/>
        <w:ind w:left="720"/>
        <w:rPr>
          <w:rFonts w:ascii="Arial" w:hAnsi="Arial" w:cs="Arial"/>
          <w:sz w:val="22"/>
          <w:szCs w:val="22"/>
          <w:lang w:val="es-US"/>
        </w:rPr>
      </w:pPr>
      <w:r>
        <w:rPr>
          <w:rFonts w:ascii="Arial" w:eastAsia="Arial" w:hAnsi="Arial" w:cs="Arial"/>
          <w:sz w:val="22"/>
          <w:szCs w:val="22"/>
          <w:bdr w:val="nil"/>
          <w:lang w:val="fr-FR"/>
        </w:rPr>
        <w:t xml:space="preserve">(3) Déterminer les coûts de mise en œuvre du </w:t>
      </w:r>
      <w:r w:rsidR="004F17D5">
        <w:rPr>
          <w:rFonts w:ascii="Arial" w:eastAsia="Arial" w:hAnsi="Arial" w:cs="Arial"/>
          <w:sz w:val="22"/>
          <w:szCs w:val="22"/>
          <w:bdr w:val="nil"/>
          <w:lang w:val="fr-FR"/>
        </w:rPr>
        <w:t>RSSBC</w:t>
      </w:r>
      <w:r w:rsidR="004F17D5" w:rsidDel="004F17D5">
        <w:rPr>
          <w:rFonts w:ascii="Arial" w:eastAsia="Arial" w:hAnsi="Arial" w:cs="Arial"/>
          <w:sz w:val="22"/>
          <w:szCs w:val="22"/>
          <w:bdr w:val="nil"/>
          <w:lang w:val="fr-FR"/>
        </w:rPr>
        <w:t xml:space="preserve"> </w:t>
      </w:r>
      <w:r>
        <w:rPr>
          <w:rFonts w:ascii="Arial" w:eastAsia="Arial" w:hAnsi="Arial" w:cs="Arial"/>
          <w:sz w:val="22"/>
          <w:szCs w:val="22"/>
          <w:bdr w:val="nil"/>
          <w:lang w:val="fr-FR"/>
        </w:rPr>
        <w:t>et les estimations de retour sur investissement.</w:t>
      </w:r>
    </w:p>
    <w:p w:rsidR="001C0DEE" w:rsidRDefault="001C0DEE">
      <w:pPr>
        <w:pStyle w:val="NoSpacing"/>
        <w:rPr>
          <w:rFonts w:ascii="Arial" w:hAnsi="Arial" w:cs="Arial"/>
          <w:sz w:val="22"/>
          <w:szCs w:val="22"/>
          <w:lang w:val="es-US"/>
        </w:rPr>
      </w:pPr>
    </w:p>
    <w:p w:rsidR="001C0DEE" w:rsidRDefault="00767532">
      <w:pPr>
        <w:pStyle w:val="NoSpacing"/>
        <w:outlineLvl w:val="0"/>
        <w:rPr>
          <w:rFonts w:ascii="Arial" w:hAnsi="Arial" w:cs="Arial"/>
          <w:b/>
          <w:sz w:val="22"/>
          <w:szCs w:val="22"/>
          <w:lang w:val="es-US"/>
        </w:rPr>
      </w:pPr>
      <w:r>
        <w:rPr>
          <w:rFonts w:ascii="Arial" w:eastAsia="Arial" w:hAnsi="Arial" w:cs="Arial"/>
          <w:b/>
          <w:bCs/>
          <w:sz w:val="22"/>
          <w:szCs w:val="22"/>
          <w:bdr w:val="nil"/>
          <w:lang w:val="fr-FR"/>
        </w:rPr>
        <w:t>Conception</w:t>
      </w:r>
    </w:p>
    <w:p w:rsidR="001C0DEE" w:rsidRDefault="00767532">
      <w:pPr>
        <w:pStyle w:val="NoSpacing"/>
        <w:rPr>
          <w:rFonts w:ascii="Arial" w:eastAsia="Arial" w:hAnsi="Arial" w:cs="Arial"/>
          <w:sz w:val="22"/>
          <w:szCs w:val="22"/>
          <w:bdr w:val="nil"/>
          <w:lang w:val="fr-FR"/>
        </w:rPr>
      </w:pPr>
      <w:r>
        <w:rPr>
          <w:rFonts w:ascii="Arial" w:eastAsia="Arial" w:hAnsi="Arial" w:cs="Arial"/>
          <w:sz w:val="22"/>
          <w:szCs w:val="22"/>
          <w:bdr w:val="nil"/>
          <w:lang w:val="fr-FR"/>
        </w:rPr>
        <w:t>Cette étude utilise une conception hybride pragmatique de type II de l’efficacité et de la mise en œuvre</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{"citationItems":[{"id":"ITEM-1","itemData":{"DOI":"10.1097/MLR.0b013e3182408812","ISSN":"1537-1948","PMID":"22310560","abstract":"OBJECTIVES This study proposes methods for blending design components of clinical effectiveness and implementation research. Such blending can provide benefits over pursuing these lines of research independently; for example, more rapid translational gains, more effective implementation strategies, and more useful information for decision makers. This study proposes a \"hybrid effectiveness-implementation\" typology, describes a rationale for their use, outlines the design decisions that must be faced, and provides several real-world examples. RESULTS An effectiveness-implementation hybrid design is one that takes a dual focus a priori in assessing clinical effectiveness and implementation. We propose 3 hybrid types: (1) testing effects of a clinical intervention on relevant outcomes while observing and gathering information on implementation; (2) dual testing of clinical and implementation interventions/strategies; and (3) testing of an implementation strategy while observing and gathering information on the clinical intervention's impact on relevant outcomes. CONCLUSIONS The hybrid typology proposed herein must be considered a construct still in evolution. Although traditional clinical effectiveness and implementation trials are likely to remain the most common approach to moving a clinical intervention through from efficacy research to public health impact, judicious use of the proposed hybrid designs could speed the translation of research findings into routine practice.","author":[{"dropping-particle":"","family":"Curran","given":"Geoffrey M","non-dropping-particle":"","parse-names":false,"suffix":""},{"dropping-particle":"","family":"Bauer","given":"Mark","non-dropping-particle":"","parse-names":false,"suffix":""},{"dropping-particle":"","family":"Mittman","given":"Brian","non-dropping-particle":"","parse-names":false,"suffix":""},{"dropping-particle":"","family":"Pyne","given":"Jeffrey M","non-dropping-particle":"","parse-names":false,"suffix":""},{"dropping-particle":"","family":"Stetler","given":"Cheryl","non-dropping-particle":"","parse-names":false,"suffix":""}],"container-title":"Medical care","id":"ITEM-1","issue":"3","issued":{"date-parts":[["2012","3"]]},"page":"217-26","publisher":"NIH Public Access","title":"Effectiveness-implementation hybrid designs: combining elements of clinical effectiveness and implementation research to enhance public health impact.","type":"article-journal","volume":"50"},"uris":["http://www.mendeley.com/documents/?uuid=8f220507-84ab-35df-8e92-f89544795d99"]}],"mendeley":{"formattedCitation":"(36)","plainTextFormattedCitation":"(36)","previouslyFormattedCitation":"(37)"},"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(36)</w:t>
      </w:r>
      <w:r>
        <w:rPr>
          <w:rFonts w:ascii="Arial" w:hAnsi="Arial" w:cs="Arial"/>
          <w:sz w:val="22"/>
          <w:szCs w:val="22"/>
        </w:rPr>
        <w:fldChar w:fldCharType="end"/>
      </w:r>
      <w:r>
        <w:rPr>
          <w:rFonts w:ascii="Arial" w:eastAsia="Arial" w:hAnsi="Arial" w:cs="Arial"/>
          <w:sz w:val="22"/>
          <w:szCs w:val="22"/>
          <w:bdr w:val="nil"/>
          <w:lang w:val="fr-FR"/>
        </w:rPr>
        <w:t xml:space="preserve"> afin d’évaluer les deux objectifs principaux d’efficacité et de stratégie de mise en œuvre de l’initiative de </w:t>
      </w:r>
      <w:r w:rsidR="004F17D5">
        <w:rPr>
          <w:rFonts w:ascii="Arial" w:eastAsia="Arial" w:hAnsi="Arial" w:cs="Arial"/>
          <w:sz w:val="22"/>
          <w:szCs w:val="22"/>
          <w:bdr w:val="nil"/>
          <w:lang w:val="fr-FR"/>
        </w:rPr>
        <w:t>RSSBC</w:t>
      </w:r>
      <w:r w:rsidR="004F17D5" w:rsidDel="004F17D5">
        <w:rPr>
          <w:rFonts w:ascii="Arial" w:eastAsia="Arial" w:hAnsi="Arial" w:cs="Arial"/>
          <w:sz w:val="22"/>
          <w:szCs w:val="22"/>
          <w:bdr w:val="nil"/>
          <w:lang w:val="fr-FR"/>
        </w:rPr>
        <w:t xml:space="preserve"> </w:t>
      </w:r>
      <w:r>
        <w:rPr>
          <w:rFonts w:ascii="Arial" w:eastAsia="Arial" w:hAnsi="Arial" w:cs="Arial"/>
          <w:sz w:val="22"/>
          <w:szCs w:val="22"/>
          <w:bdr w:val="nil"/>
          <w:lang w:val="fr-FR"/>
        </w:rPr>
        <w:t xml:space="preserve">à l’aide d’un cadre scientifique de mise en œuvre </w:t>
      </w:r>
      <w:r w:rsidR="003279EC">
        <w:rPr>
          <w:rFonts w:ascii="Arial" w:eastAsia="Arial" w:hAnsi="Arial" w:cs="Arial"/>
          <w:noProof/>
          <w:sz w:val="22"/>
          <w:szCs w:val="22"/>
          <w:bdr w:val="nil"/>
          <w:lang w:val="fr-FR"/>
        </w:rPr>
        <w:t>RE-AIM</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{"citationItems":[{"id":"ITEM-1","itemData":{"ISSN":"0090-0036","PMID":"10474547","abstract":"Progress in public health and community-based interventions has been hampered by the lack of a comprehensive evaluation framework appropriate to such programs. Multilevel interventions that incorporate policy, environmental, and individual components should be evaluated with measurements suited to their settings, goals, and purpose. In this commentary, the authors propose a model (termed the RE-AIM model) for evaluating public health interventions that assesses 5 dimensions: reach, efficacy, adoption, implementation, and maintenance. These dimensions occur at multiple levels (e.g., individual, clinic or organization, community) and interact to determine the public health or population-based impact of a program or policy. The authors discuss issues in evaluating each of these dimensions and combining them to determine overall public health impact. Failure to adequately evaluate programs on all 5 dimensions can lead to a waste of resources, discontinuities between stages of research, and failure to improve public health to the limits of our capacity. The authors summarize strengths and limitations of the RE-AIM model and recommend areas for future research and application.","author":[{"dropping-particle":"","family":"Glasgow","given":"R E","non-dropping-particle":"","parse-names":false,"suffix":""},{"dropping-particle":"","family":"Vogt","given":"T M","non-dropping-particle":"","parse-names":false,"suffix":""},{"dropping-particle":"","family":"Boles","given":"S M","non-dropping-particle":"","parse-names":false,"suffix":""}],"container-title":"American journal of public health","id":"ITEM-1","issue":"9","issued":{"date-parts":[["1999","9"]]},"page":"1322-7","title":"Evaluating the public health impact of health promotion interventions: the RE-AIM framework.","type":"article-journal","volume":"89"},"uris":["http://www.mendeley.com/documents/?uuid=ea1fd9fa-af52-4de9-94bd-b5a7e8f5bbc2"]}],"mendeley":{"formattedCitation":"(42)","plainTextFormattedCitation":"(42)","previouslyFormattedCitation":"(43)"},"properties":{"noteIndex":0},"schema":"https://github.com/citation-style-language/schema/raw/master/csl-citation.json"}</w:instrText>
      </w:r>
      <w:r>
        <w:rPr>
          <w:rFonts w:ascii="Arial" w:hAnsi="Arial" w:cs="Arial"/>
          <w:sz w:val="22"/>
          <w:szCs w:val="22"/>
        </w:rPr>
        <w:fldChar w:fldCharType="separate"/>
      </w:r>
      <w:r w:rsidR="00902B77" w:rsidRPr="00902B77">
        <w:rPr>
          <w:rFonts w:ascii="Arial" w:eastAsia="Arial" w:hAnsi="Arial" w:cs="Arial"/>
          <w:noProof/>
          <w:sz w:val="22"/>
          <w:szCs w:val="22"/>
          <w:bdr w:val="nil"/>
          <w:lang w:val="fr-FR"/>
        </w:rPr>
        <w:t>(42)</w:t>
      </w:r>
      <w:r>
        <w:rPr>
          <w:rFonts w:ascii="Arial" w:hAnsi="Arial" w:cs="Arial"/>
          <w:sz w:val="22"/>
          <w:szCs w:val="22"/>
        </w:rPr>
        <w:fldChar w:fldCharType="end"/>
      </w:r>
      <w:r>
        <w:rPr>
          <w:rFonts w:ascii="Arial" w:eastAsia="Arial" w:hAnsi="Arial" w:cs="Arial"/>
          <w:sz w:val="22"/>
          <w:szCs w:val="22"/>
          <w:bdr w:val="nil"/>
          <w:lang w:val="fr-FR"/>
        </w:rPr>
        <w:t>. La liste de contrôle CONSORT figure dans le document supplémentaire </w:t>
      </w:r>
      <w:r w:rsidR="009E4748">
        <w:rPr>
          <w:rFonts w:ascii="Arial" w:eastAsia="Arial" w:hAnsi="Arial" w:cs="Arial"/>
          <w:sz w:val="22"/>
          <w:szCs w:val="22"/>
          <w:bdr w:val="nil"/>
          <w:lang w:val="fr-FR"/>
        </w:rPr>
        <w:t>1</w:t>
      </w:r>
      <w:r>
        <w:rPr>
          <w:rFonts w:ascii="Arial" w:eastAsia="Arial" w:hAnsi="Arial" w:cs="Arial"/>
          <w:sz w:val="22"/>
          <w:szCs w:val="22"/>
          <w:bdr w:val="nil"/>
          <w:lang w:val="fr-FR"/>
        </w:rPr>
        <w:t>. Nous inclurons quatre éléments d’étude distincts : (1) un</w:t>
      </w:r>
      <w:r w:rsidR="00EB27F6">
        <w:rPr>
          <w:rFonts w:ascii="Arial" w:eastAsia="Arial" w:hAnsi="Arial" w:cs="Arial"/>
          <w:sz w:val="22"/>
          <w:szCs w:val="22"/>
          <w:bdr w:val="nil"/>
          <w:lang w:val="fr-FR"/>
        </w:rPr>
        <w:t xml:space="preserve">e étude randomisée </w:t>
      </w:r>
      <w:r w:rsidR="00EB27F6" w:rsidRPr="00EB27F6">
        <w:rPr>
          <w:rFonts w:ascii="Arial" w:eastAsia="Arial" w:hAnsi="Arial" w:cs="Arial"/>
          <w:sz w:val="22"/>
          <w:szCs w:val="22"/>
          <w:bdr w:val="nil"/>
        </w:rPr>
        <w:t>en grappes (cluster) avec permutation</w:t>
      </w:r>
      <w:r w:rsidR="00EB27F6">
        <w:rPr>
          <w:rFonts w:ascii="Arial" w:eastAsia="Arial" w:hAnsi="Arial" w:cs="Arial"/>
          <w:sz w:val="22"/>
          <w:szCs w:val="22"/>
          <w:bdr w:val="nil"/>
        </w:rPr>
        <w:t xml:space="preserve"> séquentielle</w:t>
      </w:r>
      <w:r w:rsidR="00EB27F6" w:rsidRPr="00EB27F6">
        <w:rPr>
          <w:rFonts w:ascii="Arial" w:eastAsia="Arial" w:hAnsi="Arial" w:cs="Arial"/>
          <w:sz w:val="22"/>
          <w:szCs w:val="22"/>
          <w:bdr w:val="nil"/>
        </w:rPr>
        <w:t xml:space="preserve"> </w:t>
      </w:r>
      <w:r w:rsidR="00B82342">
        <w:rPr>
          <w:rFonts w:ascii="Arial" w:hAnsi="Arial" w:cs="Arial"/>
          <w:sz w:val="22"/>
          <w:szCs w:val="22"/>
          <w:lang w:val="fr-FR"/>
        </w:rPr>
        <w:t>(</w:t>
      </w:r>
      <w:r w:rsidR="00B82342" w:rsidRPr="00B82342">
        <w:rPr>
          <w:rFonts w:ascii="Arial" w:hAnsi="Arial" w:cs="Arial"/>
          <w:i/>
          <w:iCs/>
          <w:sz w:val="22"/>
          <w:szCs w:val="22"/>
          <w:lang w:val="fr-FR"/>
        </w:rPr>
        <w:t>Stepped-wedge cluster randomized trial, SW-CRT</w:t>
      </w:r>
      <w:r w:rsidR="00B82342">
        <w:rPr>
          <w:rFonts w:ascii="Arial" w:hAnsi="Arial" w:cs="Arial"/>
          <w:sz w:val="22"/>
          <w:szCs w:val="22"/>
          <w:lang w:val="fr-FR"/>
        </w:rPr>
        <w:t>)</w:t>
      </w:r>
      <w:r w:rsidR="00B82342" w:rsidRPr="008A74FB">
        <w:rPr>
          <w:rFonts w:ascii="Arial" w:eastAsia="Arial" w:hAnsi="Arial" w:cs="Arial"/>
          <w:sz w:val="22"/>
          <w:szCs w:val="22"/>
          <w:bdr w:val="nil"/>
          <w:lang w:val="fr-FR"/>
        </w:rPr>
        <w:t xml:space="preserve"> </w:t>
      </w:r>
      <w:r>
        <w:rPr>
          <w:rFonts w:ascii="Arial" w:eastAsia="Arial" w:hAnsi="Arial" w:cs="Arial"/>
          <w:sz w:val="22"/>
          <w:szCs w:val="22"/>
          <w:bdr w:val="nil"/>
          <w:lang w:val="fr-FR"/>
        </w:rPr>
        <w:t xml:space="preserve">utilisant une enquête communautaire auprès des ménages, (2) des évaluations annuelles des </w:t>
      </w:r>
      <w:r w:rsidR="00563657">
        <w:rPr>
          <w:rFonts w:ascii="Arial" w:eastAsia="Arial" w:hAnsi="Arial" w:cs="Arial"/>
          <w:sz w:val="22"/>
          <w:szCs w:val="22"/>
          <w:bdr w:val="nil"/>
          <w:lang w:val="fr-FR"/>
        </w:rPr>
        <w:t>formation</w:t>
      </w:r>
      <w:r>
        <w:rPr>
          <w:rFonts w:ascii="Arial" w:eastAsia="Arial" w:hAnsi="Arial" w:cs="Arial"/>
          <w:sz w:val="22"/>
          <w:szCs w:val="22"/>
          <w:bdr w:val="nil"/>
          <w:lang w:val="fr-FR"/>
        </w:rPr>
        <w:t>s sanitaires, (3) des entretiens avec les informateurs clés menés un an après la réception post</w:t>
      </w:r>
      <w:r w:rsidR="009E4748">
        <w:rPr>
          <w:rFonts w:ascii="Arial" w:eastAsia="Arial" w:hAnsi="Arial" w:cs="Arial"/>
          <w:sz w:val="22"/>
          <w:szCs w:val="22"/>
          <w:bdr w:val="nil"/>
          <w:lang w:val="fr-FR"/>
        </w:rPr>
        <w:t>-</w:t>
      </w:r>
      <w:r>
        <w:rPr>
          <w:rFonts w:ascii="Arial" w:eastAsia="Arial" w:hAnsi="Arial" w:cs="Arial"/>
          <w:sz w:val="22"/>
          <w:szCs w:val="22"/>
          <w:bdr w:val="nil"/>
          <w:lang w:val="fr-FR"/>
        </w:rPr>
        <w:t>intervention et (4) des analyses du coût et du retour sur investissement annuelles réalisées à l’aide de l’Outil de santé communautaire et de calcul des coûts</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author":[{"dropping-particle":"","family":"Collins","given":"David","non-dropping-particle":"","parse-names":false,"suffix":""},{"dropping-particle":"","family":"Jarrah","given":"Zina","non-dropping-particle":"","parse-names":false,"suffix":""}],"id":"ITEM-1","issued":{"date-parts":[["2016"]]},"publisher":"Management Sciences for Health","title":"Community Health Planning and Costing Tool","type":"article"},"uris":["http://www.mendeley.com/documents/?uuid=84217aad-3b27-3c9f-a70c-3f2cd91e1a56"]}],"mendeley":{"formattedCitation":"(48)","plainTextFormattedCitation":"(48)","previouslyFormattedCitation":"(49)"},"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(48)</w:t>
      </w:r>
      <w:r>
        <w:rPr>
          <w:rFonts w:ascii="Arial" w:hAnsi="Arial" w:cs="Arial"/>
          <w:sz w:val="22"/>
          <w:szCs w:val="22"/>
        </w:rPr>
        <w:fldChar w:fldCharType="end"/>
      </w:r>
      <w:r>
        <w:rPr>
          <w:rFonts w:ascii="Arial" w:eastAsia="Arial" w:hAnsi="Arial" w:cs="Arial"/>
          <w:sz w:val="22"/>
          <w:szCs w:val="22"/>
          <w:bdr w:val="nil"/>
          <w:lang w:val="fr-FR"/>
        </w:rPr>
        <w:t xml:space="preserve"> et de l’Outil de calcul des vies sauvées</w:t>
      </w:r>
      <w:r w:rsidR="00FD3DDA">
        <w:rPr>
          <w:rFonts w:ascii="Arial" w:eastAsia="Arial" w:hAnsi="Arial" w:cs="Arial"/>
          <w:sz w:val="22"/>
          <w:szCs w:val="22"/>
          <w:bdr w:val="nil"/>
          <w:lang w:val="fr-FR"/>
        </w:rPr>
        <w:t xml:space="preserve"> </w:t>
      </w:r>
      <w:r>
        <w:rPr>
          <w:rFonts w:ascii="Arial" w:eastAsia="Arial" w:hAnsi="Arial" w:cs="Arial"/>
          <w:i/>
          <w:iCs/>
          <w:sz w:val="22"/>
          <w:szCs w:val="22"/>
          <w:bdr w:val="nil"/>
          <w:lang w:val="fr-FR"/>
        </w:rPr>
        <w:t>(Lives Saved Tool, LiST</w:t>
      </w:r>
      <w:r>
        <w:rPr>
          <w:rFonts w:ascii="Arial" w:eastAsia="Arial" w:hAnsi="Arial" w:cs="Arial"/>
          <w:sz w:val="22"/>
          <w:szCs w:val="22"/>
          <w:bdr w:val="nil"/>
          <w:lang w:val="fr-FR"/>
        </w:rPr>
        <w:t xml:space="preserve">) </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10.1186/s12889-017-4735-4","ISSN":"1471-2458","author":[{"dropping-particle":"","family":"Walker","given":"Neff","non-dropping-particle":"","parse-names":false,"suffix":""},{"dropping-particle":"","family":"Friberg","given":"Ingrid K.","non-dropping-particle":"","parse-names":false,"suffix":""}],"container-title":"BMC Public Health","id":"ITEM-1","issue":"S4","issued":{"date-parts":[["2017","11","7"]]},"page":"774","publisher":"BioMed Central","title":"Introduction: reporting on updates in the scientific basis for the Lives Saved Tool (LiST)","type":"article-journal","volume":"17"},"uris":["http://www.mendeley.com/documents/?uuid=e6aac1cf-5473-3fad-84a6-33f7555e6edf"]}],"mendeley":{"formattedCitation":"(49)","plainTextFormattedCitation":"(49)","previouslyFormattedCitation":"(50)"},"properties":{"noteIndex":0},"schema":"https://github.com/citation-style-language/schema/raw/master/csl-citation.json"}</w:instrText>
      </w:r>
      <w:r>
        <w:rPr>
          <w:rFonts w:ascii="Arial" w:hAnsi="Arial" w:cs="Arial"/>
          <w:sz w:val="22"/>
          <w:szCs w:val="22"/>
        </w:rPr>
        <w:fldChar w:fldCharType="separate"/>
      </w:r>
      <w:r w:rsidR="00902B77" w:rsidRPr="00902B77">
        <w:rPr>
          <w:rFonts w:ascii="Arial" w:eastAsia="Arial" w:hAnsi="Arial" w:cs="Arial"/>
          <w:noProof/>
          <w:sz w:val="22"/>
          <w:szCs w:val="22"/>
          <w:bdr w:val="nil"/>
          <w:lang w:val="fr-FR"/>
        </w:rPr>
        <w:t>(49)</w:t>
      </w:r>
      <w:r>
        <w:rPr>
          <w:rFonts w:ascii="Arial" w:hAnsi="Arial" w:cs="Arial"/>
          <w:sz w:val="22"/>
          <w:szCs w:val="22"/>
        </w:rPr>
        <w:fldChar w:fldCharType="end"/>
      </w:r>
      <w:r>
        <w:rPr>
          <w:rFonts w:ascii="Arial" w:eastAsia="Arial" w:hAnsi="Arial" w:cs="Arial"/>
          <w:sz w:val="22"/>
          <w:szCs w:val="22"/>
          <w:bdr w:val="nil"/>
          <w:lang w:val="fr-FR"/>
        </w:rPr>
        <w:t xml:space="preserve">. Vous trouverez plus de détails sur chaque élément de l’étude dans le tableau 2 ci-dessous qui reprend le calendrier. </w:t>
      </w:r>
    </w:p>
    <w:p w:rsidR="00455645" w:rsidRDefault="00455645">
      <w:pPr>
        <w:pStyle w:val="NoSpacing"/>
        <w:rPr>
          <w:rFonts w:ascii="Arial" w:hAnsi="Arial" w:cs="Arial"/>
          <w:sz w:val="22"/>
          <w:szCs w:val="22"/>
          <w:lang w:val="es-US"/>
        </w:rPr>
      </w:pPr>
    </w:p>
    <w:p w:rsidR="0044028E" w:rsidRPr="00A01ABE" w:rsidRDefault="0044028E" w:rsidP="00762139">
      <w:pPr>
        <w:pStyle w:val="NoSpacing"/>
        <w:spacing w:line="240" w:lineRule="auto"/>
        <w:rPr>
          <w:rFonts w:ascii="Arial" w:hAnsi="Arial" w:cs="Arial"/>
          <w:sz w:val="22"/>
          <w:szCs w:val="22"/>
          <w:lang w:val="fr-FR"/>
        </w:rPr>
      </w:pPr>
      <w:r w:rsidRPr="00762139">
        <w:rPr>
          <w:rFonts w:ascii="Arial" w:eastAsia="Arial" w:hAnsi="Arial" w:cs="Arial"/>
          <w:b/>
          <w:bCs/>
          <w:sz w:val="22"/>
          <w:szCs w:val="22"/>
          <w:bdr w:val="nil"/>
          <w:lang w:val="fr-FR"/>
        </w:rPr>
        <w:t>Tableau 2</w:t>
      </w:r>
      <w:r>
        <w:rPr>
          <w:rFonts w:ascii="Arial" w:eastAsia="Arial" w:hAnsi="Arial" w:cs="Arial"/>
          <w:sz w:val="22"/>
          <w:szCs w:val="22"/>
          <w:bdr w:val="nil"/>
          <w:lang w:val="fr-FR"/>
        </w:rPr>
        <w:t> : Recueil des données et calendrier de l’initiation du renforcement des systèmes communautaires de santé intégrée (</w:t>
      </w:r>
      <w:r w:rsidR="00D217AA">
        <w:rPr>
          <w:rFonts w:ascii="Arial" w:eastAsia="Arial" w:hAnsi="Arial" w:cs="Arial"/>
          <w:sz w:val="22"/>
          <w:szCs w:val="22"/>
          <w:bdr w:val="nil"/>
          <w:lang w:val="fr-FR"/>
        </w:rPr>
        <w:t>RSSBC</w:t>
      </w:r>
      <w:r>
        <w:rPr>
          <w:rFonts w:ascii="Arial" w:eastAsia="Arial" w:hAnsi="Arial" w:cs="Arial"/>
          <w:sz w:val="22"/>
          <w:szCs w:val="22"/>
          <w:bdr w:val="nil"/>
          <w:lang w:val="fr-FR"/>
        </w:rPr>
        <w:t>) basé sur une mise en place échelonnée*</w:t>
      </w:r>
    </w:p>
    <w:tbl>
      <w:tblPr>
        <w:tblStyle w:val="TableGrid"/>
        <w:tblW w:w="11322" w:type="dxa"/>
        <w:tblInd w:w="-815" w:type="dxa"/>
        <w:tblLayout w:type="fixed"/>
        <w:tblLook w:val="04A0" w:firstRow="1" w:lastRow="0" w:firstColumn="1" w:lastColumn="0" w:noHBand="0" w:noVBand="1"/>
      </w:tblPr>
      <w:tblGrid>
        <w:gridCol w:w="990"/>
        <w:gridCol w:w="1260"/>
        <w:gridCol w:w="1008"/>
        <w:gridCol w:w="1008"/>
        <w:gridCol w:w="1008"/>
        <w:gridCol w:w="1008"/>
        <w:gridCol w:w="1008"/>
        <w:gridCol w:w="1008"/>
        <w:gridCol w:w="1008"/>
        <w:gridCol w:w="1008"/>
        <w:gridCol w:w="1008"/>
      </w:tblGrid>
      <w:tr w:rsidR="0044028E" w:rsidRPr="007C0186" w:rsidTr="00D64503">
        <w:tc>
          <w:tcPr>
            <w:tcW w:w="990" w:type="dxa"/>
            <w:shd w:val="clear" w:color="auto" w:fill="E7E6E6" w:themeFill="background2"/>
            <w:vAlign w:val="center"/>
          </w:tcPr>
          <w:p w:rsidR="0044028E" w:rsidRPr="007C0186" w:rsidRDefault="0044028E" w:rsidP="00762139">
            <w:pPr>
              <w:pStyle w:val="NoSpacing"/>
              <w:spacing w:line="240" w:lineRule="auto"/>
              <w:rPr>
                <w:rFonts w:asciiTheme="majorHAnsi" w:hAnsiTheme="majorHAnsi" w:cs="Arial"/>
                <w:b/>
                <w:sz w:val="18"/>
                <w:szCs w:val="18"/>
              </w:rPr>
            </w:pPr>
            <w:r w:rsidRPr="007C0186">
              <w:rPr>
                <w:rFonts w:asciiTheme="majorHAnsi" w:eastAsia="Arial" w:hAnsiTheme="majorHAnsi" w:cs="Arial"/>
                <w:b/>
                <w:bCs/>
                <w:sz w:val="18"/>
                <w:szCs w:val="18"/>
                <w:bdr w:val="nil"/>
                <w:lang w:val="fr-FR"/>
              </w:rPr>
              <w:t>Groupe</w:t>
            </w:r>
          </w:p>
        </w:tc>
        <w:tc>
          <w:tcPr>
            <w:tcW w:w="1260" w:type="dxa"/>
            <w:shd w:val="clear" w:color="auto" w:fill="E7E6E6" w:themeFill="background2"/>
            <w:vAlign w:val="center"/>
          </w:tcPr>
          <w:p w:rsidR="0044028E" w:rsidRPr="007C0186" w:rsidRDefault="0044028E" w:rsidP="00762139">
            <w:pPr>
              <w:pStyle w:val="NoSpacing"/>
              <w:spacing w:line="240" w:lineRule="auto"/>
              <w:rPr>
                <w:rFonts w:asciiTheme="majorHAnsi" w:hAnsiTheme="majorHAnsi" w:cs="Arial"/>
                <w:b/>
                <w:sz w:val="18"/>
                <w:szCs w:val="18"/>
              </w:rPr>
            </w:pPr>
            <w:r w:rsidRPr="007C0186">
              <w:rPr>
                <w:rFonts w:asciiTheme="majorHAnsi" w:eastAsia="Arial" w:hAnsiTheme="majorHAnsi" w:cs="Arial"/>
                <w:b/>
                <w:bCs/>
                <w:sz w:val="18"/>
                <w:szCs w:val="18"/>
                <w:bdr w:val="nil"/>
                <w:lang w:val="fr-FR"/>
              </w:rPr>
              <w:t>Activité**</w:t>
            </w:r>
          </w:p>
        </w:tc>
        <w:tc>
          <w:tcPr>
            <w:tcW w:w="1008" w:type="dxa"/>
            <w:shd w:val="clear" w:color="auto" w:fill="E7E6E6" w:themeFill="background2"/>
            <w:vAlign w:val="center"/>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Mois</w:t>
            </w:r>
          </w:p>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1 à 2</w:t>
            </w:r>
          </w:p>
        </w:tc>
        <w:tc>
          <w:tcPr>
            <w:tcW w:w="1008" w:type="dxa"/>
            <w:shd w:val="clear" w:color="auto" w:fill="E7E6E6" w:themeFill="background2"/>
            <w:vAlign w:val="center"/>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Mois</w:t>
            </w:r>
          </w:p>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3 à 12</w:t>
            </w:r>
          </w:p>
        </w:tc>
        <w:tc>
          <w:tcPr>
            <w:tcW w:w="1008" w:type="dxa"/>
            <w:shd w:val="clear" w:color="auto" w:fill="E7E6E6" w:themeFill="background2"/>
            <w:vAlign w:val="center"/>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Mois</w:t>
            </w:r>
          </w:p>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13 à 14</w:t>
            </w:r>
          </w:p>
        </w:tc>
        <w:tc>
          <w:tcPr>
            <w:tcW w:w="1008" w:type="dxa"/>
            <w:shd w:val="clear" w:color="auto" w:fill="E7E6E6" w:themeFill="background2"/>
            <w:vAlign w:val="center"/>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Mois</w:t>
            </w:r>
          </w:p>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15 à 24</w:t>
            </w:r>
          </w:p>
        </w:tc>
        <w:tc>
          <w:tcPr>
            <w:tcW w:w="1008" w:type="dxa"/>
            <w:shd w:val="clear" w:color="auto" w:fill="E7E6E6" w:themeFill="background2"/>
            <w:vAlign w:val="center"/>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Mois</w:t>
            </w:r>
          </w:p>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25 à 26</w:t>
            </w:r>
          </w:p>
        </w:tc>
        <w:tc>
          <w:tcPr>
            <w:tcW w:w="1008" w:type="dxa"/>
            <w:shd w:val="clear" w:color="auto" w:fill="E7E6E6" w:themeFill="background2"/>
            <w:vAlign w:val="center"/>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Mois</w:t>
            </w:r>
          </w:p>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27 à 36</w:t>
            </w:r>
          </w:p>
        </w:tc>
        <w:tc>
          <w:tcPr>
            <w:tcW w:w="1008" w:type="dxa"/>
            <w:shd w:val="clear" w:color="auto" w:fill="E7E6E6" w:themeFill="background2"/>
            <w:vAlign w:val="center"/>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Mois</w:t>
            </w:r>
          </w:p>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37 à 38</w:t>
            </w:r>
          </w:p>
        </w:tc>
        <w:tc>
          <w:tcPr>
            <w:tcW w:w="1008" w:type="dxa"/>
            <w:shd w:val="clear" w:color="auto" w:fill="E7E6E6" w:themeFill="background2"/>
            <w:vAlign w:val="center"/>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Mois</w:t>
            </w:r>
          </w:p>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39 à 48</w:t>
            </w:r>
          </w:p>
        </w:tc>
        <w:tc>
          <w:tcPr>
            <w:tcW w:w="1008" w:type="dxa"/>
            <w:shd w:val="clear" w:color="auto" w:fill="E7E6E6" w:themeFill="background2"/>
            <w:vAlign w:val="center"/>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Mois</w:t>
            </w:r>
          </w:p>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eastAsia="Arial" w:hAnsiTheme="majorHAnsi" w:cs="Arial"/>
                <w:b/>
                <w:bCs/>
                <w:sz w:val="18"/>
                <w:szCs w:val="18"/>
                <w:bdr w:val="nil"/>
                <w:lang w:val="fr-FR"/>
              </w:rPr>
              <w:t>49 à 50</w:t>
            </w:r>
          </w:p>
        </w:tc>
      </w:tr>
      <w:tr w:rsidR="0044028E" w:rsidRPr="007C0186" w:rsidTr="00D64503">
        <w:tc>
          <w:tcPr>
            <w:tcW w:w="990" w:type="dxa"/>
            <w:shd w:val="clear" w:color="auto" w:fill="E7E6E6" w:themeFill="background2"/>
          </w:tcPr>
          <w:p w:rsidR="0044028E" w:rsidRPr="007C0186" w:rsidRDefault="0044028E" w:rsidP="00762139">
            <w:pPr>
              <w:pStyle w:val="NoSpacing"/>
              <w:spacing w:line="240" w:lineRule="auto"/>
              <w:rPr>
                <w:rFonts w:asciiTheme="majorHAnsi" w:hAnsiTheme="majorHAnsi" w:cs="Arial"/>
                <w:sz w:val="18"/>
                <w:szCs w:val="18"/>
              </w:rPr>
            </w:pPr>
          </w:p>
        </w:tc>
        <w:tc>
          <w:tcPr>
            <w:tcW w:w="1260" w:type="dxa"/>
            <w:shd w:val="clear" w:color="auto" w:fill="E7E6E6" w:themeFill="background2"/>
          </w:tcPr>
          <w:p w:rsidR="0044028E" w:rsidRPr="007C0186" w:rsidRDefault="0044028E" w:rsidP="00762139">
            <w:pPr>
              <w:pStyle w:val="NoSpacing"/>
              <w:spacing w:line="240" w:lineRule="auto"/>
              <w:rPr>
                <w:rFonts w:asciiTheme="majorHAnsi" w:hAnsiTheme="majorHAnsi" w:cs="Arial"/>
                <w:sz w:val="18"/>
                <w:szCs w:val="18"/>
              </w:rPr>
            </w:pPr>
          </w:p>
        </w:tc>
        <w:tc>
          <w:tcPr>
            <w:tcW w:w="1008" w:type="dxa"/>
            <w:shd w:val="clear" w:color="auto" w:fill="E7E6E6" w:themeFill="background2"/>
          </w:tcPr>
          <w:p w:rsidR="0044028E" w:rsidRPr="007C0186" w:rsidRDefault="0044028E" w:rsidP="00762139">
            <w:pPr>
              <w:pStyle w:val="NoSpacing"/>
              <w:spacing w:line="240" w:lineRule="auto"/>
              <w:jc w:val="center"/>
              <w:rPr>
                <w:rFonts w:asciiTheme="majorHAnsi" w:hAnsiTheme="majorHAnsi" w:cs="Arial"/>
                <w:i/>
                <w:sz w:val="18"/>
                <w:szCs w:val="18"/>
              </w:rPr>
            </w:pPr>
            <w:r w:rsidRPr="007C0186">
              <w:rPr>
                <w:rFonts w:asciiTheme="majorHAnsi" w:eastAsia="Arial" w:hAnsiTheme="majorHAnsi" w:cs="Arial"/>
                <w:i/>
                <w:iCs/>
                <w:sz w:val="18"/>
                <w:szCs w:val="18"/>
                <w:bdr w:val="nil"/>
                <w:lang w:val="fr-FR"/>
              </w:rPr>
              <w:t>Mai/Juin</w:t>
            </w:r>
          </w:p>
          <w:p w:rsidR="0044028E" w:rsidRPr="007C0186" w:rsidRDefault="0044028E" w:rsidP="00762139">
            <w:pPr>
              <w:pStyle w:val="NoSpacing"/>
              <w:spacing w:line="240" w:lineRule="auto"/>
              <w:jc w:val="center"/>
              <w:rPr>
                <w:rFonts w:asciiTheme="majorHAnsi" w:hAnsiTheme="majorHAnsi" w:cs="Arial"/>
                <w:i/>
                <w:sz w:val="18"/>
                <w:szCs w:val="18"/>
              </w:rPr>
            </w:pPr>
            <w:r w:rsidRPr="007C0186">
              <w:rPr>
                <w:rFonts w:asciiTheme="majorHAnsi" w:eastAsia="Arial" w:hAnsiTheme="majorHAnsi" w:cs="Arial"/>
                <w:i/>
                <w:iCs/>
                <w:sz w:val="18"/>
                <w:szCs w:val="18"/>
                <w:bdr w:val="nil"/>
                <w:lang w:val="fr-FR"/>
              </w:rPr>
              <w:t>2018</w:t>
            </w:r>
          </w:p>
        </w:tc>
        <w:tc>
          <w:tcPr>
            <w:tcW w:w="1008" w:type="dxa"/>
            <w:tcBorders>
              <w:bottom w:val="single" w:sz="4" w:space="0" w:color="auto"/>
            </w:tcBorders>
            <w:shd w:val="clear" w:color="auto" w:fill="E7E6E6" w:themeFill="background2"/>
          </w:tcPr>
          <w:p w:rsidR="0044028E" w:rsidRPr="007C0186" w:rsidRDefault="0044028E" w:rsidP="00762139">
            <w:pPr>
              <w:pStyle w:val="NoSpacing"/>
              <w:spacing w:line="240" w:lineRule="auto"/>
              <w:jc w:val="center"/>
              <w:rPr>
                <w:rFonts w:asciiTheme="majorHAnsi" w:hAnsiTheme="majorHAnsi" w:cs="Arial"/>
                <w:i/>
                <w:sz w:val="18"/>
                <w:szCs w:val="18"/>
              </w:rPr>
            </w:pPr>
            <w:r w:rsidRPr="007C0186">
              <w:rPr>
                <w:rFonts w:asciiTheme="majorHAnsi" w:eastAsia="Arial" w:hAnsiTheme="majorHAnsi" w:cs="Arial"/>
                <w:i/>
                <w:iCs/>
                <w:sz w:val="18"/>
                <w:szCs w:val="18"/>
                <w:bdr w:val="nil"/>
                <w:lang w:val="fr-FR"/>
              </w:rPr>
              <w:t>Juillet </w:t>
            </w:r>
            <w:r w:rsidRPr="007C0186">
              <w:rPr>
                <w:rFonts w:asciiTheme="majorHAnsi" w:eastAsia="Arial" w:hAnsiTheme="majorHAnsi" w:cs="Arial"/>
                <w:i/>
                <w:iCs/>
                <w:sz w:val="18"/>
                <w:szCs w:val="18"/>
                <w:bdr w:val="nil"/>
                <w:lang w:val="fr-FR"/>
              </w:rPr>
              <w:br/>
              <w:t>2018 à avril 2019</w:t>
            </w:r>
          </w:p>
        </w:tc>
        <w:tc>
          <w:tcPr>
            <w:tcW w:w="1008" w:type="dxa"/>
            <w:tcBorders>
              <w:bottom w:val="single" w:sz="4" w:space="0" w:color="auto"/>
            </w:tcBorders>
            <w:shd w:val="clear" w:color="auto" w:fill="E7E6E6" w:themeFill="background2"/>
          </w:tcPr>
          <w:p w:rsidR="00F0368B" w:rsidRDefault="0044028E" w:rsidP="00762139">
            <w:pPr>
              <w:pStyle w:val="NoSpacing"/>
              <w:spacing w:line="240" w:lineRule="auto"/>
              <w:jc w:val="center"/>
              <w:rPr>
                <w:rFonts w:asciiTheme="majorHAnsi" w:eastAsia="Arial" w:hAnsiTheme="majorHAnsi" w:cs="Arial"/>
                <w:i/>
                <w:iCs/>
                <w:sz w:val="18"/>
                <w:szCs w:val="18"/>
                <w:bdr w:val="nil"/>
                <w:lang w:val="fr-FR"/>
              </w:rPr>
            </w:pPr>
            <w:r w:rsidRPr="007C0186">
              <w:rPr>
                <w:rFonts w:asciiTheme="majorHAnsi" w:eastAsia="Arial" w:hAnsiTheme="majorHAnsi" w:cs="Arial"/>
                <w:i/>
                <w:iCs/>
                <w:sz w:val="18"/>
                <w:szCs w:val="18"/>
                <w:bdr w:val="nil"/>
                <w:lang w:val="fr-FR"/>
              </w:rPr>
              <w:t>Mai/Juin </w:t>
            </w:r>
          </w:p>
          <w:p w:rsidR="0044028E" w:rsidRPr="007C0186" w:rsidRDefault="0044028E" w:rsidP="00762139">
            <w:pPr>
              <w:pStyle w:val="NoSpacing"/>
              <w:spacing w:line="240" w:lineRule="auto"/>
              <w:jc w:val="center"/>
              <w:rPr>
                <w:rFonts w:asciiTheme="majorHAnsi" w:hAnsiTheme="majorHAnsi" w:cs="Arial"/>
                <w:i/>
                <w:sz w:val="18"/>
                <w:szCs w:val="18"/>
              </w:rPr>
            </w:pPr>
            <w:r w:rsidRPr="007C0186">
              <w:rPr>
                <w:rFonts w:asciiTheme="majorHAnsi" w:eastAsia="Arial" w:hAnsiTheme="majorHAnsi" w:cs="Arial"/>
                <w:i/>
                <w:iCs/>
                <w:sz w:val="18"/>
                <w:szCs w:val="18"/>
                <w:bdr w:val="nil"/>
                <w:lang w:val="fr-FR"/>
              </w:rPr>
              <w:t>2019</w:t>
            </w:r>
          </w:p>
        </w:tc>
        <w:tc>
          <w:tcPr>
            <w:tcW w:w="1008" w:type="dxa"/>
            <w:tcBorders>
              <w:bottom w:val="single" w:sz="4" w:space="0" w:color="auto"/>
            </w:tcBorders>
            <w:shd w:val="clear" w:color="auto" w:fill="E7E6E6" w:themeFill="background2"/>
          </w:tcPr>
          <w:p w:rsidR="0044028E" w:rsidRPr="007C0186" w:rsidRDefault="0044028E" w:rsidP="00762139">
            <w:pPr>
              <w:pStyle w:val="NoSpacing"/>
              <w:spacing w:line="240" w:lineRule="auto"/>
              <w:jc w:val="center"/>
              <w:rPr>
                <w:rFonts w:asciiTheme="majorHAnsi" w:hAnsiTheme="majorHAnsi" w:cs="Arial"/>
                <w:i/>
                <w:sz w:val="18"/>
                <w:szCs w:val="18"/>
              </w:rPr>
            </w:pPr>
            <w:r w:rsidRPr="007C0186">
              <w:rPr>
                <w:rFonts w:asciiTheme="majorHAnsi" w:eastAsia="Arial" w:hAnsiTheme="majorHAnsi" w:cs="Arial"/>
                <w:i/>
                <w:iCs/>
                <w:sz w:val="18"/>
                <w:szCs w:val="18"/>
                <w:bdr w:val="nil"/>
                <w:lang w:val="fr-FR"/>
              </w:rPr>
              <w:t>Juillet </w:t>
            </w:r>
            <w:r w:rsidRPr="007C0186">
              <w:rPr>
                <w:rFonts w:asciiTheme="majorHAnsi" w:eastAsia="Arial" w:hAnsiTheme="majorHAnsi" w:cs="Arial"/>
                <w:i/>
                <w:iCs/>
                <w:sz w:val="18"/>
                <w:szCs w:val="18"/>
                <w:bdr w:val="nil"/>
                <w:lang w:val="fr-FR"/>
              </w:rPr>
              <w:br/>
              <w:t>2019 à avril 2020</w:t>
            </w:r>
          </w:p>
        </w:tc>
        <w:tc>
          <w:tcPr>
            <w:tcW w:w="1008" w:type="dxa"/>
            <w:tcBorders>
              <w:bottom w:val="single" w:sz="4" w:space="0" w:color="auto"/>
            </w:tcBorders>
            <w:shd w:val="clear" w:color="auto" w:fill="E7E6E6" w:themeFill="background2"/>
          </w:tcPr>
          <w:p w:rsidR="00F0368B" w:rsidRDefault="0044028E" w:rsidP="00762139">
            <w:pPr>
              <w:pStyle w:val="NoSpacing"/>
              <w:spacing w:line="240" w:lineRule="auto"/>
              <w:jc w:val="center"/>
              <w:rPr>
                <w:rFonts w:asciiTheme="majorHAnsi" w:eastAsia="Arial" w:hAnsiTheme="majorHAnsi" w:cs="Arial"/>
                <w:i/>
                <w:iCs/>
                <w:sz w:val="18"/>
                <w:szCs w:val="18"/>
                <w:bdr w:val="nil"/>
                <w:lang w:val="fr-FR"/>
              </w:rPr>
            </w:pPr>
            <w:r w:rsidRPr="007C0186">
              <w:rPr>
                <w:rFonts w:asciiTheme="majorHAnsi" w:eastAsia="Arial" w:hAnsiTheme="majorHAnsi" w:cs="Arial"/>
                <w:i/>
                <w:iCs/>
                <w:sz w:val="18"/>
                <w:szCs w:val="18"/>
                <w:bdr w:val="nil"/>
                <w:lang w:val="fr-FR"/>
              </w:rPr>
              <w:t>Mai/Juin </w:t>
            </w:r>
          </w:p>
          <w:p w:rsidR="0044028E" w:rsidRPr="007C0186" w:rsidRDefault="0044028E" w:rsidP="00762139">
            <w:pPr>
              <w:pStyle w:val="NoSpacing"/>
              <w:spacing w:line="240" w:lineRule="auto"/>
              <w:jc w:val="center"/>
              <w:rPr>
                <w:rFonts w:asciiTheme="majorHAnsi" w:hAnsiTheme="majorHAnsi" w:cs="Arial"/>
                <w:i/>
                <w:sz w:val="18"/>
                <w:szCs w:val="18"/>
              </w:rPr>
            </w:pPr>
            <w:r w:rsidRPr="007C0186">
              <w:rPr>
                <w:rFonts w:asciiTheme="majorHAnsi" w:eastAsia="Arial" w:hAnsiTheme="majorHAnsi" w:cs="Arial"/>
                <w:i/>
                <w:iCs/>
                <w:sz w:val="18"/>
                <w:szCs w:val="18"/>
                <w:bdr w:val="nil"/>
                <w:lang w:val="fr-FR"/>
              </w:rPr>
              <w:t>2020</w:t>
            </w:r>
          </w:p>
        </w:tc>
        <w:tc>
          <w:tcPr>
            <w:tcW w:w="1008" w:type="dxa"/>
            <w:tcBorders>
              <w:bottom w:val="single" w:sz="4" w:space="0" w:color="auto"/>
            </w:tcBorders>
            <w:shd w:val="clear" w:color="auto" w:fill="E7E6E6" w:themeFill="background2"/>
          </w:tcPr>
          <w:p w:rsidR="0044028E" w:rsidRPr="007C0186" w:rsidRDefault="0044028E" w:rsidP="00762139">
            <w:pPr>
              <w:pStyle w:val="NoSpacing"/>
              <w:spacing w:line="240" w:lineRule="auto"/>
              <w:jc w:val="center"/>
              <w:rPr>
                <w:rFonts w:asciiTheme="majorHAnsi" w:hAnsiTheme="majorHAnsi" w:cs="Arial"/>
                <w:i/>
                <w:sz w:val="18"/>
                <w:szCs w:val="18"/>
              </w:rPr>
            </w:pPr>
            <w:r w:rsidRPr="007C0186">
              <w:rPr>
                <w:rFonts w:asciiTheme="majorHAnsi" w:eastAsia="Arial" w:hAnsiTheme="majorHAnsi" w:cs="Arial"/>
                <w:i/>
                <w:iCs/>
                <w:sz w:val="18"/>
                <w:szCs w:val="18"/>
                <w:bdr w:val="nil"/>
                <w:lang w:val="fr-FR"/>
              </w:rPr>
              <w:t>Juillet </w:t>
            </w:r>
            <w:r w:rsidRPr="007C0186">
              <w:rPr>
                <w:rFonts w:asciiTheme="majorHAnsi" w:eastAsia="Arial" w:hAnsiTheme="majorHAnsi" w:cs="Arial"/>
                <w:i/>
                <w:iCs/>
                <w:sz w:val="18"/>
                <w:szCs w:val="18"/>
                <w:bdr w:val="nil"/>
                <w:lang w:val="fr-FR"/>
              </w:rPr>
              <w:br/>
              <w:t>2020 à avril 2021</w:t>
            </w:r>
          </w:p>
        </w:tc>
        <w:tc>
          <w:tcPr>
            <w:tcW w:w="1008" w:type="dxa"/>
            <w:tcBorders>
              <w:bottom w:val="single" w:sz="4" w:space="0" w:color="auto"/>
            </w:tcBorders>
            <w:shd w:val="clear" w:color="auto" w:fill="E7E6E6" w:themeFill="background2"/>
          </w:tcPr>
          <w:p w:rsidR="0044028E" w:rsidRPr="007C0186" w:rsidRDefault="0044028E" w:rsidP="00762139">
            <w:pPr>
              <w:pStyle w:val="NoSpacing"/>
              <w:spacing w:line="240" w:lineRule="auto"/>
              <w:jc w:val="center"/>
              <w:rPr>
                <w:rFonts w:asciiTheme="majorHAnsi" w:hAnsiTheme="majorHAnsi" w:cs="Arial"/>
                <w:i/>
                <w:sz w:val="18"/>
                <w:szCs w:val="18"/>
              </w:rPr>
            </w:pPr>
            <w:r w:rsidRPr="007C0186">
              <w:rPr>
                <w:rFonts w:asciiTheme="majorHAnsi" w:eastAsia="Arial" w:hAnsiTheme="majorHAnsi" w:cs="Arial"/>
                <w:i/>
                <w:iCs/>
                <w:sz w:val="18"/>
                <w:szCs w:val="18"/>
                <w:bdr w:val="nil"/>
                <w:lang w:val="fr-FR"/>
              </w:rPr>
              <w:t>Mai/Juin 2021</w:t>
            </w:r>
          </w:p>
        </w:tc>
        <w:tc>
          <w:tcPr>
            <w:tcW w:w="1008" w:type="dxa"/>
            <w:tcBorders>
              <w:bottom w:val="single" w:sz="4" w:space="0" w:color="auto"/>
            </w:tcBorders>
            <w:shd w:val="clear" w:color="auto" w:fill="E7E6E6" w:themeFill="background2"/>
          </w:tcPr>
          <w:p w:rsidR="0044028E" w:rsidRPr="007C0186" w:rsidRDefault="0044028E" w:rsidP="00762139">
            <w:pPr>
              <w:pStyle w:val="NoSpacing"/>
              <w:spacing w:line="240" w:lineRule="auto"/>
              <w:jc w:val="center"/>
              <w:rPr>
                <w:rFonts w:asciiTheme="majorHAnsi" w:hAnsiTheme="majorHAnsi" w:cs="Arial"/>
                <w:i/>
                <w:sz w:val="18"/>
                <w:szCs w:val="18"/>
              </w:rPr>
            </w:pPr>
            <w:r w:rsidRPr="007C0186">
              <w:rPr>
                <w:rFonts w:asciiTheme="majorHAnsi" w:eastAsia="Arial" w:hAnsiTheme="majorHAnsi" w:cs="Arial"/>
                <w:i/>
                <w:iCs/>
                <w:sz w:val="18"/>
                <w:szCs w:val="18"/>
                <w:bdr w:val="nil"/>
                <w:lang w:val="fr-FR"/>
              </w:rPr>
              <w:t>Juillet </w:t>
            </w:r>
            <w:r w:rsidRPr="007C0186">
              <w:rPr>
                <w:rFonts w:asciiTheme="majorHAnsi" w:eastAsia="Arial" w:hAnsiTheme="majorHAnsi" w:cs="Arial"/>
                <w:i/>
                <w:iCs/>
                <w:sz w:val="18"/>
                <w:szCs w:val="18"/>
                <w:bdr w:val="nil"/>
                <w:lang w:val="fr-FR"/>
              </w:rPr>
              <w:br/>
              <w:t>2021 à avril 2022</w:t>
            </w:r>
          </w:p>
        </w:tc>
        <w:tc>
          <w:tcPr>
            <w:tcW w:w="1008" w:type="dxa"/>
            <w:tcBorders>
              <w:bottom w:val="single" w:sz="4" w:space="0" w:color="auto"/>
            </w:tcBorders>
            <w:shd w:val="clear" w:color="auto" w:fill="E7E6E6" w:themeFill="background2"/>
          </w:tcPr>
          <w:p w:rsidR="0044028E" w:rsidRPr="007C0186" w:rsidRDefault="0044028E" w:rsidP="00762139">
            <w:pPr>
              <w:pStyle w:val="NoSpacing"/>
              <w:spacing w:line="240" w:lineRule="auto"/>
              <w:jc w:val="center"/>
              <w:rPr>
                <w:rFonts w:asciiTheme="majorHAnsi" w:hAnsiTheme="majorHAnsi" w:cs="Arial"/>
                <w:i/>
                <w:sz w:val="18"/>
                <w:szCs w:val="18"/>
              </w:rPr>
            </w:pPr>
            <w:r w:rsidRPr="007C0186">
              <w:rPr>
                <w:rFonts w:asciiTheme="majorHAnsi" w:eastAsia="Arial" w:hAnsiTheme="majorHAnsi" w:cs="Arial"/>
                <w:i/>
                <w:iCs/>
                <w:sz w:val="18"/>
                <w:szCs w:val="18"/>
                <w:bdr w:val="nil"/>
                <w:lang w:val="fr-FR"/>
              </w:rPr>
              <w:t>Mai/Juin </w:t>
            </w:r>
            <w:r w:rsidR="00F0368B">
              <w:rPr>
                <w:rFonts w:asciiTheme="majorHAnsi" w:eastAsia="Arial" w:hAnsiTheme="majorHAnsi" w:cs="Arial"/>
                <w:i/>
                <w:iCs/>
                <w:sz w:val="18"/>
                <w:szCs w:val="18"/>
                <w:bdr w:val="nil"/>
                <w:lang w:val="fr-FR"/>
              </w:rPr>
              <w:t xml:space="preserve"> </w:t>
            </w:r>
            <w:r w:rsidRPr="007C0186">
              <w:rPr>
                <w:rFonts w:asciiTheme="majorHAnsi" w:eastAsia="Arial" w:hAnsiTheme="majorHAnsi" w:cs="Arial"/>
                <w:i/>
                <w:iCs/>
                <w:sz w:val="18"/>
                <w:szCs w:val="18"/>
                <w:bdr w:val="nil"/>
                <w:lang w:val="fr-FR"/>
              </w:rPr>
              <w:t>2022</w:t>
            </w:r>
          </w:p>
        </w:tc>
      </w:tr>
      <w:tr w:rsidR="0044028E" w:rsidRPr="007C0186" w:rsidTr="007C0186">
        <w:tc>
          <w:tcPr>
            <w:tcW w:w="990" w:type="dxa"/>
            <w:vMerge w:val="restart"/>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Préfecture 1</w:t>
            </w: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Lancement RS</w:t>
            </w:r>
            <w:r w:rsidR="00D217AA">
              <w:rPr>
                <w:rFonts w:asciiTheme="majorHAnsi" w:eastAsia="Arial" w:hAnsiTheme="majorHAnsi" w:cs="Arial"/>
                <w:sz w:val="18"/>
                <w:szCs w:val="18"/>
                <w:bdr w:val="nil"/>
                <w:lang w:val="fr-FR"/>
              </w:rPr>
              <w:t>SBC</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Enquête</w:t>
            </w:r>
            <w:r w:rsidR="00FD3DDA">
              <w:rPr>
                <w:rFonts w:asciiTheme="majorHAnsi" w:eastAsia="Arial" w:hAnsiTheme="majorHAnsi" w:cs="Arial"/>
                <w:sz w:val="18"/>
                <w:szCs w:val="18"/>
                <w:bdr w:val="nil"/>
                <w:lang w:val="fr-FR"/>
              </w:rPr>
              <w:t> </w:t>
            </w:r>
            <w:r w:rsidRPr="007C0186">
              <w:rPr>
                <w:rFonts w:asciiTheme="majorHAnsi" w:eastAsia="Arial" w:hAnsiTheme="majorHAnsi" w:cs="Arial"/>
                <w:sz w:val="18"/>
                <w:szCs w:val="18"/>
                <w:bdr w:val="nil"/>
                <w:lang w:val="fr-FR"/>
              </w:rPr>
              <w:t>CM</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 xml:space="preserve">Enquête </w:t>
            </w:r>
            <w:proofErr w:type="spellStart"/>
            <w:r w:rsidR="009E4748">
              <w:rPr>
                <w:rFonts w:asciiTheme="majorHAnsi" w:eastAsia="Arial" w:hAnsiTheme="majorHAnsi" w:cs="Arial"/>
                <w:sz w:val="18"/>
                <w:szCs w:val="18"/>
                <w:bdr w:val="nil"/>
                <w:lang w:val="fr-FR"/>
              </w:rPr>
              <w:t>FSs</w:t>
            </w:r>
            <w:proofErr w:type="spellEnd"/>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IC</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r>
      <w:tr w:rsidR="0044028E" w:rsidRPr="007C0186" w:rsidTr="007C0186">
        <w:trPr>
          <w:trHeight w:val="161"/>
        </w:trPr>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 xml:space="preserve">Enquête coût </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r>
      <w:tr w:rsidR="0044028E" w:rsidRPr="007C0186" w:rsidTr="007C0186">
        <w:tc>
          <w:tcPr>
            <w:tcW w:w="990" w:type="dxa"/>
            <w:vMerge w:val="restart"/>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Préfecture 2</w:t>
            </w: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 xml:space="preserve">Lancement </w:t>
            </w:r>
            <w:r w:rsidR="00D217AA" w:rsidRPr="00712616">
              <w:rPr>
                <w:rFonts w:asciiTheme="majorHAnsi" w:eastAsia="Arial" w:hAnsiTheme="majorHAnsi" w:cs="Arial"/>
                <w:sz w:val="18"/>
                <w:szCs w:val="18"/>
                <w:bdr w:val="nil"/>
                <w:lang w:val="fr-FR"/>
              </w:rPr>
              <w:t>RS</w:t>
            </w:r>
            <w:r w:rsidR="00D217AA">
              <w:rPr>
                <w:rFonts w:asciiTheme="majorHAnsi" w:eastAsia="Arial" w:hAnsiTheme="majorHAnsi" w:cs="Arial"/>
                <w:sz w:val="18"/>
                <w:szCs w:val="18"/>
                <w:bdr w:val="nil"/>
                <w:lang w:val="fr-FR"/>
              </w:rPr>
              <w:t>SBC</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Enquête</w:t>
            </w:r>
            <w:r w:rsidR="00FD3DDA">
              <w:rPr>
                <w:rFonts w:asciiTheme="majorHAnsi" w:eastAsia="Arial" w:hAnsiTheme="majorHAnsi" w:cs="Arial"/>
                <w:sz w:val="18"/>
                <w:szCs w:val="18"/>
                <w:bdr w:val="nil"/>
                <w:lang w:val="fr-FR"/>
              </w:rPr>
              <w:t> </w:t>
            </w:r>
            <w:r w:rsidRPr="007C0186">
              <w:rPr>
                <w:rFonts w:asciiTheme="majorHAnsi" w:eastAsia="Arial" w:hAnsiTheme="majorHAnsi" w:cs="Arial"/>
                <w:sz w:val="18"/>
                <w:szCs w:val="18"/>
                <w:bdr w:val="nil"/>
                <w:lang w:val="fr-FR"/>
              </w:rPr>
              <w:t>CM</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 xml:space="preserve">Enquête </w:t>
            </w:r>
            <w:proofErr w:type="spellStart"/>
            <w:r w:rsidR="009E4748">
              <w:rPr>
                <w:rFonts w:asciiTheme="majorHAnsi" w:eastAsia="Arial" w:hAnsiTheme="majorHAnsi" w:cs="Arial"/>
                <w:sz w:val="18"/>
                <w:szCs w:val="18"/>
                <w:bdr w:val="nil"/>
                <w:lang w:val="fr-FR"/>
              </w:rPr>
              <w:t>FSs</w:t>
            </w:r>
            <w:proofErr w:type="spellEnd"/>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IC</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r>
      <w:tr w:rsidR="0044028E" w:rsidRPr="007C0186" w:rsidTr="007C0186">
        <w:trPr>
          <w:trHeight w:val="170"/>
        </w:trPr>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Enquête coût</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r>
      <w:tr w:rsidR="0044028E" w:rsidRPr="007C0186" w:rsidTr="007C0186">
        <w:tc>
          <w:tcPr>
            <w:tcW w:w="990" w:type="dxa"/>
            <w:vMerge w:val="restart"/>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Préfecture 3</w:t>
            </w: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 xml:space="preserve">Lancement </w:t>
            </w:r>
            <w:r w:rsidR="00D217AA" w:rsidRPr="00712616">
              <w:rPr>
                <w:rFonts w:asciiTheme="majorHAnsi" w:eastAsia="Arial" w:hAnsiTheme="majorHAnsi" w:cs="Arial"/>
                <w:sz w:val="18"/>
                <w:szCs w:val="18"/>
                <w:bdr w:val="nil"/>
                <w:lang w:val="fr-FR"/>
              </w:rPr>
              <w:t>RS</w:t>
            </w:r>
            <w:r w:rsidR="00D217AA">
              <w:rPr>
                <w:rFonts w:asciiTheme="majorHAnsi" w:eastAsia="Arial" w:hAnsiTheme="majorHAnsi" w:cs="Arial"/>
                <w:sz w:val="18"/>
                <w:szCs w:val="18"/>
                <w:bdr w:val="nil"/>
                <w:lang w:val="fr-FR"/>
              </w:rPr>
              <w:t>SBC</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Enquête</w:t>
            </w:r>
            <w:r w:rsidR="00FD3DDA">
              <w:rPr>
                <w:rFonts w:asciiTheme="majorHAnsi" w:eastAsia="Arial" w:hAnsiTheme="majorHAnsi" w:cs="Arial"/>
                <w:sz w:val="18"/>
                <w:szCs w:val="18"/>
                <w:bdr w:val="nil"/>
                <w:lang w:val="fr-FR"/>
              </w:rPr>
              <w:t> </w:t>
            </w:r>
            <w:r w:rsidRPr="007C0186">
              <w:rPr>
                <w:rFonts w:asciiTheme="majorHAnsi" w:eastAsia="Arial" w:hAnsiTheme="majorHAnsi" w:cs="Arial"/>
                <w:sz w:val="18"/>
                <w:szCs w:val="18"/>
                <w:bdr w:val="nil"/>
                <w:lang w:val="fr-FR"/>
              </w:rPr>
              <w:t>CM</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 xml:space="preserve">Enquête </w:t>
            </w:r>
            <w:proofErr w:type="spellStart"/>
            <w:r w:rsidR="009E4748">
              <w:rPr>
                <w:rFonts w:asciiTheme="majorHAnsi" w:eastAsia="Arial" w:hAnsiTheme="majorHAnsi" w:cs="Arial"/>
                <w:sz w:val="18"/>
                <w:szCs w:val="18"/>
                <w:bdr w:val="nil"/>
                <w:lang w:val="fr-FR"/>
              </w:rPr>
              <w:t>FS</w:t>
            </w:r>
            <w:r w:rsidRPr="007C0186">
              <w:rPr>
                <w:rFonts w:asciiTheme="majorHAnsi" w:eastAsia="Arial" w:hAnsiTheme="majorHAnsi" w:cs="Arial"/>
                <w:sz w:val="18"/>
                <w:szCs w:val="18"/>
                <w:bdr w:val="nil"/>
                <w:lang w:val="fr-FR"/>
              </w:rPr>
              <w:t>s</w:t>
            </w:r>
            <w:proofErr w:type="spellEnd"/>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IC</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r>
      <w:tr w:rsidR="0044028E" w:rsidRPr="007C0186" w:rsidTr="007C0186">
        <w:trPr>
          <w:trHeight w:val="188"/>
        </w:trPr>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Enquête coût</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r>
      <w:tr w:rsidR="0044028E" w:rsidRPr="007C0186" w:rsidTr="007C0186">
        <w:tc>
          <w:tcPr>
            <w:tcW w:w="990" w:type="dxa"/>
            <w:vMerge w:val="restart"/>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Préfecture 4</w:t>
            </w: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 xml:space="preserve">Lancement </w:t>
            </w:r>
            <w:r w:rsidR="00D217AA" w:rsidRPr="00712616">
              <w:rPr>
                <w:rFonts w:asciiTheme="majorHAnsi" w:eastAsia="Arial" w:hAnsiTheme="majorHAnsi" w:cs="Arial"/>
                <w:sz w:val="18"/>
                <w:szCs w:val="18"/>
                <w:bdr w:val="nil"/>
                <w:lang w:val="fr-FR"/>
              </w:rPr>
              <w:t>RS</w:t>
            </w:r>
            <w:r w:rsidR="00D217AA">
              <w:rPr>
                <w:rFonts w:asciiTheme="majorHAnsi" w:eastAsia="Arial" w:hAnsiTheme="majorHAnsi" w:cs="Arial"/>
                <w:sz w:val="18"/>
                <w:szCs w:val="18"/>
                <w:bdr w:val="nil"/>
                <w:lang w:val="fr-FR"/>
              </w:rPr>
              <w:t>SBC</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shd w:val="clear" w:color="auto" w:fill="auto"/>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Enquête</w:t>
            </w:r>
            <w:r w:rsidR="00FD3DDA">
              <w:rPr>
                <w:rFonts w:asciiTheme="majorHAnsi" w:eastAsia="Arial" w:hAnsiTheme="majorHAnsi" w:cs="Arial"/>
                <w:sz w:val="18"/>
                <w:szCs w:val="18"/>
                <w:bdr w:val="nil"/>
                <w:lang w:val="fr-FR"/>
              </w:rPr>
              <w:t> </w:t>
            </w:r>
            <w:r w:rsidRPr="007C0186">
              <w:rPr>
                <w:rFonts w:asciiTheme="majorHAnsi" w:eastAsia="Arial" w:hAnsiTheme="majorHAnsi" w:cs="Arial"/>
                <w:sz w:val="18"/>
                <w:szCs w:val="18"/>
                <w:bdr w:val="nil"/>
                <w:lang w:val="fr-FR"/>
              </w:rPr>
              <w:t>CM</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 xml:space="preserve">Enquête </w:t>
            </w:r>
            <w:proofErr w:type="spellStart"/>
            <w:r w:rsidR="009E4748">
              <w:rPr>
                <w:rFonts w:asciiTheme="majorHAnsi" w:eastAsia="Arial" w:hAnsiTheme="majorHAnsi" w:cs="Arial"/>
                <w:sz w:val="18"/>
                <w:szCs w:val="18"/>
                <w:bdr w:val="nil"/>
                <w:lang w:val="fr-FR"/>
              </w:rPr>
              <w:t>FS</w:t>
            </w:r>
            <w:r w:rsidRPr="007C0186">
              <w:rPr>
                <w:rFonts w:asciiTheme="majorHAnsi" w:eastAsia="Arial" w:hAnsiTheme="majorHAnsi" w:cs="Arial"/>
                <w:sz w:val="18"/>
                <w:szCs w:val="18"/>
                <w:bdr w:val="nil"/>
                <w:lang w:val="fr-FR"/>
              </w:rPr>
              <w:t>s</w:t>
            </w:r>
            <w:proofErr w:type="spellEnd"/>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IC</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r>
      <w:tr w:rsidR="0044028E" w:rsidRPr="007C0186" w:rsidTr="007C0186">
        <w:tc>
          <w:tcPr>
            <w:tcW w:w="990" w:type="dxa"/>
            <w:vMerge/>
          </w:tcPr>
          <w:p w:rsidR="0044028E" w:rsidRPr="007C0186" w:rsidRDefault="0044028E" w:rsidP="00762139">
            <w:pPr>
              <w:pStyle w:val="NoSpacing"/>
              <w:spacing w:line="240" w:lineRule="auto"/>
              <w:rPr>
                <w:rFonts w:asciiTheme="majorHAnsi" w:hAnsiTheme="majorHAnsi" w:cs="Arial"/>
                <w:sz w:val="18"/>
                <w:szCs w:val="18"/>
              </w:rPr>
            </w:pPr>
          </w:p>
        </w:tc>
        <w:tc>
          <w:tcPr>
            <w:tcW w:w="1260" w:type="dxa"/>
          </w:tcPr>
          <w:p w:rsidR="0044028E" w:rsidRPr="007C0186" w:rsidRDefault="0044028E" w:rsidP="00762139">
            <w:pPr>
              <w:pStyle w:val="NoSpacing"/>
              <w:spacing w:line="240" w:lineRule="auto"/>
              <w:rPr>
                <w:rFonts w:asciiTheme="majorHAnsi" w:hAnsiTheme="majorHAnsi" w:cs="Arial"/>
                <w:sz w:val="18"/>
                <w:szCs w:val="18"/>
              </w:rPr>
            </w:pPr>
            <w:r w:rsidRPr="007C0186">
              <w:rPr>
                <w:rFonts w:asciiTheme="majorHAnsi" w:eastAsia="Arial" w:hAnsiTheme="majorHAnsi" w:cs="Arial"/>
                <w:sz w:val="18"/>
                <w:szCs w:val="18"/>
                <w:bdr w:val="nil"/>
                <w:lang w:val="fr-FR"/>
              </w:rPr>
              <w:t>Enquête coût</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r w:rsidRPr="007C0186">
              <w:rPr>
                <w:rFonts w:asciiTheme="majorHAnsi" w:hAnsiTheme="majorHAnsi" w:cs="Arial"/>
                <w:b/>
                <w:sz w:val="18"/>
                <w:szCs w:val="18"/>
              </w:rPr>
              <w:t>X</w:t>
            </w:r>
          </w:p>
        </w:tc>
        <w:tc>
          <w:tcPr>
            <w:tcW w:w="1008" w:type="dxa"/>
          </w:tcPr>
          <w:p w:rsidR="0044028E" w:rsidRPr="007C0186" w:rsidRDefault="0044028E" w:rsidP="00762139">
            <w:pPr>
              <w:pStyle w:val="NoSpacing"/>
              <w:spacing w:line="240" w:lineRule="auto"/>
              <w:jc w:val="center"/>
              <w:rPr>
                <w:rFonts w:asciiTheme="majorHAnsi" w:hAnsiTheme="majorHAnsi" w:cs="Arial"/>
                <w:b/>
                <w:sz w:val="18"/>
                <w:szCs w:val="18"/>
              </w:rPr>
            </w:pPr>
          </w:p>
        </w:tc>
      </w:tr>
    </w:tbl>
    <w:p w:rsidR="0044028E" w:rsidRPr="001704B5" w:rsidRDefault="0044028E" w:rsidP="00815904">
      <w:pPr>
        <w:pStyle w:val="NoSpacing"/>
        <w:spacing w:line="240" w:lineRule="auto"/>
        <w:rPr>
          <w:rFonts w:ascii="Arial" w:hAnsi="Arial" w:cs="Arial"/>
          <w:sz w:val="20"/>
          <w:szCs w:val="20"/>
          <w:lang w:val="fr-FR"/>
        </w:rPr>
      </w:pPr>
      <w:r w:rsidRPr="001704B5">
        <w:rPr>
          <w:rFonts w:ascii="Arial" w:eastAsia="Arial" w:hAnsi="Arial" w:cs="Arial"/>
          <w:sz w:val="20"/>
          <w:szCs w:val="20"/>
          <w:bdr w:val="nil"/>
          <w:lang w:val="fr-FR"/>
        </w:rPr>
        <w:t xml:space="preserve">* Conforme au diagramme d’extension CONSORT pour </w:t>
      </w:r>
      <w:r w:rsidR="001704B5" w:rsidRPr="001704B5">
        <w:rPr>
          <w:rFonts w:ascii="Arial" w:eastAsia="Arial" w:hAnsi="Arial" w:cs="Arial"/>
          <w:i/>
          <w:iCs/>
          <w:color w:val="000000"/>
          <w:sz w:val="20"/>
          <w:szCs w:val="20"/>
          <w:bdr w:val="nil"/>
          <w:lang w:val="fr-FR"/>
        </w:rPr>
        <w:t>le essai aléatoire pragmatique et contrôle par grappes échelonnées (</w:t>
      </w:r>
      <w:r w:rsidR="001704B5" w:rsidRPr="001704B5">
        <w:rPr>
          <w:rFonts w:ascii="Arial" w:hAnsi="Arial" w:cs="Arial"/>
          <w:i/>
          <w:iCs/>
          <w:color w:val="000000" w:themeColor="text1"/>
          <w:sz w:val="20"/>
          <w:szCs w:val="20"/>
          <w:lang w:val="fr-FR"/>
        </w:rPr>
        <w:t>Stepped-wedge cluster randomized trial</w:t>
      </w:r>
      <w:r w:rsidR="001704B5" w:rsidRPr="001704B5">
        <w:rPr>
          <w:rFonts w:ascii="Arial" w:eastAsia="Arial" w:hAnsi="Arial" w:cs="Arial"/>
          <w:i/>
          <w:iCs/>
          <w:sz w:val="20"/>
          <w:szCs w:val="20"/>
          <w:bdr w:val="nil"/>
          <w:lang w:val="fr-FR"/>
        </w:rPr>
        <w:t xml:space="preserve">, </w:t>
      </w:r>
      <w:r w:rsidR="001704B5" w:rsidRPr="001704B5">
        <w:rPr>
          <w:rFonts w:ascii="Arial" w:hAnsi="Arial" w:cs="Arial"/>
          <w:i/>
          <w:iCs/>
          <w:color w:val="000000" w:themeColor="text1"/>
          <w:sz w:val="20"/>
          <w:szCs w:val="20"/>
          <w:lang w:val="fr-FR"/>
        </w:rPr>
        <w:t>SW-CRT</w:t>
      </w:r>
      <w:r w:rsidR="001704B5" w:rsidRPr="001704B5">
        <w:rPr>
          <w:rFonts w:ascii="Arial" w:eastAsia="Arial" w:hAnsi="Arial" w:cs="Arial"/>
          <w:i/>
          <w:iCs/>
          <w:sz w:val="20"/>
          <w:szCs w:val="20"/>
          <w:bdr w:val="nil"/>
          <w:lang w:val="fr-FR"/>
        </w:rPr>
        <w:t>)</w:t>
      </w:r>
      <w:r w:rsidR="001704B5" w:rsidRPr="001704B5">
        <w:rPr>
          <w:rFonts w:ascii="Arial" w:eastAsia="Arial" w:hAnsi="Arial" w:cs="Arial"/>
          <w:color w:val="000000"/>
          <w:sz w:val="20"/>
          <w:szCs w:val="20"/>
          <w:bdr w:val="nil"/>
          <w:lang w:val="fr-FR"/>
        </w:rPr>
        <w:t xml:space="preserve">) </w:t>
      </w:r>
      <w:r w:rsidRPr="001704B5">
        <w:rPr>
          <w:rFonts w:ascii="Arial" w:hAnsi="Arial" w:cs="Arial"/>
          <w:sz w:val="20"/>
          <w:szCs w:val="20"/>
        </w:rPr>
        <w:fldChar w:fldCharType="begin" w:fldLock="1"/>
      </w:r>
      <w:r w:rsidR="00902B77">
        <w:rPr>
          <w:rFonts w:ascii="Arial" w:hAnsi="Arial" w:cs="Arial"/>
          <w:sz w:val="20"/>
          <w:szCs w:val="20"/>
          <w:lang w:val="fr-FR"/>
        </w:rPr>
        <w:instrText>ADDIN CSL_CITATION {"citationItems":[{"id":"ITEM-1","itemData":{"DOI":"10.1186/s13063-018-3116-3","ISSN":"1745-6215","abstract":"The use of the stepped-wedge cluster randomised trial (SW-CRT) is on the increase, and although there are still relatively few SW-CRTs currently published its use is bound to show an increase in the near future. An extension of the CONSORT reporting guideline for SW-CRTs has recently been developed. By making reporting guidelines for this innovative design available relatively early in its development, it is possible that the methodological conduct and reporting of future SW-CRTs will not be at the same risk of low-quality of reporting as is the case with many other study designs. We provide a brief overview of this reporting guideline and encourage authors to use it appropriately; and for journal editors to endorse its use.","author":[{"dropping-particle":"","family":"Hemming","given":"Karla","non-dropping-particle":"","parse-names":false,"suffix":""},{"dropping-particle":"","family":"Taljaard","given":"Monica","non-dropping-particle":"","parse-names":false,"suffix":""},{"dropping-particle":"","family":"Grimshaw","given":"Jeremy","non-dropping-particle":"","parse-names":false,"suffix":""}],"container-title":"Trials","id":"ITEM-1","issue":"1","issued":{"date-parts":[["2019","12","18"]]},"page":"68","publisher":"BioMed Central","title":"Introducing the new CONSORT extension for stepped-wedge cluster randomised trials","type":"article-journal","volume":"20"},"uris":["http://www.mendeley.com/documents/?uuid=4ff8bb7b-9c9f-30fa-a915-66606e5209ab"]}],"mendeley":{"formattedCitation":"(50)","plainTextFormattedCitation":"(50)","previouslyFormattedCitation":"(51)"},"properties":{"noteIndex":0},"schema":"https://github.com/citation-style-language/schema/raw/master/csl-citation.json"}</w:instrText>
      </w:r>
      <w:r w:rsidRPr="001704B5">
        <w:rPr>
          <w:rFonts w:ascii="Arial" w:hAnsi="Arial" w:cs="Arial"/>
          <w:sz w:val="20"/>
          <w:szCs w:val="20"/>
        </w:rPr>
        <w:fldChar w:fldCharType="separate"/>
      </w:r>
      <w:r w:rsidR="00902B77" w:rsidRPr="00902B77">
        <w:rPr>
          <w:rFonts w:ascii="Arial" w:eastAsia="Arial" w:hAnsi="Arial" w:cs="Arial"/>
          <w:noProof/>
          <w:sz w:val="20"/>
          <w:szCs w:val="20"/>
          <w:bdr w:val="nil"/>
          <w:lang w:val="fr-FR"/>
        </w:rPr>
        <w:t>(50)</w:t>
      </w:r>
      <w:r w:rsidRPr="001704B5">
        <w:rPr>
          <w:rFonts w:ascii="Arial" w:hAnsi="Arial" w:cs="Arial"/>
          <w:sz w:val="20"/>
          <w:szCs w:val="20"/>
        </w:rPr>
        <w:fldChar w:fldCharType="end"/>
      </w:r>
    </w:p>
    <w:p w:rsidR="0044028E" w:rsidRPr="001704B5" w:rsidRDefault="0044028E" w:rsidP="00815904">
      <w:pPr>
        <w:pStyle w:val="NoSpacing"/>
        <w:spacing w:line="240" w:lineRule="auto"/>
        <w:rPr>
          <w:rFonts w:ascii="Arial" w:hAnsi="Arial" w:cs="Arial"/>
          <w:sz w:val="20"/>
          <w:szCs w:val="20"/>
          <w:lang w:val="fr-FR"/>
        </w:rPr>
      </w:pPr>
      <w:r w:rsidRPr="001704B5">
        <w:rPr>
          <w:rFonts w:ascii="Arial" w:eastAsia="Arial" w:hAnsi="Arial" w:cs="Arial"/>
          <w:sz w:val="20"/>
          <w:szCs w:val="20"/>
          <w:bdr w:val="nil"/>
          <w:lang w:val="fr-FR"/>
        </w:rPr>
        <w:t>**</w:t>
      </w:r>
      <w:r w:rsidR="00D64503" w:rsidRPr="001704B5">
        <w:rPr>
          <w:rFonts w:ascii="Arial" w:eastAsia="Arial" w:hAnsi="Arial" w:cs="Arial"/>
          <w:i/>
          <w:iCs/>
          <w:sz w:val="20"/>
          <w:szCs w:val="20"/>
          <w:bdr w:val="nil"/>
          <w:lang w:val="fr-FR"/>
        </w:rPr>
        <w:t>Enquête</w:t>
      </w:r>
      <w:r w:rsidR="00FD3DDA">
        <w:rPr>
          <w:rFonts w:ascii="Arial" w:eastAsia="Arial" w:hAnsi="Arial" w:cs="Arial"/>
          <w:i/>
          <w:iCs/>
          <w:sz w:val="20"/>
          <w:szCs w:val="20"/>
          <w:bdr w:val="nil"/>
          <w:lang w:val="fr-FR"/>
        </w:rPr>
        <w:t> </w:t>
      </w:r>
      <w:r w:rsidRPr="001704B5">
        <w:rPr>
          <w:rFonts w:ascii="Arial" w:eastAsia="Arial" w:hAnsi="Arial" w:cs="Arial"/>
          <w:i/>
          <w:iCs/>
          <w:sz w:val="20"/>
          <w:szCs w:val="20"/>
          <w:bdr w:val="nil"/>
          <w:lang w:val="fr-FR"/>
        </w:rPr>
        <w:t>CM</w:t>
      </w:r>
      <w:r w:rsidRPr="001704B5">
        <w:rPr>
          <w:rFonts w:ascii="Arial" w:eastAsia="Arial" w:hAnsi="Arial" w:cs="Arial"/>
          <w:sz w:val="20"/>
          <w:szCs w:val="20"/>
          <w:bdr w:val="nil"/>
          <w:lang w:val="fr-FR"/>
        </w:rPr>
        <w:t xml:space="preserve"> enquête communautaire auprès des ménages, </w:t>
      </w:r>
      <w:r w:rsidR="009E4748" w:rsidRPr="001704B5">
        <w:rPr>
          <w:rFonts w:ascii="Arial" w:eastAsia="Arial" w:hAnsi="Arial" w:cs="Arial"/>
          <w:i/>
          <w:iCs/>
          <w:sz w:val="20"/>
          <w:szCs w:val="20"/>
          <w:bdr w:val="nil"/>
          <w:lang w:val="fr-FR"/>
        </w:rPr>
        <w:t xml:space="preserve">Enquêtes </w:t>
      </w:r>
      <w:proofErr w:type="spellStart"/>
      <w:r w:rsidR="009E4748" w:rsidRPr="001704B5">
        <w:rPr>
          <w:rFonts w:ascii="Arial" w:eastAsia="Arial" w:hAnsi="Arial" w:cs="Arial"/>
          <w:i/>
          <w:iCs/>
          <w:sz w:val="20"/>
          <w:szCs w:val="20"/>
          <w:bdr w:val="nil"/>
          <w:lang w:val="fr-FR"/>
        </w:rPr>
        <w:t>FSs</w:t>
      </w:r>
      <w:proofErr w:type="spellEnd"/>
      <w:r w:rsidR="009E4748" w:rsidRPr="001704B5">
        <w:rPr>
          <w:rFonts w:ascii="Arial" w:eastAsia="Arial" w:hAnsi="Arial" w:cs="Arial"/>
          <w:sz w:val="20"/>
          <w:szCs w:val="20"/>
          <w:bdr w:val="nil"/>
          <w:lang w:val="fr-FR"/>
        </w:rPr>
        <w:t xml:space="preserve"> </w:t>
      </w:r>
      <w:r w:rsidRPr="001704B5">
        <w:rPr>
          <w:rFonts w:ascii="Arial" w:eastAsia="Arial" w:hAnsi="Arial" w:cs="Arial"/>
          <w:sz w:val="20"/>
          <w:szCs w:val="20"/>
          <w:bdr w:val="nil"/>
          <w:lang w:val="fr-FR"/>
        </w:rPr>
        <w:t xml:space="preserve">évaluations des </w:t>
      </w:r>
      <w:r w:rsidR="009E4748" w:rsidRPr="001704B5">
        <w:rPr>
          <w:rFonts w:ascii="Arial" w:eastAsia="Arial" w:hAnsi="Arial" w:cs="Arial"/>
          <w:sz w:val="20"/>
          <w:szCs w:val="20"/>
          <w:bdr w:val="nil"/>
          <w:lang w:val="fr-FR"/>
        </w:rPr>
        <w:t xml:space="preserve">formations </w:t>
      </w:r>
      <w:r w:rsidRPr="001704B5">
        <w:rPr>
          <w:rFonts w:ascii="Arial" w:eastAsia="Arial" w:hAnsi="Arial" w:cs="Arial"/>
          <w:sz w:val="20"/>
          <w:szCs w:val="20"/>
          <w:bdr w:val="nil"/>
          <w:lang w:val="fr-FR"/>
        </w:rPr>
        <w:t xml:space="preserve">sanitaires, </w:t>
      </w:r>
      <w:r w:rsidRPr="001704B5">
        <w:rPr>
          <w:rFonts w:ascii="Arial" w:eastAsia="Arial" w:hAnsi="Arial" w:cs="Arial"/>
          <w:i/>
          <w:iCs/>
          <w:sz w:val="20"/>
          <w:szCs w:val="20"/>
          <w:bdr w:val="nil"/>
          <w:lang w:val="fr-FR"/>
        </w:rPr>
        <w:t>IC</w:t>
      </w:r>
      <w:r w:rsidRPr="001704B5">
        <w:rPr>
          <w:rFonts w:ascii="Arial" w:eastAsia="Arial" w:hAnsi="Arial" w:cs="Arial"/>
          <w:sz w:val="20"/>
          <w:szCs w:val="20"/>
          <w:bdr w:val="nil"/>
          <w:lang w:val="fr-FR"/>
        </w:rPr>
        <w:t xml:space="preserve"> entretiens avec les informateurs clés, </w:t>
      </w:r>
      <w:r w:rsidRPr="001704B5">
        <w:rPr>
          <w:rFonts w:ascii="Arial" w:eastAsia="Arial" w:hAnsi="Arial" w:cs="Arial"/>
          <w:i/>
          <w:iCs/>
          <w:sz w:val="20"/>
          <w:szCs w:val="20"/>
          <w:bdr w:val="nil"/>
          <w:lang w:val="fr-FR"/>
        </w:rPr>
        <w:t>Enquête de coût</w:t>
      </w:r>
      <w:r w:rsidRPr="001704B5">
        <w:rPr>
          <w:rFonts w:ascii="Arial" w:eastAsia="Arial" w:hAnsi="Arial" w:cs="Arial"/>
          <w:sz w:val="20"/>
          <w:szCs w:val="20"/>
          <w:bdr w:val="nil"/>
          <w:lang w:val="fr-FR"/>
        </w:rPr>
        <w:t xml:space="preserve"> évaluation du coût et du retour sur investissement</w:t>
      </w:r>
    </w:p>
    <w:p w:rsidR="001C0DEE" w:rsidRPr="00D64503" w:rsidRDefault="001C0DEE">
      <w:pPr>
        <w:pStyle w:val="NoSpacing"/>
        <w:rPr>
          <w:rFonts w:ascii="Arial" w:hAnsi="Arial" w:cs="Arial"/>
          <w:sz w:val="22"/>
          <w:szCs w:val="22"/>
          <w:lang w:val="fr-FR"/>
        </w:rPr>
      </w:pPr>
    </w:p>
    <w:p w:rsidR="001C0DEE" w:rsidRPr="00455645" w:rsidRDefault="005A4AAB">
      <w:pPr>
        <w:pStyle w:val="NoSpacing"/>
        <w:rPr>
          <w:rFonts w:ascii="Arial" w:eastAsia="Arial" w:hAnsi="Arial" w:cs="Arial"/>
          <w:i/>
          <w:iCs/>
          <w:sz w:val="22"/>
          <w:szCs w:val="22"/>
          <w:bdr w:val="nil"/>
          <w:lang w:val="fr-FR"/>
        </w:rPr>
      </w:pPr>
      <w:r>
        <w:rPr>
          <w:rFonts w:ascii="Arial" w:eastAsia="Arial" w:hAnsi="Arial" w:cs="Arial"/>
          <w:i/>
          <w:iCs/>
          <w:color w:val="000000"/>
          <w:sz w:val="22"/>
          <w:szCs w:val="22"/>
          <w:bdr w:val="nil"/>
        </w:rPr>
        <w:t>Etude randomisée en grappes</w:t>
      </w:r>
      <w:r w:rsidRPr="005A4AAB">
        <w:rPr>
          <w:rFonts w:ascii="Arial" w:eastAsia="Arial" w:hAnsi="Arial" w:cs="Arial"/>
          <w:i/>
          <w:iCs/>
          <w:color w:val="000000"/>
          <w:sz w:val="22"/>
          <w:szCs w:val="22"/>
          <w:bdr w:val="nil"/>
        </w:rPr>
        <w:t xml:space="preserve"> avec permutation</w:t>
      </w:r>
      <w:r>
        <w:rPr>
          <w:rFonts w:ascii="Arial" w:eastAsia="Arial" w:hAnsi="Arial" w:cs="Arial"/>
          <w:i/>
          <w:iCs/>
          <w:color w:val="000000"/>
          <w:sz w:val="22"/>
          <w:szCs w:val="22"/>
          <w:bdr w:val="nil"/>
        </w:rPr>
        <w:t xml:space="preserve"> </w:t>
      </w:r>
      <w:r w:rsidRPr="005A4AAB">
        <w:rPr>
          <w:rFonts w:ascii="Arial" w:eastAsia="Arial" w:hAnsi="Arial" w:cs="Arial"/>
          <w:i/>
          <w:iCs/>
          <w:color w:val="000000"/>
          <w:sz w:val="22"/>
          <w:szCs w:val="22"/>
          <w:bdr w:val="nil"/>
        </w:rPr>
        <w:t>séquentielle</w:t>
      </w:r>
      <w:r w:rsidR="001704B5">
        <w:rPr>
          <w:rFonts w:ascii="Arial" w:eastAsia="Arial" w:hAnsi="Arial" w:cs="Arial"/>
          <w:i/>
          <w:iCs/>
          <w:color w:val="000000"/>
          <w:sz w:val="22"/>
          <w:szCs w:val="22"/>
          <w:bdr w:val="nil"/>
          <w:lang w:val="fr-FR"/>
        </w:rPr>
        <w:t xml:space="preserve"> (</w:t>
      </w:r>
      <w:r w:rsidR="001704B5" w:rsidRPr="001704B5">
        <w:rPr>
          <w:rFonts w:ascii="Arial" w:hAnsi="Arial" w:cs="Arial"/>
          <w:i/>
          <w:iCs/>
          <w:color w:val="000000" w:themeColor="text1"/>
          <w:sz w:val="22"/>
          <w:szCs w:val="22"/>
          <w:lang w:val="fr-FR"/>
        </w:rPr>
        <w:t>Stepped-wedge cluster randomized trial</w:t>
      </w:r>
      <w:r w:rsidR="001704B5">
        <w:rPr>
          <w:rFonts w:ascii="Arial" w:eastAsia="Arial" w:hAnsi="Arial" w:cs="Arial"/>
          <w:i/>
          <w:iCs/>
          <w:sz w:val="22"/>
          <w:szCs w:val="22"/>
          <w:bdr w:val="nil"/>
          <w:lang w:val="fr-FR"/>
        </w:rPr>
        <w:t xml:space="preserve">, </w:t>
      </w:r>
      <w:r w:rsidR="001704B5" w:rsidRPr="001704B5">
        <w:rPr>
          <w:rFonts w:ascii="Arial" w:hAnsi="Arial" w:cs="Arial"/>
          <w:i/>
          <w:iCs/>
          <w:color w:val="000000" w:themeColor="text1"/>
          <w:sz w:val="22"/>
          <w:szCs w:val="22"/>
          <w:lang w:val="fr-FR"/>
        </w:rPr>
        <w:t>SW-CRT</w:t>
      </w:r>
      <w:r w:rsidR="001704B5" w:rsidRPr="001704B5">
        <w:rPr>
          <w:rFonts w:ascii="Arial" w:eastAsia="Arial" w:hAnsi="Arial" w:cs="Arial"/>
          <w:i/>
          <w:iCs/>
          <w:sz w:val="22"/>
          <w:szCs w:val="22"/>
          <w:bdr w:val="nil"/>
          <w:lang w:val="fr-FR"/>
        </w:rPr>
        <w:t>)</w:t>
      </w:r>
      <w:r w:rsidR="00FD3DDA">
        <w:rPr>
          <w:rFonts w:ascii="Arial" w:eastAsia="Arial" w:hAnsi="Arial" w:cs="Arial"/>
          <w:i/>
          <w:iCs/>
          <w:sz w:val="22"/>
          <w:szCs w:val="22"/>
          <w:bdr w:val="nil"/>
          <w:lang w:val="fr-FR"/>
        </w:rPr>
        <w:t> </w:t>
      </w:r>
      <w:r w:rsidR="00767532" w:rsidRPr="001704B5">
        <w:rPr>
          <w:rFonts w:ascii="Arial" w:eastAsia="Arial" w:hAnsi="Arial" w:cs="Arial"/>
          <w:i/>
          <w:iCs/>
          <w:sz w:val="22"/>
          <w:szCs w:val="22"/>
          <w:bdr w:val="nil"/>
          <w:lang w:val="fr-FR"/>
        </w:rPr>
        <w:t>:</w:t>
      </w:r>
      <w:r w:rsidR="00767532">
        <w:rPr>
          <w:rFonts w:ascii="Arial" w:eastAsia="Arial" w:hAnsi="Arial" w:cs="Arial"/>
          <w:i/>
          <w:iCs/>
          <w:sz w:val="22"/>
          <w:szCs w:val="22"/>
          <w:bdr w:val="nil"/>
          <w:lang w:val="fr-FR"/>
        </w:rPr>
        <w:t xml:space="preserve"> </w:t>
      </w:r>
      <w:r w:rsidR="00455645">
        <w:rPr>
          <w:rFonts w:ascii="Arial" w:eastAsia="Arial" w:hAnsi="Arial" w:cs="Arial"/>
          <w:sz w:val="22"/>
          <w:szCs w:val="22"/>
          <w:bdr w:val="nil"/>
          <w:lang w:val="fr-FR"/>
        </w:rPr>
        <w:t>c</w:t>
      </w:r>
      <w:r w:rsidR="00767532">
        <w:rPr>
          <w:rFonts w:ascii="Arial" w:eastAsia="Arial" w:hAnsi="Arial" w:cs="Arial"/>
          <w:sz w:val="22"/>
          <w:szCs w:val="22"/>
          <w:bdr w:val="nil"/>
          <w:lang w:val="fr-FR"/>
        </w:rPr>
        <w:t xml:space="preserve">ette conception pragmatique optimise le déploiement séquentiel ou échelonné du modèle de </w:t>
      </w:r>
      <w:r w:rsidR="00B004A9">
        <w:rPr>
          <w:rFonts w:ascii="Arial" w:eastAsia="Arial" w:hAnsi="Arial" w:cs="Arial"/>
          <w:sz w:val="22"/>
          <w:szCs w:val="22"/>
          <w:bdr w:val="nil"/>
          <w:lang w:val="fr-FR"/>
        </w:rPr>
        <w:t>RSSBC</w:t>
      </w:r>
      <w:r w:rsidR="00B004A9" w:rsidDel="00B004A9">
        <w:rPr>
          <w:rFonts w:ascii="Arial" w:eastAsia="Arial" w:hAnsi="Arial" w:cs="Arial"/>
          <w:sz w:val="22"/>
          <w:szCs w:val="22"/>
          <w:bdr w:val="nil"/>
          <w:lang w:val="fr-FR"/>
        </w:rPr>
        <w:t xml:space="preserve"> </w:t>
      </w:r>
      <w:r w:rsidR="00767532">
        <w:rPr>
          <w:rFonts w:ascii="Arial" w:eastAsia="Arial" w:hAnsi="Arial" w:cs="Arial"/>
          <w:sz w:val="22"/>
          <w:szCs w:val="22"/>
          <w:bdr w:val="nil"/>
          <w:lang w:val="fr-FR"/>
        </w:rPr>
        <w:t>et rendra possible une évaluation de l’efficacité et de la stratégie de mise en œuvre via des mesures de portée et d’adoption en comparant les groupes organisés géographiquement</w:t>
      </w:r>
      <w:r w:rsidR="00767532">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{"citationItems":[{"id":"ITEM-1","itemData":{"DOI":"10.1136/BMJ.H391","ISSN":"1756-1833","PMID":"25662947","abstract":"#### Summary points","author":[{"dropping-particle":"","family":"Hemming","given":"K","non-dropping-particle":"","parse-names":false,"suffix":""},{"dropping-particle":"","family":"Haines","given":"T P","non-dropping-particle":"","parse-names":false,"suffix":""},{"dropping-particle":"","family":"Chilton","given":"P J","non-dropping-particle":"","parse-names":false,"suffix":""},{"dropping-particle":"","family":"Girling","given":"A J","non-dropping-particle":"","parse-names":false,"suffix":""},{"dropping-particle":"","family":"Lilford","given":"R J","non-dropping-particle":"","parse-names":false,"suffix":""}],"container-title":"BMJ","id":"ITEM-1","issued":{"date-parts":[["2015","2"]]},"page":"h391","publisher":"British Medical Journal Publishing Group","title":"The stepped wedge cluster randomised trial: rationale, design, analysis, and reporting","type":"article-journal","volume":"350"},"uris":["http://www.mendeley.com/documents/?uuid=08c39d63-e82a-4744-9c4e-bdbdd247b7e5"]},{"id":"ITEM-2","itemData":{"ISBN":"9781584888161","author":[{"dropping-particle":"","family":"Hayes","given":"Richard J.","non-dropping-particle":"","parse-names":false,"suffix":""},{"dropping-particle":"","family":"Moulton","given":"Lawrence H.","non-dropping-particle":"","parse-names":false,"suffix":""}],"id":"ITEM-2","issued":{"date-parts":[["2009"]]},"publisher":"Taylor &amp; Francis Group, LLC","publisher-place":"Boca Raton","title":"Cluster Randomised Trials","type":"book"},"uris":["http://www.mendeley.com/documents/?uuid=a81c5a7d-1385-46b0-b66e-f3d0b6e6dcbf"]}],"mendeley":{"formattedCitation":"(51,52)","plainTextFormattedCitation":"(51,52)","previouslyFormattedCitation":"(52,53)"},"properties":{"noteIndex":0},"schema":"https://github.com/citation-style-language/schema/raw/master/csl-citation.json"}</w:instrText>
      </w:r>
      <w:r w:rsidR="00767532">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(51,52)</w:t>
      </w:r>
      <w:r w:rsidR="00767532">
        <w:rPr>
          <w:rFonts w:ascii="Arial" w:hAnsi="Arial" w:cs="Arial"/>
          <w:sz w:val="22"/>
          <w:szCs w:val="22"/>
        </w:rPr>
        <w:fldChar w:fldCharType="end"/>
      </w:r>
      <w:r w:rsidR="00767532">
        <w:rPr>
          <w:rFonts w:ascii="Arial" w:eastAsia="Arial" w:hAnsi="Arial" w:cs="Arial"/>
          <w:sz w:val="22"/>
          <w:szCs w:val="22"/>
          <w:bdr w:val="nil"/>
          <w:lang w:val="fr-FR"/>
        </w:rPr>
        <w:t xml:space="preserve"> Elle comprend quatre groupes organisant l’intervention dans les </w:t>
      </w:r>
      <w:r w:rsidR="00563657">
        <w:rPr>
          <w:rFonts w:ascii="Arial" w:eastAsia="Arial" w:hAnsi="Arial" w:cs="Arial"/>
          <w:sz w:val="22"/>
          <w:szCs w:val="22"/>
          <w:bdr w:val="nil"/>
          <w:lang w:val="fr-FR"/>
        </w:rPr>
        <w:t xml:space="preserve">formations </w:t>
      </w:r>
      <w:r w:rsidR="00767532">
        <w:rPr>
          <w:rFonts w:ascii="Arial" w:eastAsia="Arial" w:hAnsi="Arial" w:cs="Arial"/>
          <w:sz w:val="22"/>
          <w:szCs w:val="22"/>
          <w:bdr w:val="nil"/>
          <w:lang w:val="fr-FR"/>
        </w:rPr>
        <w:t xml:space="preserve">sanitaires par préfecture : Bassar, Binah, Dankpen et Kéran. L’ordre d’initiation du </w:t>
      </w:r>
      <w:r w:rsidR="00B004A9">
        <w:rPr>
          <w:rFonts w:ascii="Arial" w:eastAsia="Arial" w:hAnsi="Arial" w:cs="Arial"/>
          <w:sz w:val="22"/>
          <w:szCs w:val="22"/>
          <w:bdr w:val="nil"/>
          <w:lang w:val="fr-FR"/>
        </w:rPr>
        <w:t>RSSBC</w:t>
      </w:r>
      <w:r w:rsidR="00B004A9" w:rsidDel="00B004A9">
        <w:rPr>
          <w:rFonts w:ascii="Arial" w:eastAsia="Arial" w:hAnsi="Arial" w:cs="Arial"/>
          <w:sz w:val="22"/>
          <w:szCs w:val="22"/>
          <w:bdr w:val="nil"/>
          <w:lang w:val="fr-FR"/>
        </w:rPr>
        <w:t xml:space="preserve"> </w:t>
      </w:r>
      <w:r w:rsidR="00767532">
        <w:rPr>
          <w:rFonts w:ascii="Arial" w:eastAsia="Arial" w:hAnsi="Arial" w:cs="Arial"/>
          <w:sz w:val="22"/>
          <w:szCs w:val="22"/>
          <w:bdr w:val="nil"/>
          <w:lang w:val="fr-FR"/>
        </w:rPr>
        <w:t xml:space="preserve">dans les groupes sera randomisé annuellement en quatre étapes, puisqu’il a été déterminé indépendamment par l’équipe des programmes de SI que les besoins initiaux en matière de santé étaient similaires pour chaque groupe. Des enquêtes communautaires menées auprès des ménages et adaptées des modules </w:t>
      </w:r>
      <w:r w:rsidR="00767532" w:rsidRPr="007C0186">
        <w:rPr>
          <w:rFonts w:ascii="Arial" w:eastAsia="Arial" w:hAnsi="Arial" w:cs="Arial"/>
          <w:sz w:val="22"/>
          <w:szCs w:val="22"/>
          <w:bdr w:val="nil"/>
          <w:lang w:val="fr-FR"/>
        </w:rPr>
        <w:t>d’Enquête démographique et sanitaire (EDS)</w:t>
      </w:r>
      <w:r w:rsidR="00767532">
        <w:rPr>
          <w:rFonts w:ascii="Arial" w:eastAsia="Arial" w:hAnsi="Arial" w:cs="Arial"/>
          <w:sz w:val="22"/>
          <w:szCs w:val="22"/>
          <w:bdr w:val="nil"/>
          <w:lang w:val="fr-FR"/>
        </w:rPr>
        <w:t xml:space="preserve"> mis en place précédemment au Togo</w:t>
      </w:r>
      <w:r w:rsidR="00767532">
        <w:rPr>
          <w:rFonts w:ascii="Arial" w:hAnsi="Arial" w:cs="Arial"/>
          <w:sz w:val="22"/>
          <w:szCs w:val="22"/>
        </w:rPr>
        <w:fldChar w:fldCharType="begin" w:fldLock="1"/>
      </w:r>
      <w:r w:rsidR="00767532">
        <w:rPr>
          <w:rFonts w:ascii="Arial" w:hAnsi="Arial" w:cs="Arial"/>
          <w:sz w:val="22"/>
          <w:szCs w:val="22"/>
          <w:lang w:val="fr-FR"/>
        </w:rPr>
        <w:instrText>ADDIN CSL_CITATION {"citationItems":[{"id":"ITEM-1","itemData":{"author":[{"dropping-particle":"","family":"Ministère de la Planification du Développement et de l’Aménagement du Territoire (MPDAT)","given":"Ministère de la Sante MS) et ICF International","non-dropping-particle":"","parse-names":false,"suffix":""}],"id":"ITEM-1","issued":{"date-parts":[["2015"]]},"publisher-place":"Rockville, Maryland, USA","title":"Enquête Démographique et de Sante au Togo 2013 – 2014","type":"report"},"uris":["http://www.mendeley.com/documents/?uuid=f46ac673-8ec9-413d-b2c5-498d6c694684"]}],"mendeley":{"formattedCitation":"(3)","plainTextFormattedCitation":"(3)","previouslyFormattedCitation":"(3)"},"properties":{"noteIndex":0},"schema":"https://github.com/citation-style-language/schema/raw/master/csl-citation.json"}</w:instrText>
      </w:r>
      <w:r w:rsidR="00767532">
        <w:rPr>
          <w:rFonts w:ascii="Arial" w:hAnsi="Arial" w:cs="Arial"/>
          <w:sz w:val="22"/>
          <w:szCs w:val="22"/>
        </w:rPr>
        <w:fldChar w:fldCharType="separate"/>
      </w:r>
      <w:r w:rsidR="00767532">
        <w:rPr>
          <w:rFonts w:ascii="Arial" w:eastAsia="Arial" w:hAnsi="Arial" w:cs="Arial"/>
          <w:noProof/>
          <w:sz w:val="22"/>
          <w:szCs w:val="22"/>
          <w:bdr w:val="nil"/>
          <w:lang w:val="fr-FR"/>
        </w:rPr>
        <w:t>(3)</w:t>
      </w:r>
      <w:r w:rsidR="00767532">
        <w:rPr>
          <w:rFonts w:ascii="Arial" w:hAnsi="Arial" w:cs="Arial"/>
          <w:sz w:val="22"/>
          <w:szCs w:val="22"/>
        </w:rPr>
        <w:fldChar w:fldCharType="end"/>
      </w:r>
      <w:r w:rsidR="00767532">
        <w:rPr>
          <w:rFonts w:ascii="Arial" w:eastAsia="Arial" w:hAnsi="Arial" w:cs="Arial"/>
          <w:sz w:val="22"/>
          <w:szCs w:val="22"/>
          <w:bdr w:val="nil"/>
          <w:lang w:val="fr-FR"/>
        </w:rPr>
        <w:t xml:space="preserve"> et se concentrant sur les données démographiques, de santé maternelle et infantile seront menées dans chaque groupe à l’inclusion puis à 12, 24, 36 et 48 mois.</w:t>
      </w:r>
    </w:p>
    <w:p w:rsidR="001C0DEE" w:rsidRDefault="001C0DEE">
      <w:pPr>
        <w:pStyle w:val="NoSpacing"/>
        <w:rPr>
          <w:rFonts w:ascii="Arial" w:hAnsi="Arial" w:cs="Arial"/>
          <w:sz w:val="22"/>
          <w:szCs w:val="22"/>
          <w:lang w:val="fr-FR"/>
        </w:rPr>
      </w:pPr>
    </w:p>
    <w:p w:rsidR="001C0DEE" w:rsidRDefault="00767532">
      <w:pPr>
        <w:pStyle w:val="NoSpacing"/>
        <w:rPr>
          <w:rFonts w:ascii="Arial" w:hAnsi="Arial" w:cs="Arial"/>
          <w:sz w:val="22"/>
          <w:szCs w:val="22"/>
          <w:lang w:val="es-US"/>
        </w:rPr>
      </w:pPr>
      <w:r>
        <w:rPr>
          <w:rFonts w:ascii="Arial" w:eastAsia="Arial" w:hAnsi="Arial" w:cs="Arial"/>
          <w:i/>
          <w:iCs/>
          <w:sz w:val="22"/>
          <w:szCs w:val="22"/>
          <w:bdr w:val="nil"/>
          <w:lang w:val="fr-FR"/>
        </w:rPr>
        <w:t>Évaluations d</w:t>
      </w:r>
      <w:r w:rsidR="00433A32">
        <w:rPr>
          <w:rFonts w:ascii="Arial" w:eastAsia="Arial" w:hAnsi="Arial" w:cs="Arial"/>
          <w:i/>
          <w:iCs/>
          <w:sz w:val="22"/>
          <w:szCs w:val="22"/>
          <w:bdr w:val="nil"/>
          <w:lang w:val="fr-FR"/>
        </w:rPr>
        <w:t>e</w:t>
      </w:r>
      <w:r w:rsidR="00842A51">
        <w:rPr>
          <w:rFonts w:ascii="Arial" w:eastAsia="Arial" w:hAnsi="Arial" w:cs="Arial"/>
          <w:i/>
          <w:iCs/>
          <w:sz w:val="22"/>
          <w:szCs w:val="22"/>
          <w:bdr w:val="nil"/>
          <w:lang w:val="fr-FR"/>
        </w:rPr>
        <w:t xml:space="preserve"> la formation </w:t>
      </w:r>
      <w:r>
        <w:rPr>
          <w:rFonts w:ascii="Arial" w:eastAsia="Arial" w:hAnsi="Arial" w:cs="Arial"/>
          <w:i/>
          <w:iCs/>
          <w:sz w:val="22"/>
          <w:szCs w:val="22"/>
          <w:bdr w:val="nil"/>
          <w:lang w:val="fr-FR"/>
        </w:rPr>
        <w:t xml:space="preserve">sanitaire : </w:t>
      </w:r>
      <w:r>
        <w:rPr>
          <w:rFonts w:ascii="Arial" w:eastAsia="Arial" w:hAnsi="Arial" w:cs="Arial"/>
          <w:sz w:val="22"/>
          <w:szCs w:val="22"/>
          <w:bdr w:val="nil"/>
          <w:lang w:val="fr-FR"/>
        </w:rPr>
        <w:t>ces évaluations emploieront des enquêtes d</w:t>
      </w:r>
      <w:r w:rsidR="00842A51">
        <w:rPr>
          <w:rFonts w:ascii="Arial" w:eastAsia="Arial" w:hAnsi="Arial" w:cs="Arial"/>
          <w:sz w:val="22"/>
          <w:szCs w:val="22"/>
          <w:bdr w:val="nil"/>
          <w:lang w:val="fr-FR"/>
        </w:rPr>
        <w:t>e la formation sanitaire</w:t>
      </w:r>
      <w:r>
        <w:rPr>
          <w:rFonts w:ascii="Arial" w:eastAsia="Arial" w:hAnsi="Arial" w:cs="Arial"/>
          <w:sz w:val="22"/>
          <w:szCs w:val="22"/>
          <w:bdr w:val="nil"/>
          <w:lang w:val="fr-FR"/>
        </w:rPr>
        <w:t xml:space="preserve"> basées sur l’outil d’Évaluation de la préparation et de la disponibilité des services (Service Availability and Readiness Assessment tool, SARA) de l’OMS</w:t>
      </w:r>
      <w:r>
        <w:rPr>
          <w:rFonts w:ascii="Arial" w:hAnsi="Arial" w:cs="Arial"/>
          <w:sz w:val="22"/>
          <w:szCs w:val="22"/>
        </w:rPr>
        <w:fldChar w:fldCharType="begin" w:fldLock="1"/>
      </w:r>
      <w:r w:rsidR="00902B77">
        <w:rPr>
          <w:rFonts w:ascii="Arial" w:hAnsi="Arial" w:cs="Arial"/>
          <w:sz w:val="22"/>
          <w:szCs w:val="22"/>
          <w:lang w:val="fr-FR"/>
        </w:rPr>
        <w:instrText>ADDIN CSL_CITATION {"citationItems":[{"id":"ITEM-1","itemData":{"author":[{"dropping-particle":"","family":"World Health Organization","given":"","non-dropping-particle":"","parse-names":false,"suffix":""}],"id":"ITEM-1","issued":{"date-parts":[["2013"]]},"publisher-place":"Geneva","title":"Service Availability and Readiness Assessment (SARA) An annual monitoring system for service delivery, version 2.1","type":"report"},"uris":["http://www.mendeley.com/documents/?uuid=976273ec-41f7-405d-b270-e329ee8935e2"]}],"mendeley":{"formattedCitation":"(34)","plainTextFormattedCitation":"(34)","previouslyFormattedCitation":"(35)"},"properties":{"noteIndex":0},"schema":"https://github.com/citation-style-language/schema/raw/master/csl-citation.json"}</w:instrText>
      </w:r>
      <w:r>
        <w:rPr>
          <w:rFonts w:ascii="Arial" w:hAnsi="Arial" w:cs="Arial"/>
          <w:sz w:val="22"/>
          <w:szCs w:val="22"/>
        </w:rPr>
        <w:fldChar w:fldCharType="separate"/>
      </w:r>
      <w:r w:rsidR="00902B77" w:rsidRPr="00902B77">
        <w:rPr>
          <w:rFonts w:ascii="Arial" w:eastAsia="Arial" w:hAnsi="Arial" w:cs="Arial"/>
          <w:noProof/>
          <w:sz w:val="22"/>
          <w:szCs w:val="22"/>
          <w:bdr w:val="nil"/>
          <w:lang w:val="fr-FR"/>
        </w:rPr>
        <w:t>(34)</w:t>
      </w:r>
      <w:r>
        <w:rPr>
          <w:rFonts w:ascii="Arial" w:hAnsi="Arial" w:cs="Arial"/>
          <w:sz w:val="22"/>
          <w:szCs w:val="22"/>
        </w:rPr>
        <w:fldChar w:fldCharType="end"/>
      </w:r>
      <w:r>
        <w:rPr>
          <w:rFonts w:ascii="Arial" w:eastAsia="Arial" w:hAnsi="Arial" w:cs="Arial"/>
          <w:sz w:val="22"/>
          <w:szCs w:val="22"/>
          <w:bdr w:val="nil"/>
          <w:lang w:val="fr-FR"/>
        </w:rPr>
        <w:t xml:space="preserve"> et fourniront des informations sur l’efficacité en rapport avec la qualité des services au niveau de l</w:t>
      </w:r>
      <w:r w:rsidR="00842A51">
        <w:rPr>
          <w:rFonts w:ascii="Arial" w:eastAsia="Arial" w:hAnsi="Arial" w:cs="Arial"/>
          <w:sz w:val="22"/>
          <w:szCs w:val="22"/>
          <w:bdr w:val="nil"/>
          <w:lang w:val="fr-FR"/>
        </w:rPr>
        <w:t>a formation sanitaire</w:t>
      </w:r>
      <w:r>
        <w:rPr>
          <w:rFonts w:ascii="Arial" w:eastAsia="Arial" w:hAnsi="Arial" w:cs="Arial"/>
          <w:sz w:val="22"/>
          <w:szCs w:val="22"/>
          <w:bdr w:val="nil"/>
          <w:lang w:val="fr-FR"/>
        </w:rPr>
        <w:t xml:space="preserve">. Ces enquêtes seront menées auprès de chaque </w:t>
      </w:r>
      <w:r w:rsidR="00842A51">
        <w:rPr>
          <w:rFonts w:ascii="Arial" w:eastAsia="Arial" w:hAnsi="Arial" w:cs="Arial"/>
          <w:sz w:val="22"/>
          <w:szCs w:val="22"/>
          <w:bdr w:val="nil"/>
          <w:lang w:val="fr-FR"/>
        </w:rPr>
        <w:t>formation</w:t>
      </w:r>
      <w:r>
        <w:rPr>
          <w:rFonts w:ascii="Arial" w:eastAsia="Arial" w:hAnsi="Arial" w:cs="Arial"/>
          <w:sz w:val="22"/>
          <w:szCs w:val="22"/>
          <w:bdr w:val="nil"/>
          <w:lang w:val="fr-FR"/>
        </w:rPr>
        <w:t xml:space="preserve"> sanitaire annuellement, à l’inclusion, puis à 12, 24, 36 et 48 mois. </w:t>
      </w:r>
    </w:p>
    <w:p w:rsidR="001C0DEE" w:rsidRDefault="001C0DEE">
      <w:pPr>
        <w:pStyle w:val="NoSpacing"/>
        <w:rPr>
          <w:rFonts w:ascii="Arial" w:hAnsi="Arial" w:cs="Arial"/>
          <w:i/>
          <w:sz w:val="22"/>
          <w:szCs w:val="22"/>
          <w:lang w:val="es-US"/>
        </w:rPr>
      </w:pPr>
    </w:p>
    <w:p w:rsidR="001C0DEE" w:rsidRDefault="00767532">
      <w:pPr>
        <w:pStyle w:val="NoSpacing"/>
        <w:rPr>
          <w:rFonts w:ascii="Arial" w:hAnsi="Arial" w:cs="Arial"/>
          <w:sz w:val="22"/>
          <w:szCs w:val="22"/>
          <w:lang w:val="es-US"/>
        </w:rPr>
      </w:pPr>
      <w:r>
        <w:rPr>
          <w:rFonts w:ascii="Arial" w:eastAsia="Arial" w:hAnsi="Arial" w:cs="Arial"/>
          <w:i/>
          <w:iCs/>
          <w:sz w:val="22"/>
          <w:szCs w:val="22"/>
          <w:bdr w:val="nil"/>
          <w:lang w:val="fr-FR"/>
        </w:rPr>
        <w:t xml:space="preserve">Entretiens menés avec les informateurs clés : </w:t>
      </w:r>
      <w:r>
        <w:rPr>
          <w:rFonts w:ascii="Arial" w:eastAsia="Arial" w:hAnsi="Arial" w:cs="Arial"/>
          <w:sz w:val="22"/>
          <w:szCs w:val="22"/>
          <w:bdr w:val="nil"/>
          <w:lang w:val="fr-FR"/>
        </w:rPr>
        <w:t xml:space="preserve">des entretiens qualitatifs seront réalisés avec les informateurs clés afin d’évaluer les obstacles et les facilitateurs en rapport avec la fidélité et la faisabilité de la mise en œuvre du programme tout en documentant également les facteurs contextuels. Les premiers entretiens avec les informateurs clés seront menés 12 mois après le lancement de l’intervention puis à des intervalles de 12 mois jusqu’à la fin de l’étude pour chaque groupe. </w:t>
      </w:r>
    </w:p>
    <w:p w:rsidR="001C0DEE" w:rsidRDefault="001C0DEE">
      <w:pPr>
        <w:pStyle w:val="NoSpacing"/>
        <w:rPr>
          <w:rFonts w:ascii="Arial" w:hAnsi="Arial" w:cs="Arial"/>
          <w:sz w:val="22"/>
          <w:szCs w:val="22"/>
          <w:lang w:val="es-US"/>
        </w:rPr>
      </w:pPr>
    </w:p>
    <w:p w:rsidR="001C0DEE" w:rsidRDefault="00767532">
      <w:pPr>
        <w:pStyle w:val="NoSpacing"/>
        <w:rPr>
          <w:rFonts w:ascii="Arial" w:hAnsi="Arial" w:cs="Arial"/>
          <w:i/>
          <w:sz w:val="22"/>
          <w:szCs w:val="22"/>
          <w:lang w:val="es-US"/>
        </w:rPr>
      </w:pPr>
      <w:r>
        <w:rPr>
          <w:rFonts w:ascii="Arial" w:eastAsia="Arial" w:hAnsi="Arial" w:cs="Arial"/>
          <w:i/>
          <w:iCs/>
          <w:sz w:val="22"/>
          <w:szCs w:val="22"/>
          <w:bdr w:val="nil"/>
          <w:lang w:val="fr-FR"/>
        </w:rPr>
        <w:t xml:space="preserve">Évaluation du coût et du retour sur investissement : </w:t>
      </w:r>
      <w:r>
        <w:rPr>
          <w:rFonts w:ascii="Arial" w:eastAsia="Arial" w:hAnsi="Arial" w:cs="Arial"/>
          <w:sz w:val="22"/>
          <w:szCs w:val="22"/>
          <w:bdr w:val="nil"/>
          <w:lang w:val="fr-FR"/>
        </w:rPr>
        <w:t xml:space="preserve">les coûts et retours sur investissement du programme </w:t>
      </w:r>
      <w:r w:rsidR="00B004A9">
        <w:rPr>
          <w:rFonts w:ascii="Arial" w:eastAsia="Arial" w:hAnsi="Arial" w:cs="Arial"/>
          <w:sz w:val="22"/>
          <w:szCs w:val="22"/>
          <w:bdr w:val="nil"/>
          <w:lang w:val="fr-FR"/>
        </w:rPr>
        <w:t>RSSBC</w:t>
      </w:r>
      <w:r w:rsidR="00B004A9" w:rsidDel="00B004A9">
        <w:rPr>
          <w:rFonts w:ascii="Arial" w:eastAsia="Arial" w:hAnsi="Arial" w:cs="Arial"/>
          <w:sz w:val="22"/>
          <w:szCs w:val="22"/>
          <w:bdr w:val="nil"/>
          <w:lang w:val="fr-FR"/>
        </w:rPr>
        <w:t xml:space="preserve"> </w:t>
      </w:r>
      <w:r>
        <w:rPr>
          <w:rFonts w:ascii="Arial" w:eastAsia="Arial" w:hAnsi="Arial" w:cs="Arial"/>
          <w:sz w:val="22"/>
          <w:szCs w:val="22"/>
          <w:bdr w:val="nil"/>
          <w:lang w:val="fr-FR"/>
        </w:rPr>
        <w:t>seront mesurés à l’aide de l’Outil de planification de la santé communautaire et de calcul des coûts</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author":[{"dropping-particle":"","family":"Collins","given":"David","non-dropping-particle":"","parse-names":false,"suffix":""},{"dropping-particle":"","family":"Jarrah","given":"Zina","non-dropping-particle":"","parse-names":false,"suffix":""}],"id":"ITEM-1","issued":{"date-parts":[["2016"]]},"publisher":"Management Sciences for Health","title":"Community Health Planning and Costing Tool","type":"article"},"uris":["http://www.mendeley.com/documents/?uuid=84217aad-3b27-3c9f-a70c-3f2cd91e1a56"]}],"mendeley":{"formattedCitation":"(48)","plainTextFormattedCitation":"(48)","previouslyFormattedCitation":"(49)"},"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(48)</w:t>
      </w:r>
      <w:r>
        <w:rPr>
          <w:rFonts w:ascii="Arial" w:hAnsi="Arial" w:cs="Arial"/>
          <w:sz w:val="22"/>
          <w:szCs w:val="22"/>
        </w:rPr>
        <w:fldChar w:fldCharType="end"/>
      </w:r>
      <w:r>
        <w:rPr>
          <w:rFonts w:ascii="Arial" w:eastAsia="Arial" w:hAnsi="Arial" w:cs="Arial"/>
          <w:sz w:val="22"/>
          <w:szCs w:val="22"/>
          <w:bdr w:val="nil"/>
          <w:lang w:val="fr-FR"/>
        </w:rPr>
        <w:t xml:space="preserve"> et de l’Outil de calcul des vies sauvées</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10.1186/s12889-017-4735-4","ISSN":"1471-2458","author":[{"dropping-particle":"","family":"Walker","given":"Neff","non-dropping-particle":"","parse-names":false,"suffix":""},{"dropping-particle":"","family":"Friberg","given":"Ingrid K.","non-dropping-particle":"","parse-names":false,"suffix":""}],"container-title":"BMC Public Health","id":"ITEM-1","issue":"S4","issued":{"date-parts":[["2017","11","7"]]},"page":"774","publisher":"BioMed Central","title":"Introduction: reporting on updates in the scientific basis for the Lives Saved Tool (LiST)","type":"article-journal","volume":"17"},"uris":["http://www.mendeley.com/documents/?uuid=e6aac1cf-5473-3fad-84a6-33f7555e6edf"]}],"mendeley":{"formattedCitation":"(49)","plainTextFormattedCitation":"(49)","previouslyFormattedCitation":"(50)"},"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(49)</w:t>
      </w:r>
      <w:r>
        <w:rPr>
          <w:rFonts w:ascii="Arial" w:hAnsi="Arial" w:cs="Arial"/>
          <w:sz w:val="22"/>
          <w:szCs w:val="22"/>
        </w:rPr>
        <w:fldChar w:fldCharType="end"/>
      </w:r>
      <w:r>
        <w:rPr>
          <w:rFonts w:ascii="Arial" w:eastAsia="Arial" w:hAnsi="Arial" w:cs="Arial"/>
          <w:sz w:val="22"/>
          <w:szCs w:val="22"/>
          <w:bdr w:val="nil"/>
          <w:lang w:val="fr-FR"/>
        </w:rPr>
        <w:t xml:space="preserve"> afin d’évaluer les approches stratégiques de mise en œuvre et de guider les délibérations sur le maintien et sur les efforts de planification nationaux. La première évaluation sera menée 12 mois après le lancement de l’intervention puis à des intervalles de 12 mois jusqu’à la fin de l’étude pour chaque groupe. </w:t>
      </w:r>
    </w:p>
    <w:p w:rsidR="001C0DEE" w:rsidRDefault="001C0DEE">
      <w:pPr>
        <w:pStyle w:val="NoSpacing"/>
        <w:rPr>
          <w:rFonts w:ascii="Arial" w:hAnsi="Arial" w:cs="Arial"/>
          <w:b/>
          <w:sz w:val="22"/>
          <w:szCs w:val="22"/>
          <w:lang w:val="es-US"/>
        </w:rPr>
      </w:pPr>
    </w:p>
    <w:p w:rsidR="001C0DEE" w:rsidRDefault="00767532">
      <w:pPr>
        <w:pStyle w:val="NoSpacing"/>
        <w:outlineLvl w:val="0"/>
        <w:rPr>
          <w:rFonts w:ascii="Arial" w:hAnsi="Arial" w:cs="Arial"/>
          <w:sz w:val="22"/>
          <w:szCs w:val="22"/>
          <w:lang w:val="es-US"/>
        </w:rPr>
      </w:pPr>
      <w:r>
        <w:rPr>
          <w:rFonts w:ascii="Arial" w:eastAsia="Arial" w:hAnsi="Arial" w:cs="Arial"/>
          <w:b/>
          <w:bCs/>
          <w:sz w:val="22"/>
          <w:szCs w:val="22"/>
          <w:bdr w:val="nil"/>
          <w:lang w:val="fr-FR"/>
        </w:rPr>
        <w:t>Conditions de l’étude</w:t>
      </w:r>
      <w:bookmarkStart w:id="4" w:name="_Hlk492395573"/>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t>L’étude sera menée dans les zones desservies par 21 </w:t>
      </w:r>
      <w:r w:rsidR="00563657">
        <w:rPr>
          <w:rFonts w:ascii="Arial" w:eastAsia="Arial" w:hAnsi="Arial" w:cs="Arial"/>
          <w:sz w:val="22"/>
          <w:szCs w:val="22"/>
          <w:bdr w:val="nil"/>
          <w:lang w:val="fr-FR"/>
        </w:rPr>
        <w:t xml:space="preserve">formations </w:t>
      </w:r>
      <w:r>
        <w:rPr>
          <w:rFonts w:ascii="Arial" w:eastAsia="Arial" w:hAnsi="Arial" w:cs="Arial"/>
          <w:sz w:val="22"/>
          <w:szCs w:val="22"/>
          <w:bdr w:val="nil"/>
          <w:lang w:val="fr-FR"/>
        </w:rPr>
        <w:t xml:space="preserve">sanitaires du secteur public dans les préfectures rurales de la région de Kara : Bassar, Binah, Dankpen et Kéran. La </w:t>
      </w:r>
      <w:r>
        <w:rPr>
          <w:rFonts w:ascii="Arial" w:eastAsia="Arial" w:hAnsi="Arial" w:cs="Arial"/>
          <w:sz w:val="22"/>
          <w:szCs w:val="22"/>
          <w:bdr w:val="nil"/>
          <w:lang w:val="fr-FR"/>
        </w:rPr>
        <w:lastRenderedPageBreak/>
        <w:t>population totale s’élève à environ 237</w:t>
      </w:r>
      <w:r w:rsidR="00FD3DDA">
        <w:rPr>
          <w:rFonts w:ascii="Arial" w:eastAsia="Arial" w:hAnsi="Arial" w:cs="Arial"/>
          <w:sz w:val="22"/>
          <w:szCs w:val="22"/>
          <w:bdr w:val="nil"/>
          <w:lang w:val="fr-FR"/>
        </w:rPr>
        <w:t> </w:t>
      </w:r>
      <w:r>
        <w:rPr>
          <w:rFonts w:ascii="Arial" w:eastAsia="Arial" w:hAnsi="Arial" w:cs="Arial"/>
          <w:sz w:val="22"/>
          <w:szCs w:val="22"/>
          <w:bdr w:val="nil"/>
          <w:lang w:val="fr-FR"/>
        </w:rPr>
        <w:t>807 personnes. Les centres de l’étude ont été sélectionnés par les partenaires du MS et le personnel de SI chargé de la programmation en fonction des besoins sa</w:t>
      </w:r>
      <w:r w:rsidR="00B13779">
        <w:rPr>
          <w:rFonts w:ascii="Arial" w:eastAsia="Arial" w:hAnsi="Arial" w:cs="Arial"/>
          <w:sz w:val="22"/>
          <w:szCs w:val="22"/>
          <w:bdr w:val="nil"/>
          <w:lang w:val="fr-FR"/>
        </w:rPr>
        <w:t>nitaires perçus au niveau de la population</w:t>
      </w:r>
      <w:r>
        <w:rPr>
          <w:rFonts w:ascii="Arial" w:eastAsia="Arial" w:hAnsi="Arial" w:cs="Arial"/>
          <w:sz w:val="22"/>
          <w:szCs w:val="22"/>
          <w:bdr w:val="nil"/>
          <w:lang w:val="fr-FR"/>
        </w:rPr>
        <w:t xml:space="preserve">, des activités liées aux programmes régionaux publics-privés en cours et de la taille de la population. Tous les centres sélectionnés sont des </w:t>
      </w:r>
      <w:r w:rsidR="00563657">
        <w:rPr>
          <w:rFonts w:ascii="Arial" w:eastAsia="Arial" w:hAnsi="Arial" w:cs="Arial"/>
          <w:sz w:val="22"/>
          <w:szCs w:val="22"/>
          <w:bdr w:val="nil"/>
          <w:lang w:val="fr-FR"/>
        </w:rPr>
        <w:t xml:space="preserve">formations sanitaires </w:t>
      </w:r>
      <w:r>
        <w:rPr>
          <w:rFonts w:ascii="Arial" w:eastAsia="Arial" w:hAnsi="Arial" w:cs="Arial"/>
          <w:sz w:val="22"/>
          <w:szCs w:val="22"/>
          <w:bdr w:val="nil"/>
          <w:lang w:val="fr-FR"/>
        </w:rPr>
        <w:t>de soins primaires gérés par le MS</w:t>
      </w:r>
      <w:r>
        <w:rPr>
          <w:rFonts w:ascii="Arial" w:hAnsi="Arial" w:cs="Arial"/>
          <w:sz w:val="22"/>
          <w:szCs w:val="22"/>
        </w:rPr>
        <w:fldChar w:fldCharType="begin" w:fldLock="1"/>
      </w:r>
      <w:r w:rsidR="00902B77">
        <w:rPr>
          <w:rFonts w:ascii="Arial" w:hAnsi="Arial" w:cs="Arial"/>
          <w:sz w:val="22"/>
          <w:szCs w:val="22"/>
          <w:lang w:val="fr-FR"/>
        </w:rPr>
        <w:instrText>ADDIN CSL_CITATION {"citationItems":[{"id":"ITEM-1","itemData":{"author":[{"dropping-particle":"","family":"Ministre de la Sante et de la Protection Sociale (MSPS)","given":"","non-dropping-particle":"","parse-names":false,"suffix":""}],"id":"ITEM-1","issued":{"date-parts":[["2017"]]},"number-of-pages":"1-21","publisher-place":"Lomé, Togo","title":"Plan National de Developpement Sanitaire 2017-2022","type":"report"},"uris":["http://www.mendeley.com/documents/?uuid=900c2dde-31b6-4b7a-8059-6f623d851239"]}],"mendeley":{"formattedCitation":"(53)","plainTextFormattedCitation":"(53)","previouslyFormattedCitation":"(54)"},"properties":{"noteIndex":0},"schema":"https://github.com/citation-style-language/schema/raw/master/csl-citation.json"}</w:instrText>
      </w:r>
      <w:r>
        <w:rPr>
          <w:rFonts w:ascii="Arial" w:hAnsi="Arial" w:cs="Arial"/>
          <w:sz w:val="22"/>
          <w:szCs w:val="22"/>
        </w:rPr>
        <w:fldChar w:fldCharType="separate"/>
      </w:r>
      <w:r w:rsidR="00902B77" w:rsidRPr="00902B77">
        <w:rPr>
          <w:rFonts w:ascii="Arial" w:eastAsia="Arial" w:hAnsi="Arial" w:cs="Arial"/>
          <w:noProof/>
          <w:sz w:val="22"/>
          <w:szCs w:val="22"/>
          <w:bdr w:val="nil"/>
          <w:lang w:val="fr-FR"/>
        </w:rPr>
        <w:t>(53)</w:t>
      </w:r>
      <w:r>
        <w:rPr>
          <w:rFonts w:ascii="Arial" w:hAnsi="Arial" w:cs="Arial"/>
          <w:sz w:val="22"/>
          <w:szCs w:val="22"/>
        </w:rPr>
        <w:fldChar w:fldCharType="end"/>
      </w:r>
      <w:r>
        <w:rPr>
          <w:rFonts w:ascii="Arial" w:eastAsia="Arial" w:hAnsi="Arial" w:cs="Arial"/>
          <w:sz w:val="22"/>
          <w:szCs w:val="22"/>
          <w:bdr w:val="nil"/>
          <w:lang w:val="fr-FR"/>
        </w:rPr>
        <w:t xml:space="preserve"> et destinés aux populations rurales. La population desservie et les taux d’utilisation estimés pour ces centres sont listés par préfecture dans le tableau 3. Comme décrit dans le tableau 2, l’initiative de </w:t>
      </w:r>
      <w:r w:rsidR="00B004A9">
        <w:rPr>
          <w:rFonts w:ascii="Arial" w:eastAsia="Arial" w:hAnsi="Arial" w:cs="Arial"/>
          <w:sz w:val="22"/>
          <w:szCs w:val="22"/>
          <w:bdr w:val="nil"/>
          <w:lang w:val="fr-FR"/>
        </w:rPr>
        <w:t>RSSBC</w:t>
      </w:r>
      <w:r w:rsidR="00B004A9" w:rsidDel="00B004A9">
        <w:rPr>
          <w:rFonts w:ascii="Arial" w:eastAsia="Arial" w:hAnsi="Arial" w:cs="Arial"/>
          <w:sz w:val="22"/>
          <w:szCs w:val="22"/>
          <w:bdr w:val="nil"/>
          <w:lang w:val="fr-FR"/>
        </w:rPr>
        <w:t xml:space="preserve"> </w:t>
      </w:r>
      <w:r>
        <w:rPr>
          <w:rFonts w:ascii="Arial" w:eastAsia="Arial" w:hAnsi="Arial" w:cs="Arial"/>
          <w:sz w:val="22"/>
          <w:szCs w:val="22"/>
          <w:bdr w:val="nil"/>
          <w:lang w:val="fr-FR"/>
        </w:rPr>
        <w:t xml:space="preserve">sera mise en œuvre par préfecture de manière séquentielle, chaque année, au sein des 21 centres présélectionnés. </w:t>
      </w:r>
      <w:bookmarkEnd w:id="4"/>
    </w:p>
    <w:p w:rsidR="001C0DEE" w:rsidRDefault="001C0DEE">
      <w:pPr>
        <w:pStyle w:val="NoSpacing"/>
        <w:rPr>
          <w:rFonts w:ascii="Arial" w:hAnsi="Arial" w:cs="Arial"/>
          <w:sz w:val="22"/>
          <w:szCs w:val="22"/>
          <w:lang w:val="es-US"/>
        </w:rPr>
      </w:pPr>
    </w:p>
    <w:p w:rsidR="00455645" w:rsidRPr="00816B88" w:rsidRDefault="00455645" w:rsidP="00815904">
      <w:pPr>
        <w:pStyle w:val="NoSpacing"/>
        <w:spacing w:line="240" w:lineRule="auto"/>
        <w:rPr>
          <w:rFonts w:ascii="Arial" w:hAnsi="Arial" w:cs="Arial"/>
          <w:sz w:val="22"/>
          <w:szCs w:val="22"/>
          <w:lang w:val="fr-FR"/>
        </w:rPr>
      </w:pPr>
      <w:r w:rsidRPr="00455645">
        <w:rPr>
          <w:rFonts w:ascii="Arial" w:eastAsia="Arial" w:hAnsi="Arial" w:cs="Arial"/>
          <w:sz w:val="22"/>
          <w:szCs w:val="22"/>
          <w:bdr w:val="nil"/>
          <w:lang w:val="fr-FR"/>
        </w:rPr>
        <w:t xml:space="preserve"> </w:t>
      </w:r>
      <w:r w:rsidRPr="00B82342">
        <w:rPr>
          <w:rFonts w:ascii="Arial" w:eastAsia="Arial" w:hAnsi="Arial" w:cs="Arial"/>
          <w:b/>
          <w:bCs/>
          <w:sz w:val="22"/>
          <w:szCs w:val="22"/>
          <w:bdr w:val="nil"/>
          <w:lang w:val="fr-FR"/>
        </w:rPr>
        <w:t>Tableau 3</w:t>
      </w:r>
      <w:r>
        <w:rPr>
          <w:rFonts w:ascii="Arial" w:eastAsia="Arial" w:hAnsi="Arial" w:cs="Arial"/>
          <w:sz w:val="22"/>
          <w:szCs w:val="22"/>
          <w:bdr w:val="nil"/>
          <w:lang w:val="fr-FR"/>
        </w:rPr>
        <w:t xml:space="preserve"> : </w:t>
      </w:r>
      <w:bookmarkStart w:id="5" w:name="_Hlk5974618"/>
      <w:r>
        <w:rPr>
          <w:rFonts w:ascii="Arial" w:eastAsia="Arial" w:hAnsi="Arial" w:cs="Arial"/>
          <w:sz w:val="22"/>
          <w:szCs w:val="22"/>
          <w:bdr w:val="nil"/>
          <w:lang w:val="fr-FR"/>
        </w:rPr>
        <w:t>Liste des formations sanitaires d’étude (</w:t>
      </w:r>
      <w:r>
        <w:rPr>
          <w:rFonts w:ascii="Arial" w:eastAsia="Arial" w:hAnsi="Arial" w:cs="Arial"/>
          <w:i/>
          <w:iCs/>
          <w:sz w:val="22"/>
          <w:szCs w:val="22"/>
          <w:bdr w:val="nil"/>
          <w:lang w:val="fr-FR"/>
        </w:rPr>
        <w:t>N = </w:t>
      </w:r>
      <w:r>
        <w:rPr>
          <w:rFonts w:ascii="Arial" w:eastAsia="Arial" w:hAnsi="Arial" w:cs="Arial"/>
          <w:sz w:val="22"/>
          <w:szCs w:val="22"/>
          <w:bdr w:val="nil"/>
          <w:lang w:val="fr-FR"/>
        </w:rPr>
        <w:t>21) avec la population desservie estimée de référence (</w:t>
      </w:r>
      <w:r>
        <w:rPr>
          <w:rFonts w:ascii="Arial" w:eastAsia="Arial" w:hAnsi="Arial" w:cs="Arial"/>
          <w:i/>
          <w:iCs/>
          <w:sz w:val="22"/>
          <w:szCs w:val="22"/>
          <w:bdr w:val="nil"/>
          <w:lang w:val="fr-FR"/>
        </w:rPr>
        <w:t>N = </w:t>
      </w:r>
      <w:r>
        <w:rPr>
          <w:rFonts w:ascii="Arial" w:eastAsia="Arial" w:hAnsi="Arial" w:cs="Arial"/>
          <w:sz w:val="22"/>
          <w:szCs w:val="22"/>
          <w:bdr w:val="nil"/>
          <w:lang w:val="fr-FR"/>
        </w:rPr>
        <w:t>181</w:t>
      </w:r>
      <w:r w:rsidR="00FD3DDA">
        <w:rPr>
          <w:rFonts w:ascii="Arial" w:eastAsia="Arial" w:hAnsi="Arial" w:cs="Arial"/>
          <w:sz w:val="22"/>
          <w:szCs w:val="22"/>
          <w:bdr w:val="nil"/>
          <w:lang w:val="fr-FR"/>
        </w:rPr>
        <w:t> </w:t>
      </w:r>
      <w:r>
        <w:rPr>
          <w:rFonts w:ascii="Arial" w:eastAsia="Arial" w:hAnsi="Arial" w:cs="Arial"/>
          <w:sz w:val="22"/>
          <w:szCs w:val="22"/>
          <w:bdr w:val="nil"/>
          <w:lang w:val="fr-FR"/>
        </w:rPr>
        <w:t xml:space="preserve">111) et les taux d’utilisation des </w:t>
      </w:r>
      <w:bookmarkEnd w:id="5"/>
      <w:r>
        <w:rPr>
          <w:rFonts w:ascii="Arial" w:eastAsia="Arial" w:hAnsi="Arial" w:cs="Arial"/>
          <w:sz w:val="22"/>
          <w:szCs w:val="22"/>
          <w:bdr w:val="nil"/>
          <w:lang w:val="fr-FR"/>
        </w:rPr>
        <w:t>formations sanitaires</w:t>
      </w:r>
    </w:p>
    <w:tbl>
      <w:tblPr>
        <w:tblpPr w:leftFromText="141" w:rightFromText="141" w:vertAnchor="text" w:horzAnchor="margin" w:tblpXSpec="center" w:tblpY="53"/>
        <w:tblW w:w="4904" w:type="pct"/>
        <w:tblLook w:val="04A0" w:firstRow="1" w:lastRow="0" w:firstColumn="1" w:lastColumn="0" w:noHBand="0" w:noVBand="1"/>
      </w:tblPr>
      <w:tblGrid>
        <w:gridCol w:w="1473"/>
        <w:gridCol w:w="2491"/>
        <w:gridCol w:w="2757"/>
        <w:gridCol w:w="2671"/>
      </w:tblGrid>
      <w:tr w:rsidR="00455645" w:rsidRPr="002316CE" w:rsidTr="00455645">
        <w:trPr>
          <w:trHeight w:val="350"/>
        </w:trPr>
        <w:tc>
          <w:tcPr>
            <w:tcW w:w="784" w:type="pct"/>
            <w:tcBorders>
              <w:top w:val="single" w:sz="4" w:space="0" w:color="auto"/>
              <w:bottom w:val="single" w:sz="4" w:space="0" w:color="auto"/>
            </w:tcBorders>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b/>
                <w:bCs/>
                <w:sz w:val="20"/>
                <w:szCs w:val="20"/>
                <w:bdr w:val="nil"/>
                <w:lang w:val="fr-FR"/>
              </w:rPr>
              <w:t>Préfecture</w:t>
            </w:r>
          </w:p>
        </w:tc>
        <w:tc>
          <w:tcPr>
            <w:tcW w:w="1326" w:type="pct"/>
            <w:tcBorders>
              <w:top w:val="single" w:sz="4" w:space="0" w:color="auto"/>
              <w:bottom w:val="single" w:sz="4" w:space="0" w:color="auto"/>
            </w:tcBorders>
            <w:vAlign w:val="center"/>
          </w:tcPr>
          <w:p w:rsidR="00455645" w:rsidRPr="00B82342" w:rsidRDefault="00455645" w:rsidP="00815904">
            <w:pPr>
              <w:pStyle w:val="NoSpacing"/>
              <w:spacing w:line="240" w:lineRule="auto"/>
              <w:rPr>
                <w:rFonts w:ascii="Arial" w:hAnsi="Arial" w:cs="Arial"/>
                <w:b/>
                <w:sz w:val="20"/>
                <w:szCs w:val="20"/>
              </w:rPr>
            </w:pPr>
            <w:r w:rsidRPr="00B82342">
              <w:rPr>
                <w:rFonts w:ascii="Arial" w:eastAsia="Arial" w:hAnsi="Arial" w:cs="Arial"/>
                <w:b/>
                <w:bCs/>
                <w:sz w:val="20"/>
                <w:szCs w:val="20"/>
                <w:bdr w:val="nil"/>
                <w:lang w:val="fr-FR"/>
              </w:rPr>
              <w:t>Formation sanitaire</w:t>
            </w:r>
          </w:p>
        </w:tc>
        <w:tc>
          <w:tcPr>
            <w:tcW w:w="1468" w:type="pct"/>
            <w:tcBorders>
              <w:top w:val="single" w:sz="4" w:space="0" w:color="auto"/>
              <w:bottom w:val="single" w:sz="4" w:space="0" w:color="auto"/>
            </w:tcBorders>
            <w:vAlign w:val="center"/>
          </w:tcPr>
          <w:p w:rsidR="00455645" w:rsidRPr="00B82342" w:rsidRDefault="00455645" w:rsidP="00815904">
            <w:pPr>
              <w:pStyle w:val="NoSpacing"/>
              <w:spacing w:line="240" w:lineRule="auto"/>
              <w:rPr>
                <w:rFonts w:ascii="Arial" w:hAnsi="Arial" w:cs="Arial"/>
                <w:b/>
                <w:sz w:val="20"/>
                <w:szCs w:val="20"/>
              </w:rPr>
            </w:pPr>
            <w:r w:rsidRPr="00B82342">
              <w:rPr>
                <w:rFonts w:ascii="Arial" w:eastAsia="Arial" w:hAnsi="Arial" w:cs="Arial"/>
                <w:b/>
                <w:bCs/>
                <w:sz w:val="20"/>
                <w:szCs w:val="20"/>
                <w:bdr w:val="nil"/>
                <w:lang w:val="fr-FR"/>
              </w:rPr>
              <w:t>Population desservie*</w:t>
            </w:r>
          </w:p>
        </w:tc>
        <w:tc>
          <w:tcPr>
            <w:tcW w:w="1422" w:type="pct"/>
            <w:tcBorders>
              <w:top w:val="single" w:sz="4" w:space="0" w:color="auto"/>
              <w:bottom w:val="single" w:sz="4" w:space="0" w:color="auto"/>
            </w:tcBorders>
            <w:vAlign w:val="center"/>
          </w:tcPr>
          <w:p w:rsidR="00455645" w:rsidRPr="00B82342" w:rsidRDefault="00455645" w:rsidP="00815904">
            <w:pPr>
              <w:pStyle w:val="NoSpacing"/>
              <w:spacing w:line="240" w:lineRule="auto"/>
              <w:rPr>
                <w:rFonts w:ascii="Arial" w:hAnsi="Arial" w:cs="Arial"/>
                <w:b/>
                <w:sz w:val="20"/>
                <w:szCs w:val="20"/>
                <w:lang w:val="fr-FR"/>
              </w:rPr>
            </w:pPr>
            <w:r w:rsidRPr="00B82342">
              <w:rPr>
                <w:rFonts w:ascii="Arial" w:eastAsia="Arial" w:hAnsi="Arial" w:cs="Arial"/>
                <w:b/>
                <w:bCs/>
                <w:sz w:val="20"/>
                <w:szCs w:val="20"/>
                <w:bdr w:val="nil"/>
                <w:lang w:val="fr-FR"/>
              </w:rPr>
              <w:t>Taux d’utilisation de la formation sanitaire**</w:t>
            </w:r>
          </w:p>
        </w:tc>
      </w:tr>
      <w:tr w:rsidR="00455645" w:rsidRPr="00B82342" w:rsidTr="00455645">
        <w:trPr>
          <w:trHeight w:val="350"/>
        </w:trPr>
        <w:tc>
          <w:tcPr>
            <w:tcW w:w="784" w:type="pct"/>
            <w:tcBorders>
              <w:top w:val="single" w:sz="4" w:space="0" w:color="auto"/>
            </w:tcBorders>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Bassar</w:t>
            </w:r>
          </w:p>
        </w:tc>
        <w:tc>
          <w:tcPr>
            <w:tcW w:w="1326" w:type="pct"/>
            <w:tcBorders>
              <w:top w:val="single" w:sz="4" w:space="0" w:color="auto"/>
            </w:tcBorders>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Bangéli</w:t>
            </w:r>
          </w:p>
        </w:tc>
        <w:tc>
          <w:tcPr>
            <w:tcW w:w="1468" w:type="pct"/>
            <w:tcBorders>
              <w:top w:val="single" w:sz="4" w:space="0" w:color="auto"/>
            </w:tcBorders>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16</w:t>
            </w:r>
            <w:r w:rsidR="00FD3DDA">
              <w:rPr>
                <w:rFonts w:ascii="Arial" w:eastAsia="Arial" w:hAnsi="Arial" w:cs="Arial"/>
                <w:sz w:val="20"/>
                <w:szCs w:val="20"/>
                <w:bdr w:val="nil"/>
                <w:lang w:val="fr-FR"/>
              </w:rPr>
              <w:t> </w:t>
            </w:r>
            <w:r w:rsidRPr="00B82342">
              <w:rPr>
                <w:rFonts w:ascii="Arial" w:eastAsia="Arial" w:hAnsi="Arial" w:cs="Arial"/>
                <w:sz w:val="20"/>
                <w:szCs w:val="20"/>
                <w:bdr w:val="nil"/>
                <w:lang w:val="fr-FR"/>
              </w:rPr>
              <w:t>169</w:t>
            </w:r>
          </w:p>
        </w:tc>
        <w:tc>
          <w:tcPr>
            <w:tcW w:w="1422" w:type="pct"/>
            <w:tcBorders>
              <w:top w:val="single" w:sz="4" w:space="0" w:color="auto"/>
            </w:tcBorders>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42 %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Bassar</w:t>
            </w:r>
          </w:p>
        </w:tc>
        <w:tc>
          <w:tcPr>
            <w:tcW w:w="1326"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Kabou-Sara</w:t>
            </w:r>
          </w:p>
        </w:tc>
        <w:tc>
          <w:tcPr>
            <w:tcW w:w="1468"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10</w:t>
            </w:r>
            <w:r w:rsidR="00FD3DDA">
              <w:rPr>
                <w:rFonts w:ascii="Arial" w:eastAsia="Arial" w:hAnsi="Arial" w:cs="Arial"/>
                <w:sz w:val="20"/>
                <w:szCs w:val="20"/>
                <w:bdr w:val="nil"/>
                <w:lang w:val="fr-FR"/>
              </w:rPr>
              <w:t> </w:t>
            </w:r>
            <w:r w:rsidRPr="00B82342">
              <w:rPr>
                <w:rFonts w:ascii="Arial" w:eastAsia="Arial" w:hAnsi="Arial" w:cs="Arial"/>
                <w:sz w:val="20"/>
                <w:szCs w:val="20"/>
                <w:bdr w:val="nil"/>
                <w:lang w:val="fr-FR"/>
              </w:rPr>
              <w:t>054</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56 %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Bassar</w:t>
            </w:r>
          </w:p>
        </w:tc>
        <w:tc>
          <w:tcPr>
            <w:tcW w:w="1326"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Koundoum</w:t>
            </w:r>
          </w:p>
        </w:tc>
        <w:tc>
          <w:tcPr>
            <w:tcW w:w="1468"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7 428</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37 %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Bassar</w:t>
            </w:r>
          </w:p>
        </w:tc>
        <w:tc>
          <w:tcPr>
            <w:tcW w:w="1326"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Manga</w:t>
            </w:r>
          </w:p>
        </w:tc>
        <w:tc>
          <w:tcPr>
            <w:tcW w:w="1468"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5</w:t>
            </w:r>
            <w:r w:rsidR="00FD3DDA">
              <w:rPr>
                <w:rFonts w:ascii="Arial" w:eastAsia="Arial" w:hAnsi="Arial" w:cs="Arial"/>
                <w:sz w:val="20"/>
                <w:szCs w:val="20"/>
                <w:bdr w:val="nil"/>
                <w:lang w:val="fr-FR"/>
              </w:rPr>
              <w:t> </w:t>
            </w:r>
            <w:r w:rsidRPr="00B82342">
              <w:rPr>
                <w:rFonts w:ascii="Arial" w:eastAsia="Arial" w:hAnsi="Arial" w:cs="Arial"/>
                <w:sz w:val="20"/>
                <w:szCs w:val="20"/>
                <w:bdr w:val="nil"/>
                <w:lang w:val="fr-FR"/>
              </w:rPr>
              <w:t>006</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28 %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Bassar</w:t>
            </w:r>
          </w:p>
        </w:tc>
        <w:tc>
          <w:tcPr>
            <w:tcW w:w="1326"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Sanda-Afohou</w:t>
            </w:r>
          </w:p>
        </w:tc>
        <w:tc>
          <w:tcPr>
            <w:tcW w:w="1468"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5 514</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43 %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Binah</w:t>
            </w:r>
          </w:p>
        </w:tc>
        <w:tc>
          <w:tcPr>
            <w:tcW w:w="1326"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Asseré</w:t>
            </w:r>
          </w:p>
        </w:tc>
        <w:tc>
          <w:tcPr>
            <w:tcW w:w="1468"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4 446</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19 %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Binah</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Boufalé</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4 212</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48 %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Binah</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Kouyorira</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4 364</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26 %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Binah</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N’Djei</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3</w:t>
            </w:r>
            <w:r w:rsidR="00FD3DDA">
              <w:rPr>
                <w:rFonts w:ascii="Arial" w:eastAsia="Arial" w:hAnsi="Arial" w:cs="Arial"/>
                <w:sz w:val="20"/>
                <w:szCs w:val="20"/>
                <w:bdr w:val="nil"/>
                <w:lang w:val="fr-FR"/>
              </w:rPr>
              <w:t> </w:t>
            </w:r>
            <w:r w:rsidRPr="00B82342">
              <w:rPr>
                <w:rFonts w:ascii="Arial" w:eastAsia="Arial" w:hAnsi="Arial" w:cs="Arial"/>
                <w:sz w:val="20"/>
                <w:szCs w:val="20"/>
                <w:bdr w:val="nil"/>
                <w:lang w:val="fr-FR"/>
              </w:rPr>
              <w:t>258</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53 %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Binah</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Pessaré</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8 002</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26 %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Binah</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Sirka</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5 980</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51 %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Binah</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Solla</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5 960</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58 %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Dankpen</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Koutière</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13 097</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12 %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Dankpen</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Kpétab</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8 208</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22 %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Dankpen</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Naware</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19 531</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10 %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Dankpen</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Solidarité</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8</w:t>
            </w:r>
            <w:r w:rsidR="00FD3DDA">
              <w:rPr>
                <w:rFonts w:ascii="Arial" w:eastAsia="Arial" w:hAnsi="Arial" w:cs="Arial"/>
                <w:sz w:val="20"/>
                <w:szCs w:val="20"/>
                <w:bdr w:val="nil"/>
                <w:lang w:val="fr-FR"/>
              </w:rPr>
              <w:t> </w:t>
            </w:r>
            <w:r w:rsidRPr="00B82342">
              <w:rPr>
                <w:rFonts w:ascii="Arial" w:eastAsia="Arial" w:hAnsi="Arial" w:cs="Arial"/>
                <w:sz w:val="20"/>
                <w:szCs w:val="20"/>
                <w:bdr w:val="nil"/>
                <w:lang w:val="fr-FR"/>
              </w:rPr>
              <w:t>157</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24 %</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Kéran</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Kokou-Temberma</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8</w:t>
            </w:r>
            <w:r w:rsidR="00FD3DDA">
              <w:rPr>
                <w:rFonts w:ascii="Arial" w:eastAsia="Arial" w:hAnsi="Arial" w:cs="Arial"/>
                <w:sz w:val="20"/>
                <w:szCs w:val="20"/>
                <w:bdr w:val="nil"/>
                <w:lang w:val="fr-FR"/>
              </w:rPr>
              <w:t> </w:t>
            </w:r>
            <w:r w:rsidRPr="00B82342">
              <w:rPr>
                <w:rFonts w:ascii="Arial" w:eastAsia="Arial" w:hAnsi="Arial" w:cs="Arial"/>
                <w:sz w:val="20"/>
                <w:szCs w:val="20"/>
                <w:bdr w:val="nil"/>
                <w:lang w:val="fr-FR"/>
              </w:rPr>
              <w:t>722</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Inconnu</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Kéran</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Nadoba</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16</w:t>
            </w:r>
            <w:r w:rsidR="00FD3DDA">
              <w:rPr>
                <w:rFonts w:ascii="Arial" w:eastAsia="Arial" w:hAnsi="Arial" w:cs="Arial"/>
                <w:sz w:val="20"/>
                <w:szCs w:val="20"/>
                <w:bdr w:val="nil"/>
                <w:lang w:val="fr-FR"/>
              </w:rPr>
              <w:t> </w:t>
            </w:r>
            <w:r w:rsidRPr="00B82342">
              <w:rPr>
                <w:rFonts w:ascii="Arial" w:eastAsia="Arial" w:hAnsi="Arial" w:cs="Arial"/>
                <w:sz w:val="20"/>
                <w:szCs w:val="20"/>
                <w:bdr w:val="nil"/>
                <w:lang w:val="fr-FR"/>
              </w:rPr>
              <w:t xml:space="preserve">593 </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Inconnu</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Kéran</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Natiponi</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7</w:t>
            </w:r>
            <w:r w:rsidR="00FD3DDA">
              <w:rPr>
                <w:rFonts w:ascii="Arial" w:eastAsia="Arial" w:hAnsi="Arial" w:cs="Arial"/>
                <w:sz w:val="20"/>
                <w:szCs w:val="20"/>
                <w:bdr w:val="nil"/>
                <w:lang w:val="fr-FR"/>
              </w:rPr>
              <w:t> </w:t>
            </w:r>
            <w:r w:rsidRPr="00B82342">
              <w:rPr>
                <w:rFonts w:ascii="Arial" w:eastAsia="Arial" w:hAnsi="Arial" w:cs="Arial"/>
                <w:sz w:val="20"/>
                <w:szCs w:val="20"/>
                <w:bdr w:val="nil"/>
                <w:lang w:val="fr-FR"/>
              </w:rPr>
              <w:t>636</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Inconnu</w:t>
            </w:r>
          </w:p>
        </w:tc>
      </w:tr>
      <w:tr w:rsidR="00455645" w:rsidRPr="00B82342" w:rsidTr="00455645">
        <w:trPr>
          <w:trHeight w:val="350"/>
        </w:trPr>
        <w:tc>
          <w:tcPr>
            <w:tcW w:w="784"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lastRenderedPageBreak/>
              <w:t>Kéran</w:t>
            </w:r>
          </w:p>
        </w:tc>
        <w:tc>
          <w:tcPr>
            <w:tcW w:w="1326"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Pangouda</w:t>
            </w:r>
          </w:p>
        </w:tc>
        <w:tc>
          <w:tcPr>
            <w:tcW w:w="1468" w:type="pct"/>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10</w:t>
            </w:r>
            <w:r w:rsidR="00FD3DDA">
              <w:rPr>
                <w:rFonts w:ascii="Arial" w:eastAsia="Arial" w:hAnsi="Arial" w:cs="Arial"/>
                <w:sz w:val="20"/>
                <w:szCs w:val="20"/>
                <w:bdr w:val="nil"/>
                <w:lang w:val="fr-FR"/>
              </w:rPr>
              <w:t> </w:t>
            </w:r>
            <w:r w:rsidRPr="00B82342">
              <w:rPr>
                <w:rFonts w:ascii="Arial" w:eastAsia="Arial" w:hAnsi="Arial" w:cs="Arial"/>
                <w:sz w:val="20"/>
                <w:szCs w:val="20"/>
                <w:bdr w:val="nil"/>
                <w:lang w:val="fr-FR"/>
              </w:rPr>
              <w:t>735</w:t>
            </w:r>
          </w:p>
        </w:tc>
        <w:tc>
          <w:tcPr>
            <w:tcW w:w="1422" w:type="pct"/>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Inconnu</w:t>
            </w:r>
          </w:p>
        </w:tc>
      </w:tr>
      <w:tr w:rsidR="00455645" w:rsidRPr="00B82342" w:rsidTr="00455645">
        <w:trPr>
          <w:trHeight w:val="350"/>
        </w:trPr>
        <w:tc>
          <w:tcPr>
            <w:tcW w:w="784" w:type="pct"/>
            <w:tcBorders>
              <w:bottom w:val="single" w:sz="4" w:space="0" w:color="auto"/>
            </w:tcBorders>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Kéran</w:t>
            </w:r>
          </w:p>
        </w:tc>
        <w:tc>
          <w:tcPr>
            <w:tcW w:w="1326" w:type="pct"/>
            <w:tcBorders>
              <w:bottom w:val="single" w:sz="4" w:space="0" w:color="auto"/>
            </w:tcBorders>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Warengo</w:t>
            </w:r>
          </w:p>
        </w:tc>
        <w:tc>
          <w:tcPr>
            <w:tcW w:w="1468" w:type="pct"/>
            <w:tcBorders>
              <w:bottom w:val="single" w:sz="4" w:space="0" w:color="auto"/>
            </w:tcBorders>
            <w:shd w:val="clear" w:color="auto" w:fill="auto"/>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8</w:t>
            </w:r>
            <w:r w:rsidR="00FD3DDA">
              <w:rPr>
                <w:rFonts w:ascii="Arial" w:eastAsia="Arial" w:hAnsi="Arial" w:cs="Arial"/>
                <w:sz w:val="20"/>
                <w:szCs w:val="20"/>
                <w:bdr w:val="nil"/>
                <w:lang w:val="fr-FR"/>
              </w:rPr>
              <w:t> </w:t>
            </w:r>
            <w:r w:rsidRPr="00B82342">
              <w:rPr>
                <w:rFonts w:ascii="Arial" w:eastAsia="Arial" w:hAnsi="Arial" w:cs="Arial"/>
                <w:sz w:val="20"/>
                <w:szCs w:val="20"/>
                <w:bdr w:val="nil"/>
                <w:lang w:val="fr-FR"/>
              </w:rPr>
              <w:t>039</w:t>
            </w:r>
          </w:p>
        </w:tc>
        <w:tc>
          <w:tcPr>
            <w:tcW w:w="1422" w:type="pct"/>
            <w:tcBorders>
              <w:bottom w:val="single" w:sz="4" w:space="0" w:color="auto"/>
            </w:tcBorders>
            <w:vAlign w:val="center"/>
          </w:tcPr>
          <w:p w:rsidR="00455645" w:rsidRPr="00B82342" w:rsidRDefault="00455645" w:rsidP="00815904">
            <w:pPr>
              <w:pStyle w:val="NoSpacing"/>
              <w:spacing w:line="240" w:lineRule="auto"/>
              <w:rPr>
                <w:rFonts w:ascii="Arial" w:hAnsi="Arial" w:cs="Arial"/>
                <w:sz w:val="20"/>
                <w:szCs w:val="20"/>
              </w:rPr>
            </w:pPr>
            <w:r w:rsidRPr="00B82342">
              <w:rPr>
                <w:rFonts w:ascii="Arial" w:eastAsia="Arial" w:hAnsi="Arial" w:cs="Arial"/>
                <w:sz w:val="20"/>
                <w:szCs w:val="20"/>
                <w:bdr w:val="nil"/>
                <w:lang w:val="fr-FR"/>
              </w:rPr>
              <w:t>Inconnu</w:t>
            </w:r>
          </w:p>
        </w:tc>
      </w:tr>
    </w:tbl>
    <w:p w:rsidR="00455645" w:rsidRPr="00E71481" w:rsidRDefault="00455645" w:rsidP="00815904">
      <w:pPr>
        <w:pStyle w:val="NoSpacing"/>
        <w:spacing w:line="240" w:lineRule="auto"/>
        <w:rPr>
          <w:rFonts w:ascii="Arial" w:hAnsi="Arial" w:cs="Arial"/>
          <w:sz w:val="20"/>
          <w:szCs w:val="20"/>
          <w:lang w:val="fr-FR"/>
        </w:rPr>
      </w:pPr>
      <w:r w:rsidRPr="00E71481">
        <w:rPr>
          <w:rFonts w:ascii="Arial" w:eastAsia="Arial" w:hAnsi="Arial" w:cs="Arial"/>
          <w:sz w:val="20"/>
          <w:szCs w:val="20"/>
          <w:bdr w:val="nil"/>
          <w:lang w:val="fr-FR"/>
        </w:rPr>
        <w:t xml:space="preserve">* Données provenant des estimations démographiques du ministère de la Santé de 2016 et de l’échantillonnage populationnel de référence de Santé Intégrée de 2018. </w:t>
      </w:r>
    </w:p>
    <w:p w:rsidR="001C0DEE" w:rsidRDefault="00455645" w:rsidP="00815904">
      <w:pPr>
        <w:pStyle w:val="NoSpacing"/>
        <w:spacing w:line="240" w:lineRule="auto"/>
        <w:rPr>
          <w:rFonts w:ascii="Arial" w:eastAsia="Arial" w:hAnsi="Arial" w:cs="Arial"/>
          <w:sz w:val="20"/>
          <w:szCs w:val="20"/>
          <w:bdr w:val="nil"/>
          <w:lang w:val="fr-FR"/>
        </w:rPr>
      </w:pPr>
      <w:r w:rsidRPr="00E71481">
        <w:rPr>
          <w:rFonts w:ascii="Arial" w:eastAsia="Arial" w:hAnsi="Arial" w:cs="Arial"/>
          <w:sz w:val="20"/>
          <w:szCs w:val="20"/>
          <w:bdr w:val="nil"/>
          <w:lang w:val="fr-FR"/>
        </w:rPr>
        <w:t xml:space="preserve">** Données issues des rapports annuels sur les préfectures émis par le ministère de la Santé. </w:t>
      </w:r>
    </w:p>
    <w:p w:rsidR="00815904" w:rsidRDefault="00815904" w:rsidP="00815904">
      <w:pPr>
        <w:pStyle w:val="NoSpacing"/>
        <w:rPr>
          <w:rFonts w:ascii="Arial" w:hAnsi="Arial" w:cs="Arial"/>
          <w:sz w:val="22"/>
          <w:szCs w:val="22"/>
          <w:lang w:val="es-US"/>
        </w:rPr>
      </w:pPr>
    </w:p>
    <w:p w:rsidR="001C0DEE" w:rsidRDefault="00767532">
      <w:pPr>
        <w:pStyle w:val="NoSpacing"/>
        <w:outlineLvl w:val="0"/>
        <w:rPr>
          <w:rFonts w:ascii="Arial" w:hAnsi="Arial" w:cs="Arial"/>
          <w:b/>
          <w:sz w:val="22"/>
          <w:szCs w:val="22"/>
          <w:lang w:val="es-US"/>
        </w:rPr>
      </w:pPr>
      <w:r>
        <w:rPr>
          <w:rFonts w:ascii="Arial" w:eastAsia="Arial" w:hAnsi="Arial" w:cs="Arial"/>
          <w:b/>
          <w:bCs/>
          <w:sz w:val="22"/>
          <w:szCs w:val="22"/>
          <w:bdr w:val="nil"/>
          <w:lang w:val="fr-FR"/>
        </w:rPr>
        <w:t>Critères d’inclusion</w:t>
      </w:r>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t>L’éligibilité pour l’inclusion est décrite ci-dessous en fonction de l’élément à l’étude pour les enquêtes communautaires auprès des ménages, les enquêtes d</w:t>
      </w:r>
      <w:r w:rsidR="00563657">
        <w:rPr>
          <w:rFonts w:ascii="Arial" w:eastAsia="Arial" w:hAnsi="Arial" w:cs="Arial"/>
          <w:sz w:val="22"/>
          <w:szCs w:val="22"/>
          <w:bdr w:val="nil"/>
          <w:lang w:val="fr-FR"/>
        </w:rPr>
        <w:t>es formations sanitaires</w:t>
      </w:r>
      <w:r>
        <w:rPr>
          <w:rFonts w:ascii="Arial" w:eastAsia="Arial" w:hAnsi="Arial" w:cs="Arial"/>
          <w:sz w:val="22"/>
          <w:szCs w:val="22"/>
          <w:bdr w:val="nil"/>
          <w:lang w:val="fr-FR"/>
        </w:rPr>
        <w:t xml:space="preserve"> et les entretiens qualitatifs. </w:t>
      </w:r>
    </w:p>
    <w:p w:rsidR="001C0DEE" w:rsidRDefault="001C0DEE">
      <w:pPr>
        <w:pStyle w:val="NoSpacing"/>
        <w:rPr>
          <w:rFonts w:ascii="Arial" w:hAnsi="Arial" w:cs="Arial"/>
          <w:sz w:val="22"/>
          <w:szCs w:val="22"/>
          <w:lang w:val="es-US"/>
        </w:rPr>
      </w:pPr>
    </w:p>
    <w:p w:rsidR="001C0DEE" w:rsidRDefault="00767532">
      <w:pPr>
        <w:pStyle w:val="NoSpacing"/>
        <w:rPr>
          <w:rFonts w:ascii="Arial" w:hAnsi="Arial" w:cs="Arial"/>
          <w:sz w:val="22"/>
          <w:szCs w:val="22"/>
          <w:lang w:val="es-US"/>
        </w:rPr>
      </w:pPr>
      <w:r>
        <w:rPr>
          <w:rFonts w:ascii="Arial" w:eastAsia="Arial" w:hAnsi="Arial" w:cs="Arial"/>
          <w:i/>
          <w:iCs/>
          <w:sz w:val="22"/>
          <w:szCs w:val="22"/>
          <w:bdr w:val="nil"/>
          <w:lang w:val="fr-FR"/>
        </w:rPr>
        <w:t xml:space="preserve">Enquêtes communautaires auprès des ménages : </w:t>
      </w:r>
      <w:r>
        <w:rPr>
          <w:rFonts w:ascii="Arial" w:eastAsia="Arial" w:hAnsi="Arial" w:cs="Arial"/>
          <w:sz w:val="22"/>
          <w:szCs w:val="22"/>
          <w:bdr w:val="nil"/>
          <w:lang w:val="fr-FR"/>
        </w:rPr>
        <w:t>les femmes</w:t>
      </w:r>
      <w:r>
        <w:rPr>
          <w:rFonts w:ascii="Arial" w:eastAsia="Arial" w:hAnsi="Arial" w:cs="Arial"/>
          <w:sz w:val="22"/>
          <w:szCs w:val="22"/>
          <w:bdr w:val="nil"/>
          <w:shd w:val="clear" w:color="auto" w:fill="FFFFFF"/>
          <w:lang w:val="fr-FR"/>
        </w:rPr>
        <w:t xml:space="preserve"> âgées de 15 à 49 ans résidant dans un foyer sélectionné au sein de la zone desservie sont incluses. Les participantes âgées de 15 à 17 ans ne seront incluses que si elles ont été ou sont actuellement enceintes et si elles disposent d’une autorisation parentale. </w:t>
      </w:r>
      <w:r>
        <w:rPr>
          <w:rFonts w:ascii="Arial" w:eastAsia="Arial" w:hAnsi="Arial" w:cs="Arial"/>
          <w:sz w:val="22"/>
          <w:szCs w:val="22"/>
          <w:bdr w:val="nil"/>
          <w:lang w:val="fr-FR"/>
        </w:rPr>
        <w:t>Les ménages seront sélectionnés de manière aléatoire chaque année à l’aide d’une méthodologie d’échantillonnage systématique pondérée en fonction de la population. S’il y a plus d’une répondante éligible dans le foyer, une seule sera sélectionnée de manière aléatoire selon la grille de sélection de Kish</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{"citationItems":[{"id":"ITEM-1","itemData":{"DOI":"10.1080/01621459.1949.10483314","ISSN":"0162-1459","author":[{"dropping-particle":"","family":"Kish","given":"Leslie","non-dropping-particle":"","parse-names":false,"suffix":""}],"container-title":"Journal of the American Statistical Association","id":"ITEM-1","issue":"247","issued":{"date-parts":[["1949","9"]]},"page":"380-387","title":"A Procedure for Objective Respondent Selection within the Household","type":"article-journal","volume":"44"},"uris":["http://www.mendeley.com/documents/?uuid=a2fa7732-1448-312b-adbf-e4808824ff45","http://www.mendeley.com/documents/?uuid=fc1435df-ebea-48ed-adf3-a17b4933e33f"]}],"mendeley":{"formattedCitation":"(54)","plainTextFormattedCitation":"(54)","previouslyFormattedCitation":"(55)"},"properties":{"noteIndex":0},"schema":"https://github.com/citation-style-language/schema/raw/master/csl-citation.json"}</w:instrText>
      </w:r>
      <w:r>
        <w:rPr>
          <w:rFonts w:ascii="Arial" w:hAnsi="Arial" w:cs="Arial"/>
          <w:sz w:val="22"/>
          <w:szCs w:val="22"/>
        </w:rPr>
        <w:fldChar w:fldCharType="separate"/>
      </w:r>
      <w:r w:rsidR="00902B77" w:rsidRPr="00902B77">
        <w:rPr>
          <w:rFonts w:ascii="Arial" w:eastAsia="Arial" w:hAnsi="Arial" w:cs="Arial"/>
          <w:noProof/>
          <w:sz w:val="22"/>
          <w:szCs w:val="22"/>
          <w:bdr w:val="nil"/>
          <w:lang w:val="fr-FR"/>
        </w:rPr>
        <w:t>(54)</w:t>
      </w:r>
      <w:r>
        <w:rPr>
          <w:rFonts w:ascii="Arial" w:hAnsi="Arial" w:cs="Arial"/>
          <w:sz w:val="22"/>
          <w:szCs w:val="22"/>
        </w:rPr>
        <w:fldChar w:fldCharType="end"/>
      </w:r>
      <w:r>
        <w:rPr>
          <w:rFonts w:ascii="Arial" w:eastAsia="Arial" w:hAnsi="Arial" w:cs="Arial"/>
          <w:sz w:val="22"/>
          <w:szCs w:val="22"/>
          <w:bdr w:val="nil"/>
          <w:lang w:val="fr-FR"/>
        </w:rPr>
        <w:t xml:space="preserve">. Toutes les participantes auront la possibilité de refuser de participer au cours du processus de consentement éclairé. </w:t>
      </w:r>
    </w:p>
    <w:p w:rsidR="001C0DEE" w:rsidRDefault="001C0DEE">
      <w:pPr>
        <w:pStyle w:val="NoSpacing"/>
        <w:rPr>
          <w:rFonts w:ascii="Arial" w:hAnsi="Arial" w:cs="Arial"/>
          <w:sz w:val="22"/>
          <w:szCs w:val="22"/>
          <w:lang w:val="es-US"/>
        </w:rPr>
      </w:pPr>
    </w:p>
    <w:p w:rsidR="001C0DEE" w:rsidRDefault="00767532">
      <w:pPr>
        <w:pStyle w:val="NoSpacing"/>
        <w:rPr>
          <w:rFonts w:ascii="Arial" w:hAnsi="Arial" w:cs="Arial"/>
          <w:sz w:val="22"/>
          <w:szCs w:val="22"/>
          <w:lang w:val="fr-FR"/>
        </w:rPr>
      </w:pPr>
      <w:r>
        <w:rPr>
          <w:rFonts w:ascii="Arial" w:eastAsia="Arial" w:hAnsi="Arial" w:cs="Arial"/>
          <w:i/>
          <w:iCs/>
          <w:sz w:val="22"/>
          <w:szCs w:val="22"/>
          <w:bdr w:val="nil"/>
          <w:lang w:val="fr-FR"/>
        </w:rPr>
        <w:t xml:space="preserve">Enquêtes auprès des </w:t>
      </w:r>
      <w:r w:rsidR="00563657">
        <w:rPr>
          <w:rFonts w:ascii="Arial" w:eastAsia="Arial" w:hAnsi="Arial" w:cs="Arial"/>
          <w:i/>
          <w:iCs/>
          <w:sz w:val="22"/>
          <w:szCs w:val="22"/>
          <w:bdr w:val="nil"/>
          <w:lang w:val="fr-FR"/>
        </w:rPr>
        <w:t xml:space="preserve">formations </w:t>
      </w:r>
      <w:r>
        <w:rPr>
          <w:rFonts w:ascii="Arial" w:eastAsia="Arial" w:hAnsi="Arial" w:cs="Arial"/>
          <w:i/>
          <w:iCs/>
          <w:sz w:val="22"/>
          <w:szCs w:val="22"/>
          <w:bdr w:val="nil"/>
          <w:lang w:val="fr-FR"/>
        </w:rPr>
        <w:t>sanitaires :</w:t>
      </w:r>
      <w:r>
        <w:rPr>
          <w:rFonts w:ascii="Arial" w:eastAsia="Arial" w:hAnsi="Arial" w:cs="Arial"/>
          <w:sz w:val="22"/>
          <w:szCs w:val="22"/>
          <w:bdr w:val="nil"/>
          <w:lang w:val="fr-FR"/>
        </w:rPr>
        <w:t xml:space="preserve"> l’ensemble des 21 </w:t>
      </w:r>
      <w:r w:rsidR="00563657">
        <w:rPr>
          <w:rFonts w:ascii="Arial" w:eastAsia="Arial" w:hAnsi="Arial" w:cs="Arial"/>
          <w:sz w:val="22"/>
          <w:szCs w:val="22"/>
          <w:bdr w:val="nil"/>
          <w:lang w:val="fr-FR"/>
        </w:rPr>
        <w:t xml:space="preserve">formations </w:t>
      </w:r>
      <w:r>
        <w:rPr>
          <w:rFonts w:ascii="Arial" w:eastAsia="Arial" w:hAnsi="Arial" w:cs="Arial"/>
          <w:sz w:val="22"/>
          <w:szCs w:val="22"/>
          <w:bdr w:val="nil"/>
          <w:lang w:val="fr-FR"/>
        </w:rPr>
        <w:t xml:space="preserve">sanitaires seront </w:t>
      </w:r>
      <w:r w:rsidR="00455645">
        <w:rPr>
          <w:rFonts w:ascii="Arial" w:eastAsia="Arial" w:hAnsi="Arial" w:cs="Arial"/>
          <w:sz w:val="22"/>
          <w:szCs w:val="22"/>
          <w:bdr w:val="nil"/>
          <w:lang w:val="fr-FR"/>
        </w:rPr>
        <w:t>interrogées</w:t>
      </w:r>
      <w:r>
        <w:rPr>
          <w:rFonts w:ascii="Arial" w:eastAsia="Arial" w:hAnsi="Arial" w:cs="Arial"/>
          <w:sz w:val="22"/>
          <w:szCs w:val="22"/>
          <w:bdr w:val="nil"/>
          <w:lang w:val="fr-FR"/>
        </w:rPr>
        <w:t xml:space="preserve">. Les informations concernant les </w:t>
      </w:r>
      <w:r w:rsidR="00563657">
        <w:rPr>
          <w:rFonts w:ascii="Arial" w:eastAsia="Arial" w:hAnsi="Arial" w:cs="Arial"/>
          <w:sz w:val="22"/>
          <w:szCs w:val="22"/>
          <w:bdr w:val="nil"/>
          <w:lang w:val="fr-FR"/>
        </w:rPr>
        <w:t xml:space="preserve">formations sanitaires </w:t>
      </w:r>
      <w:r>
        <w:rPr>
          <w:rFonts w:ascii="Arial" w:eastAsia="Arial" w:hAnsi="Arial" w:cs="Arial"/>
          <w:sz w:val="22"/>
          <w:szCs w:val="22"/>
          <w:bdr w:val="nil"/>
          <w:lang w:val="fr-FR"/>
        </w:rPr>
        <w:t>figurent dans le tableau 3.</w:t>
      </w:r>
    </w:p>
    <w:p w:rsidR="001C0DEE" w:rsidRDefault="001C0DEE">
      <w:pPr>
        <w:pStyle w:val="NoSpacing"/>
        <w:rPr>
          <w:rFonts w:ascii="Arial" w:hAnsi="Arial" w:cs="Arial"/>
          <w:sz w:val="22"/>
          <w:szCs w:val="22"/>
          <w:lang w:val="fr-FR"/>
        </w:rPr>
      </w:pPr>
    </w:p>
    <w:p w:rsidR="001C0DEE" w:rsidRDefault="00767532">
      <w:pPr>
        <w:pStyle w:val="NoSpacing"/>
        <w:rPr>
          <w:rFonts w:ascii="Arial" w:hAnsi="Arial" w:cs="Arial"/>
          <w:sz w:val="22"/>
          <w:szCs w:val="22"/>
          <w:lang w:val="fr-FR"/>
        </w:rPr>
      </w:pPr>
      <w:r>
        <w:rPr>
          <w:rFonts w:ascii="Arial" w:eastAsia="Arial" w:hAnsi="Arial" w:cs="Arial"/>
          <w:i/>
          <w:iCs/>
          <w:sz w:val="22"/>
          <w:szCs w:val="22"/>
          <w:bdr w:val="nil"/>
          <w:lang w:val="fr-FR"/>
        </w:rPr>
        <w:t>Entretiens menés avec les informateurs clés :</w:t>
      </w:r>
      <w:r>
        <w:rPr>
          <w:rFonts w:ascii="Arial" w:eastAsia="Arial" w:hAnsi="Arial" w:cs="Arial"/>
          <w:sz w:val="22"/>
          <w:szCs w:val="22"/>
          <w:bdr w:val="nil"/>
          <w:lang w:val="fr-FR"/>
        </w:rPr>
        <w:t xml:space="preserve"> cet élément inclura les individus âgés de 18 ans ou plus qui sont soit des partenaires de mise en œuvre soit du personnel d’intervention dans </w:t>
      </w:r>
      <w:r w:rsidR="00563657">
        <w:rPr>
          <w:rFonts w:ascii="Arial" w:eastAsia="Arial" w:hAnsi="Arial" w:cs="Arial"/>
          <w:sz w:val="22"/>
          <w:szCs w:val="22"/>
          <w:bdr w:val="nil"/>
          <w:lang w:val="fr-FR"/>
        </w:rPr>
        <w:t>la formation</w:t>
      </w:r>
      <w:r>
        <w:rPr>
          <w:rFonts w:ascii="Arial" w:eastAsia="Arial" w:hAnsi="Arial" w:cs="Arial"/>
          <w:sz w:val="22"/>
          <w:szCs w:val="22"/>
          <w:bdr w:val="nil"/>
          <w:lang w:val="fr-FR"/>
        </w:rPr>
        <w:t xml:space="preserve"> sanitaire. Les partenaires de mise en œuvre sont définis comme les membres du personnel de programmation de SI employés dans la zone </w:t>
      </w:r>
      <w:r w:rsidR="004614D1">
        <w:rPr>
          <w:rFonts w:ascii="Arial" w:eastAsia="Arial" w:hAnsi="Arial" w:cs="Arial"/>
          <w:sz w:val="22"/>
          <w:szCs w:val="22"/>
          <w:bdr w:val="nil"/>
          <w:lang w:val="fr-FR"/>
        </w:rPr>
        <w:t xml:space="preserve">d’intérêt </w:t>
      </w:r>
      <w:r>
        <w:rPr>
          <w:rFonts w:ascii="Arial" w:eastAsia="Arial" w:hAnsi="Arial" w:cs="Arial"/>
          <w:sz w:val="22"/>
          <w:szCs w:val="22"/>
          <w:bdr w:val="nil"/>
          <w:lang w:val="fr-FR"/>
        </w:rPr>
        <w:t xml:space="preserve">desservie. Les membres du </w:t>
      </w:r>
      <w:r w:rsidR="004614D1">
        <w:rPr>
          <w:rFonts w:ascii="Arial" w:eastAsia="Arial" w:hAnsi="Arial" w:cs="Arial"/>
          <w:sz w:val="22"/>
          <w:szCs w:val="22"/>
          <w:bdr w:val="nil"/>
          <w:lang w:val="fr-FR"/>
        </w:rPr>
        <w:lastRenderedPageBreak/>
        <w:t>personnel de</w:t>
      </w:r>
      <w:r w:rsidR="00B773FF">
        <w:rPr>
          <w:rFonts w:ascii="Arial" w:eastAsia="Arial" w:hAnsi="Arial" w:cs="Arial"/>
          <w:sz w:val="22"/>
          <w:szCs w:val="22"/>
          <w:bdr w:val="nil"/>
          <w:lang w:val="fr-FR"/>
        </w:rPr>
        <w:t xml:space="preserve"> la formation </w:t>
      </w:r>
      <w:r>
        <w:rPr>
          <w:rFonts w:ascii="Arial" w:eastAsia="Arial" w:hAnsi="Arial" w:cs="Arial"/>
          <w:sz w:val="22"/>
          <w:szCs w:val="22"/>
          <w:bdr w:val="nil"/>
          <w:lang w:val="fr-FR"/>
        </w:rPr>
        <w:t>sanitaire sont définis comme les employés cliniques ou administratifs du MS dans l’un des 21 centres sanitaires. Environ 42 informateurs clés issus des 21 </w:t>
      </w:r>
      <w:r w:rsidR="00563657">
        <w:rPr>
          <w:rFonts w:ascii="Arial" w:eastAsia="Arial" w:hAnsi="Arial" w:cs="Arial"/>
          <w:sz w:val="22"/>
          <w:szCs w:val="22"/>
          <w:bdr w:val="nil"/>
          <w:lang w:val="fr-FR"/>
        </w:rPr>
        <w:t xml:space="preserve">formations </w:t>
      </w:r>
      <w:r>
        <w:rPr>
          <w:rFonts w:ascii="Arial" w:eastAsia="Arial" w:hAnsi="Arial" w:cs="Arial"/>
          <w:sz w:val="22"/>
          <w:szCs w:val="22"/>
          <w:bdr w:val="nil"/>
          <w:lang w:val="fr-FR"/>
        </w:rPr>
        <w:t>sanitaires (21 partenaires de mise en œuvre et 21 </w:t>
      </w:r>
      <w:r w:rsidR="00B773FF">
        <w:rPr>
          <w:rFonts w:ascii="Arial" w:eastAsia="Arial" w:hAnsi="Arial" w:cs="Arial"/>
          <w:sz w:val="22"/>
          <w:szCs w:val="22"/>
          <w:bdr w:val="nil"/>
          <w:lang w:val="fr-FR"/>
        </w:rPr>
        <w:t>prestataires</w:t>
      </w:r>
      <w:r>
        <w:rPr>
          <w:rFonts w:ascii="Arial" w:eastAsia="Arial" w:hAnsi="Arial" w:cs="Arial"/>
          <w:sz w:val="22"/>
          <w:szCs w:val="22"/>
          <w:bdr w:val="nil"/>
          <w:lang w:val="fr-FR"/>
        </w:rPr>
        <w:t xml:space="preserve">) seront </w:t>
      </w:r>
      <w:r w:rsidR="004614D1">
        <w:rPr>
          <w:rFonts w:ascii="Arial" w:eastAsia="Arial" w:hAnsi="Arial" w:cs="Arial"/>
          <w:sz w:val="22"/>
          <w:szCs w:val="22"/>
          <w:bdr w:val="nil"/>
          <w:lang w:val="fr-FR"/>
        </w:rPr>
        <w:t>inclus</w:t>
      </w:r>
      <w:r>
        <w:rPr>
          <w:rFonts w:ascii="Arial" w:eastAsia="Arial" w:hAnsi="Arial" w:cs="Arial"/>
          <w:sz w:val="22"/>
          <w:szCs w:val="22"/>
          <w:bdr w:val="nil"/>
          <w:lang w:val="fr-FR"/>
        </w:rPr>
        <w:t xml:space="preserve">. </w:t>
      </w:r>
    </w:p>
    <w:p w:rsidR="001C0DEE" w:rsidRDefault="00767532">
      <w:pPr>
        <w:pStyle w:val="NoSpacing"/>
        <w:rPr>
          <w:rFonts w:ascii="Arial" w:hAnsi="Arial" w:cs="Arial"/>
          <w:sz w:val="22"/>
          <w:szCs w:val="22"/>
          <w:lang w:val="fr-FR"/>
        </w:rPr>
      </w:pPr>
      <w:r>
        <w:rPr>
          <w:rFonts w:ascii="Arial" w:hAnsi="Arial" w:cs="Arial"/>
          <w:sz w:val="22"/>
          <w:szCs w:val="22"/>
          <w:lang w:val="fr-FR"/>
        </w:rPr>
        <w:t xml:space="preserve"> </w:t>
      </w:r>
    </w:p>
    <w:p w:rsidR="001C0DEE" w:rsidRDefault="00767532">
      <w:pPr>
        <w:pStyle w:val="NoSpacing"/>
        <w:outlineLvl w:val="0"/>
        <w:rPr>
          <w:rFonts w:ascii="Arial" w:hAnsi="Arial" w:cs="Arial"/>
          <w:b/>
          <w:sz w:val="22"/>
          <w:szCs w:val="22"/>
          <w:lang w:val="es-US"/>
        </w:rPr>
      </w:pPr>
      <w:r>
        <w:rPr>
          <w:rFonts w:ascii="Arial" w:eastAsia="Arial" w:hAnsi="Arial" w:cs="Arial"/>
          <w:b/>
          <w:bCs/>
          <w:sz w:val="22"/>
          <w:szCs w:val="22"/>
          <w:bdr w:val="nil"/>
          <w:lang w:val="fr-FR"/>
        </w:rPr>
        <w:t>Détermination de la taille de l’échantillon</w:t>
      </w:r>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t>L’étude dispose d’une puissance suffisante pour détecter une variation par groupe dans la mortalité des enfants âgés de moins de 5 ans pour 1</w:t>
      </w:r>
      <w:r w:rsidR="00FD3DDA">
        <w:rPr>
          <w:rFonts w:ascii="Arial" w:eastAsia="Arial" w:hAnsi="Arial" w:cs="Arial"/>
          <w:sz w:val="22"/>
          <w:szCs w:val="22"/>
          <w:bdr w:val="nil"/>
          <w:lang w:val="fr-FR"/>
        </w:rPr>
        <w:t> </w:t>
      </w:r>
      <w:r>
        <w:rPr>
          <w:rFonts w:ascii="Arial" w:eastAsia="Arial" w:hAnsi="Arial" w:cs="Arial"/>
          <w:sz w:val="22"/>
          <w:szCs w:val="22"/>
          <w:bdr w:val="nil"/>
          <w:lang w:val="fr-FR"/>
        </w:rPr>
        <w:t>000 naissances vivantes. Une taille d’échantillon comprenant 7</w:t>
      </w:r>
      <w:r w:rsidR="00FD3DDA">
        <w:rPr>
          <w:rFonts w:ascii="Arial" w:eastAsia="Arial" w:hAnsi="Arial" w:cs="Arial"/>
          <w:sz w:val="22"/>
          <w:szCs w:val="22"/>
          <w:bdr w:val="nil"/>
          <w:lang w:val="fr-FR"/>
        </w:rPr>
        <w:t> </w:t>
      </w:r>
      <w:r>
        <w:rPr>
          <w:rFonts w:ascii="Arial" w:eastAsia="Arial" w:hAnsi="Arial" w:cs="Arial"/>
          <w:sz w:val="22"/>
          <w:szCs w:val="22"/>
          <w:bdr w:val="nil"/>
          <w:lang w:val="fr-FR"/>
        </w:rPr>
        <w:t>600 participantes fournira une puissance de 80 % permettant de détecter une réduction estimée à 30 % ou plus de la mortalité chez les enfants âgés de moins de 5 ans par rapport à la référence estimée à 70 pour 1</w:t>
      </w:r>
      <w:r w:rsidR="00FD3DDA">
        <w:rPr>
          <w:rFonts w:ascii="Arial" w:eastAsia="Arial" w:hAnsi="Arial" w:cs="Arial"/>
          <w:sz w:val="22"/>
          <w:szCs w:val="22"/>
          <w:bdr w:val="nil"/>
          <w:lang w:val="fr-FR"/>
        </w:rPr>
        <w:t> </w:t>
      </w:r>
      <w:r>
        <w:rPr>
          <w:rFonts w:ascii="Arial" w:eastAsia="Arial" w:hAnsi="Arial" w:cs="Arial"/>
          <w:sz w:val="22"/>
          <w:szCs w:val="22"/>
          <w:bdr w:val="nil"/>
          <w:lang w:val="fr-FR"/>
        </w:rPr>
        <w:t>000 naissances vivantes, avec un alpha de 0,05, une corrélation au sein du groupe de 0,005, un taux de non-répondeurs de 20 % et une estimation de 0,5 enfant âgé de moins de 5 ans par participante</w:t>
      </w:r>
      <w:r>
        <w:rPr>
          <w:rFonts w:ascii="Arial" w:hAnsi="Arial" w:cs="Arial"/>
          <w:sz w:val="22"/>
          <w:szCs w:val="22"/>
          <w:vertAlign w:val="superscript"/>
        </w:rPr>
        <w:fldChar w:fldCharType="begin" w:fldLock="1"/>
      </w:r>
      <w:r w:rsidR="00902B77">
        <w:rPr>
          <w:rFonts w:ascii="Arial" w:hAnsi="Arial" w:cs="Arial"/>
          <w:sz w:val="22"/>
          <w:szCs w:val="22"/>
          <w:vertAlign w:val="superscript"/>
          <w:lang w:val="es-US"/>
        </w:rPr>
        <w:instrText>ADDIN CSL_CITATION {"citationItems":[{"id":"ITEM-1","itemData":{"DOI":"10.1186/s13063-015-0840-9","abstract":"Background: Stepped wedge trials (SWTs) can be considered as a variant of a clustered randomised trial, although in many ways they embed additional complications from the point of view of statistical design and analysis. While the literature is rich for standard parallel or clustered randomised clinical trials (CRTs), it is much less so for SWTs. The specific features of SWTs need to be addressed properly in the sample size calculations to ensure valid estimates of the intervention effect. Methods: We critically review the available literature on analytical methods to perform sample size and power calculations in a SWT. In particular, we highlight the specific assumptions underlying currently used methods and comment on their validity and potential for extensions. Finally, we propose the use of simulation-based methods to overcome some of the limitations of analytical formulae. We performed a simulation exercise in which we compared simulation-based sample size computations with analytical methods and assessed the impact of varying the basic parameters to the resulting sample size/power, in the case of continuous and binary outcomes and assuming both cross-sectional data and the closed cohort design. Results: We compared the sample size requirements for a SWT in comparison to CRTs based on comparable number of measurements in each cluster. In line with the existing literature, we found that when the level of correlation within the clusters is relatively high (for example, greater than 0.1), the SWT requires a smaller number of clusters. For low values of the intracluster correlation, the two designs produce more similar requirements in terms of total number of clusters. We validated our simulation-based approach and compared the results of sample size calculations to analytical methods; the simulation-based procedures perform well, producing results that are extremely similar to the analytical methods. We found that usually the SWT is relatively insensitive to variations in the intracluster correlation, and that failure to account for a potential time effect will artificially and grossly overestimate the power of a study. Conclusions: We provide a framework for handling the sample size and power calculations of a SWT and suggest that simulation-based procedures may be more effective, especially in dealing with the specific features of the study at hand. In selected situations and depending on the level of intracluster correlation and the cluster size, S…","author":[{"dropping-particle":"","family":"Baio","given":"Gianluca","non-dropping-particle":"","parse-names":false,"suffix":""},{"dropping-particle":"","family":"Copas","given":"Andrew","non-dropping-particle":"","parse-names":false,"suffix":""},{"dropping-particle":"","family":"Ambler","given":"Gareth","non-dropping-particle":"","parse-names":false,"suffix":""},{"dropping-particle":"","family":"Hargreaves","given":"James","non-dropping-particle":"","parse-names":false,"suffix":""},{"dropping-particle":"","family":"Beard","given":"Emma","non-dropping-particle":"","parse-names":false,"suffix":""},{"dropping-particle":"","family":"Omar","given":"Rumana Z","non-dropping-particle":"","parse-names":false,"suffix":""}],"container-title":"Trials Baio et al. Trials","id":"ITEM-1","issue":"16","issued":{"date-parts":[["2015"]]},"title":"Sample size calculation for a stepped wedge trial","type":"article-journal","volume":"16"},"uris":["http://www.mendeley.com/documents/?uuid=b307130e-d684-37b1-ad3a-b28d8cd093f6","http://www.mendeley.com/documents/?uuid=3081f773-2da1-41a9-acf1-c1a1fdae019e"]},{"id":"ITEM-2","itemData":{"DOI":"10.1371/journal.pone.0173445","ISBN":"1111111111","ISSN":"19326203","PMID":"28301539","abstract":"OBJECTIVE: In Togo, substantial progress in maternal and child health is needed to reach global development goals. To better inform clinic and community-based health services, this study identifies factors associated with maternal and child health care utilization in the Kara region of Northern Togo. METHODS: We conducted a population-representative household survey of four health clinic catchment areas of 1,075 women of reproductive age in 2015. Multivariable logistic regression was used to model individual and structural factors associated with utilization of four maternal and child health services. Key outcomes were: facility-based delivery, maternal postnatal health check by a health professional within the first six weeks of birth, childhood vaccination, and receipt of malaria medication for febrile children under age five within 72 hours of symptom onset. RESULTS: 83 percent of women who gave birth in the last 2 years delivered at a health facility. In adjusted models, the strongest predictor of facility delivery in the rural catchment areas was proximity to a health center, with women living under three kilometers having 3.7 (95% CI 1.7, 7.9) times the odds of a facility birth. Only 11 percent of women received a health check by a health provider at any time in the postnatal period. Postnatal health checks were less likely for women in the poorest households and for women who resided in rural areas. Children of polygamous mothers had half the odds of receiving malaria medication for fever within 72 hours of symptom onset, while children with increased household wealth status had increased odds of childhood vaccination and receiving treatment for malaria. CONCLUSION: Our analysis highlights the importance of risk stratification analysis to inform the delivery and scope of maternal and child health programs needed to reach those with the least access to care.","author":[{"dropping-particle":"","family":"McCarthy","given":"Katharine J.","non-dropping-particle":"","parse-names":false,"suffix":""},{"dropping-particle":"","family":"Braganza","given":"Sandra","non-dropping-particle":"","parse-names":false,"suffix":""},{"dropping-particle":"","family":"Fiori","given":"Kevin","non-dropping-particle":"","parse-names":false,"suffix":""},{"dropping-particle":"","family":"Gbeleou","given":"Christophe","non-dropping-particle":"","parse-names":false,"suffix":""},{"dropping-particle":"","family":"Kpakpo","given":"Vivien","non-dropping-particle":"","parse-names":false,"suffix":""},{"dropping-particle":"","family":"Lopez","given":"Andrew","non-dropping-particle":"","parse-names":false,"suffix":""},{"dropping-particle":"","family":"Schechter","given":"Jennifer","non-dropping-particle":"","parse-names":false,"suffix":""},{"dropping-particle":"","family":"Goodwin","given":"Alicia Singham","non-dropping-particle":"","parse-names":false,"suffix":""},{"dropping-particle":"","family":"Jones","given":"Heidi E.","non-dropping-particle":"","parse-names":false,"suffix":""}],"container-title":"PLoS ONE","id":"ITEM-2","issue":"3","issued":{"date-parts":[["2017"]]},"page":"1-19","title":"Identifying inequities in maternal and child health through risk stratification to inform health systems strengthening in Northern Togo","type":"article-journal","volume":"12"},"uris":["http://www.mendeley.com/documents/?uuid=e3594b1d-65d9-4b53-820b-ff34fbcddbb6"]}],"mendeley":{"formattedCitation":"(9,55)","plainTextFormattedCitation":"(9,55)","previouslyFormattedCitation":"(9,56)"},"properties":{"noteIndex":0},"schema":"https://github.com/citation-style-language/schema/raw/master/csl-citation.json"}</w:instrText>
      </w:r>
      <w:r>
        <w:rPr>
          <w:rFonts w:ascii="Arial" w:hAnsi="Arial" w:cs="Arial"/>
          <w:sz w:val="22"/>
          <w:szCs w:val="22"/>
          <w:vertAlign w:val="superscript"/>
        </w:rPr>
        <w:fldChar w:fldCharType="separate"/>
      </w:r>
      <w:r w:rsidR="00FD3DDA">
        <w:rPr>
          <w:rFonts w:ascii="Arial" w:hAnsi="Arial" w:cs="Arial"/>
          <w:sz w:val="22"/>
          <w:szCs w:val="22"/>
          <w:vertAlign w:val="superscript"/>
        </w:rPr>
        <w:t xml:space="preserve"> </w:t>
      </w:r>
      <w:r w:rsidR="00902B77" w:rsidRPr="00902B77">
        <w:rPr>
          <w:rFonts w:ascii="Arial" w:eastAsia="Arial" w:hAnsi="Arial" w:cs="Arial"/>
          <w:noProof/>
          <w:sz w:val="22"/>
          <w:szCs w:val="22"/>
          <w:bdr w:val="nil"/>
          <w:lang w:val="fr-FR"/>
        </w:rPr>
        <w:t>(9,55)</w:t>
      </w:r>
      <w:r>
        <w:rPr>
          <w:rFonts w:ascii="Arial" w:hAnsi="Arial" w:cs="Arial"/>
          <w:sz w:val="22"/>
          <w:szCs w:val="22"/>
          <w:vertAlign w:val="superscript"/>
        </w:rPr>
        <w:fldChar w:fldCharType="end"/>
      </w:r>
      <w:r>
        <w:rPr>
          <w:rFonts w:ascii="Arial" w:eastAsia="Arial" w:hAnsi="Arial" w:cs="Arial"/>
          <w:sz w:val="22"/>
          <w:szCs w:val="22"/>
          <w:bdr w:val="nil"/>
          <w:lang w:val="fr-FR"/>
        </w:rPr>
        <w:t>. L’ampleur de l’effet est une estimation prudente basée sur l’expérience pilote précédente (</w:t>
      </w:r>
      <w:r>
        <w:rPr>
          <w:rFonts w:ascii="Arial" w:eastAsia="Arial" w:hAnsi="Arial" w:cs="Arial"/>
          <w:sz w:val="22"/>
          <w:szCs w:val="22"/>
          <w:bdr w:val="nil"/>
          <w:shd w:val="clear" w:color="auto" w:fill="FFFFFF"/>
          <w:lang w:val="fr-FR"/>
        </w:rPr>
        <w:t>ClinicalTrials.gov Identifiant : NCT03773913).</w:t>
      </w:r>
    </w:p>
    <w:p w:rsidR="001C0DEE" w:rsidRDefault="001C0DEE">
      <w:pPr>
        <w:pStyle w:val="NoSpacing"/>
        <w:rPr>
          <w:rFonts w:ascii="Arial" w:hAnsi="Arial" w:cs="Arial"/>
          <w:sz w:val="22"/>
          <w:szCs w:val="22"/>
          <w:lang w:val="es-US"/>
        </w:rPr>
      </w:pPr>
    </w:p>
    <w:p w:rsidR="001C0DEE" w:rsidRDefault="00767532">
      <w:pPr>
        <w:pStyle w:val="NoSpacing"/>
        <w:outlineLvl w:val="0"/>
        <w:rPr>
          <w:rFonts w:ascii="Arial" w:hAnsi="Arial" w:cs="Arial"/>
          <w:i/>
          <w:sz w:val="22"/>
          <w:szCs w:val="22"/>
          <w:lang w:val="es-US"/>
        </w:rPr>
      </w:pPr>
      <w:r>
        <w:rPr>
          <w:rFonts w:ascii="Arial" w:eastAsia="Arial" w:hAnsi="Arial" w:cs="Arial"/>
          <w:i/>
          <w:iCs/>
          <w:sz w:val="22"/>
          <w:szCs w:val="22"/>
          <w:bdr w:val="nil"/>
          <w:lang w:val="fr-FR"/>
        </w:rPr>
        <w:t>Randomisation</w:t>
      </w:r>
    </w:p>
    <w:p w:rsidR="001C0DEE" w:rsidRDefault="00767532">
      <w:pPr>
        <w:pStyle w:val="NoSpacing"/>
        <w:rPr>
          <w:rFonts w:ascii="Arial" w:hAnsi="Arial" w:cs="Arial"/>
          <w:sz w:val="22"/>
          <w:szCs w:val="22"/>
          <w:lang w:val="fr-FR"/>
        </w:rPr>
      </w:pPr>
      <w:r>
        <w:rPr>
          <w:rFonts w:ascii="Arial" w:eastAsia="Arial" w:hAnsi="Arial" w:cs="Arial"/>
          <w:sz w:val="22"/>
          <w:szCs w:val="22"/>
          <w:bdr w:val="nil"/>
          <w:lang w:val="fr-FR"/>
        </w:rPr>
        <w:t>L’ordre du groupe pour la mise en œuvre de chaque étape sera déterminé de manière aléatoire par un conseiller technique externe à l’aide d’un générateur de nombres aléatoires. La randomisation sera réalisée chaque année, huit mois avant le déploiement de l’intervention dans le groupe suivant. Cela permettra de mettre en aveugle l’ordre aléatoire des groupes pour le personnel de SI et du MS impliqué dans la mise en œuvre, tout en permettant également de réaliser l’étape de planification annuelle sur huit mois avant le lancement de l’intervention. Chaque groupe représente une préfecture, avec un total de 21 </w:t>
      </w:r>
      <w:r w:rsidR="00563657">
        <w:rPr>
          <w:rFonts w:ascii="Arial" w:eastAsia="Arial" w:hAnsi="Arial" w:cs="Arial"/>
          <w:sz w:val="22"/>
          <w:szCs w:val="22"/>
          <w:bdr w:val="nil"/>
          <w:lang w:val="fr-FR"/>
        </w:rPr>
        <w:t xml:space="preserve">formations </w:t>
      </w:r>
      <w:r>
        <w:rPr>
          <w:rFonts w:ascii="Arial" w:eastAsia="Arial" w:hAnsi="Arial" w:cs="Arial"/>
          <w:sz w:val="22"/>
          <w:szCs w:val="22"/>
          <w:bdr w:val="nil"/>
          <w:lang w:val="fr-FR"/>
        </w:rPr>
        <w:t>sanitaires présélectionnés à travers chacune des quatre préfectures.</w:t>
      </w:r>
    </w:p>
    <w:p w:rsidR="001C0DEE" w:rsidRDefault="001C0DEE">
      <w:pPr>
        <w:pStyle w:val="NoSpacing"/>
        <w:rPr>
          <w:rFonts w:ascii="Arial" w:hAnsi="Arial" w:cs="Arial"/>
          <w:sz w:val="22"/>
          <w:szCs w:val="22"/>
          <w:lang w:val="fr-FR"/>
        </w:rPr>
      </w:pPr>
    </w:p>
    <w:p w:rsidR="001C0DEE" w:rsidRDefault="00767532">
      <w:pPr>
        <w:pStyle w:val="NoSpacing"/>
        <w:outlineLvl w:val="0"/>
        <w:rPr>
          <w:rFonts w:ascii="Arial" w:hAnsi="Arial" w:cs="Arial"/>
          <w:sz w:val="22"/>
          <w:szCs w:val="22"/>
          <w:lang w:val="fr-FR"/>
        </w:rPr>
      </w:pPr>
      <w:r>
        <w:rPr>
          <w:rFonts w:ascii="Arial" w:eastAsia="Arial" w:hAnsi="Arial" w:cs="Arial"/>
          <w:b/>
          <w:bCs/>
          <w:sz w:val="22"/>
          <w:szCs w:val="22"/>
          <w:bdr w:val="nil"/>
          <w:lang w:val="fr-FR"/>
        </w:rPr>
        <w:t xml:space="preserve">Recueil et analyse des données </w:t>
      </w:r>
    </w:p>
    <w:p w:rsidR="001C0DEE" w:rsidRDefault="00767532">
      <w:pPr>
        <w:pStyle w:val="NoSpacing"/>
        <w:rPr>
          <w:rFonts w:ascii="Arial" w:hAnsi="Arial" w:cs="Arial"/>
          <w:i/>
          <w:sz w:val="22"/>
          <w:szCs w:val="22"/>
          <w:lang w:val="fr-FR"/>
        </w:rPr>
      </w:pPr>
      <w:r>
        <w:rPr>
          <w:rFonts w:ascii="Arial" w:eastAsia="Arial" w:hAnsi="Arial" w:cs="Arial"/>
          <w:sz w:val="22"/>
          <w:szCs w:val="22"/>
          <w:bdr w:val="nil"/>
          <w:lang w:val="fr-FR"/>
        </w:rPr>
        <w:lastRenderedPageBreak/>
        <w:t xml:space="preserve">Toutes les mesures seront organisées à l’aide d’un cadre </w:t>
      </w:r>
      <w:r w:rsidR="001A44B9">
        <w:rPr>
          <w:rFonts w:ascii="Arial" w:eastAsia="Arial" w:hAnsi="Arial" w:cs="Arial"/>
          <w:sz w:val="22"/>
          <w:szCs w:val="22"/>
          <w:bdr w:val="nil"/>
          <w:lang w:val="fr-FR"/>
        </w:rPr>
        <w:t>RE-AIM</w:t>
      </w:r>
      <w:r>
        <w:rPr>
          <w:rFonts w:ascii="Arial" w:eastAsia="Arial" w:hAnsi="Arial" w:cs="Arial"/>
          <w:sz w:val="22"/>
          <w:szCs w:val="22"/>
          <w:bdr w:val="nil"/>
          <w:lang w:val="fr-FR"/>
        </w:rPr>
        <w:t xml:space="preserve"> (portée, efficacité, adoption, mise en œuvre et maintien) modifié</w:t>
      </w:r>
      <w:r>
        <w:rPr>
          <w:rFonts w:ascii="Arial" w:hAnsi="Arial" w:cs="Arial"/>
          <w:sz w:val="22"/>
          <w:szCs w:val="22"/>
        </w:rPr>
        <w:fldChar w:fldCharType="begin" w:fldLock="1"/>
      </w:r>
      <w:r w:rsidR="00902B77">
        <w:rPr>
          <w:rFonts w:ascii="Arial" w:hAnsi="Arial" w:cs="Arial"/>
          <w:sz w:val="22"/>
          <w:szCs w:val="22"/>
          <w:lang w:val="fr-FR"/>
        </w:rPr>
        <w:instrText>ADDIN CSL_CITATION {"citationItems":[{"id":"ITEM-1","itemData":{"author":[{"dropping-particle":"","family":"Belza","given":"Basia","non-dropping-particle":"","parse-names":false,"suffix":""},{"dropping-particle":"","family":"Toobert","given":"Deborah","non-dropping-particle":"","parse-names":false,"suffix":""},{"dropping-particle":"","family":"Glasglow","given":"Russell","non-dropping-particle":"","parse-names":false,"suffix":""}],"id":"ITEM-1","issued":{"date-parts":[["0"]]},"title":"RE-AIM for Program Planning: Overview and Applications","type":"report"},"uris":["http://www.mendeley.com/documents/?uuid=d9ca5fac-3322-3e03-a017-d08d191c340e","http://www.mendeley.com/documents/?uuid=2350f855-bbf3-444d-b27f-90e5c51b41f3"]}],"mendeley":{"formattedCitation":"(56)","plainTextFormattedCitation":"(56)","previouslyFormattedCitation":"(57)"},"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(56)</w:t>
      </w:r>
      <w:r>
        <w:rPr>
          <w:rFonts w:ascii="Arial" w:hAnsi="Arial" w:cs="Arial"/>
          <w:sz w:val="22"/>
          <w:szCs w:val="22"/>
        </w:rPr>
        <w:fldChar w:fldCharType="end"/>
      </w:r>
      <w:r>
        <w:rPr>
          <w:rFonts w:ascii="Arial" w:eastAsia="Arial" w:hAnsi="Arial" w:cs="Arial"/>
          <w:sz w:val="22"/>
          <w:szCs w:val="22"/>
          <w:bdr w:val="nil"/>
          <w:lang w:val="fr-FR"/>
        </w:rPr>
        <w:t xml:space="preserve">. Le tableau 4 résume les plans concernant le recueil des données et l’analyse organisés selon l’objectif principal et les domaines </w:t>
      </w:r>
      <w:r w:rsidR="001A44B9">
        <w:rPr>
          <w:rFonts w:ascii="Arial" w:eastAsia="Arial" w:hAnsi="Arial" w:cs="Arial"/>
          <w:sz w:val="22"/>
          <w:szCs w:val="22"/>
          <w:bdr w:val="nil"/>
          <w:lang w:val="fr-FR"/>
        </w:rPr>
        <w:t>RE-AIM</w:t>
      </w:r>
      <w:r>
        <w:rPr>
          <w:rFonts w:ascii="Arial" w:eastAsia="Arial" w:hAnsi="Arial" w:cs="Arial"/>
          <w:sz w:val="22"/>
          <w:szCs w:val="22"/>
          <w:bdr w:val="nil"/>
          <w:lang w:val="fr-FR"/>
        </w:rPr>
        <w:t xml:space="preserve"> adaptés. </w:t>
      </w:r>
    </w:p>
    <w:p w:rsidR="001C0DEE" w:rsidRDefault="001C0DEE">
      <w:pPr>
        <w:pStyle w:val="NoSpacing"/>
        <w:rPr>
          <w:rFonts w:ascii="Arial" w:hAnsi="Arial" w:cs="Arial"/>
          <w:i/>
          <w:sz w:val="22"/>
          <w:szCs w:val="22"/>
          <w:lang w:val="fr-FR"/>
        </w:rPr>
      </w:pPr>
    </w:p>
    <w:p w:rsidR="00815904" w:rsidRPr="004E7259" w:rsidRDefault="00E71481" w:rsidP="004A7E56">
      <w:pPr>
        <w:pStyle w:val="NoSpacing"/>
        <w:spacing w:line="240" w:lineRule="auto"/>
        <w:rPr>
          <w:rFonts w:ascii="Arial" w:hAnsi="Arial" w:cs="Arial"/>
          <w:sz w:val="22"/>
          <w:szCs w:val="22"/>
          <w:lang w:val="fr-FR"/>
        </w:rPr>
      </w:pPr>
      <w:r w:rsidRPr="004A7E56">
        <w:rPr>
          <w:rFonts w:ascii="Arial" w:eastAsia="Arial" w:hAnsi="Arial" w:cs="Arial"/>
          <w:b/>
          <w:bCs/>
          <w:sz w:val="22"/>
          <w:szCs w:val="22"/>
          <w:bdr w:val="nil"/>
          <w:lang w:val="fr-FR"/>
        </w:rPr>
        <w:t>Tableau 4</w:t>
      </w:r>
      <w:r>
        <w:rPr>
          <w:rFonts w:ascii="Arial" w:eastAsia="Arial" w:hAnsi="Arial" w:cs="Arial"/>
          <w:sz w:val="22"/>
          <w:szCs w:val="22"/>
          <w:bdr w:val="nil"/>
          <w:lang w:val="fr-FR"/>
        </w:rPr>
        <w:t> : Résumé des mesures clés de l’étude organisé par domaine à l’aide du cadre d’évaluation RE-AIM</w:t>
      </w:r>
    </w:p>
    <w:tbl>
      <w:tblPr>
        <w:tblW w:w="5096" w:type="pct"/>
        <w:tblLayout w:type="fixed"/>
        <w:tblLook w:val="04A0" w:firstRow="1" w:lastRow="0" w:firstColumn="1" w:lastColumn="0" w:noHBand="0" w:noVBand="1"/>
      </w:tblPr>
      <w:tblGrid>
        <w:gridCol w:w="1200"/>
        <w:gridCol w:w="1564"/>
        <w:gridCol w:w="1749"/>
        <w:gridCol w:w="1749"/>
        <w:gridCol w:w="3498"/>
      </w:tblGrid>
      <w:tr w:rsidR="00762139" w:rsidRPr="00762139" w:rsidTr="00857BE5">
        <w:trPr>
          <w:cantSplit/>
          <w:trHeight w:val="260"/>
          <w:tblHeader/>
        </w:trPr>
        <w:tc>
          <w:tcPr>
            <w:tcW w:w="615" w:type="pct"/>
            <w:tcBorders>
              <w:top w:val="single" w:sz="4" w:space="0" w:color="auto"/>
              <w:bottom w:val="single" w:sz="4" w:space="0" w:color="auto"/>
            </w:tcBorders>
          </w:tcPr>
          <w:p w:rsidR="00895A37" w:rsidRPr="00762139" w:rsidRDefault="00895A37" w:rsidP="00AA5525">
            <w:pPr>
              <w:pStyle w:val="NoSpacing"/>
              <w:spacing w:line="240" w:lineRule="auto"/>
              <w:rPr>
                <w:rFonts w:ascii="Arial" w:eastAsia="Arial" w:hAnsi="Arial" w:cs="Arial"/>
                <w:b/>
                <w:bCs/>
                <w:sz w:val="20"/>
                <w:szCs w:val="20"/>
                <w:bdr w:val="nil"/>
                <w:lang w:val="fr-FR"/>
              </w:rPr>
            </w:pPr>
            <w:r w:rsidRPr="00762139">
              <w:rPr>
                <w:rFonts w:ascii="Arial" w:eastAsia="Arial" w:hAnsi="Arial" w:cs="Arial"/>
                <w:b/>
                <w:bCs/>
                <w:sz w:val="20"/>
                <w:szCs w:val="20"/>
                <w:bdr w:val="nil"/>
                <w:lang w:val="fr-FR"/>
              </w:rPr>
              <w:t>Objectif principal</w:t>
            </w:r>
          </w:p>
        </w:tc>
        <w:tc>
          <w:tcPr>
            <w:tcW w:w="801" w:type="pct"/>
            <w:tcBorders>
              <w:top w:val="single" w:sz="4" w:space="0" w:color="auto"/>
              <w:bottom w:val="single" w:sz="4" w:space="0" w:color="auto"/>
            </w:tcBorders>
            <w:shd w:val="clear" w:color="auto" w:fill="auto"/>
            <w:vAlign w:val="center"/>
          </w:tcPr>
          <w:p w:rsidR="00895A37" w:rsidRPr="00762139" w:rsidRDefault="00895A37" w:rsidP="00AA5525">
            <w:pPr>
              <w:pStyle w:val="NoSpacing"/>
              <w:spacing w:line="240" w:lineRule="auto"/>
              <w:rPr>
                <w:rFonts w:ascii="Arial" w:hAnsi="Arial" w:cs="Arial"/>
                <w:b/>
                <w:sz w:val="20"/>
                <w:szCs w:val="20"/>
                <w:lang w:val="fr-FR"/>
              </w:rPr>
            </w:pPr>
            <w:r w:rsidRPr="00762139">
              <w:rPr>
                <w:rFonts w:ascii="Arial" w:eastAsia="Arial" w:hAnsi="Arial" w:cs="Arial"/>
                <w:b/>
                <w:bCs/>
                <w:sz w:val="20"/>
                <w:szCs w:val="20"/>
                <w:bdr w:val="nil"/>
                <w:lang w:val="fr-FR"/>
              </w:rPr>
              <w:t>Domaine du cadre RE-AIM</w:t>
            </w:r>
          </w:p>
        </w:tc>
        <w:tc>
          <w:tcPr>
            <w:tcW w:w="896" w:type="pct"/>
            <w:tcBorders>
              <w:top w:val="single" w:sz="4" w:space="0" w:color="auto"/>
              <w:bottom w:val="single" w:sz="4" w:space="0" w:color="auto"/>
            </w:tcBorders>
            <w:shd w:val="clear" w:color="auto" w:fill="auto"/>
            <w:vAlign w:val="center"/>
          </w:tcPr>
          <w:p w:rsidR="00895A37" w:rsidRPr="00762139" w:rsidRDefault="00895A37" w:rsidP="00AA5525">
            <w:pPr>
              <w:pStyle w:val="NoSpacing"/>
              <w:spacing w:line="240" w:lineRule="auto"/>
              <w:rPr>
                <w:rFonts w:ascii="Arial" w:eastAsia="Arial" w:hAnsi="Arial" w:cs="Arial"/>
                <w:b/>
                <w:bCs/>
                <w:sz w:val="20"/>
                <w:szCs w:val="20"/>
                <w:bdr w:val="nil"/>
                <w:lang w:val="fr-FR"/>
              </w:rPr>
            </w:pPr>
            <w:r w:rsidRPr="00762139">
              <w:rPr>
                <w:rFonts w:ascii="Arial" w:eastAsia="Arial" w:hAnsi="Arial" w:cs="Arial"/>
                <w:b/>
                <w:bCs/>
                <w:sz w:val="20"/>
                <w:szCs w:val="20"/>
                <w:bdr w:val="nil"/>
                <w:lang w:val="fr-FR"/>
              </w:rPr>
              <w:t>Résultat(s)/Indicateur(s)</w:t>
            </w:r>
          </w:p>
        </w:tc>
        <w:tc>
          <w:tcPr>
            <w:tcW w:w="896" w:type="pct"/>
            <w:tcBorders>
              <w:top w:val="single" w:sz="4" w:space="0" w:color="auto"/>
              <w:bottom w:val="single" w:sz="4" w:space="0" w:color="auto"/>
            </w:tcBorders>
            <w:shd w:val="clear" w:color="auto" w:fill="auto"/>
            <w:vAlign w:val="center"/>
          </w:tcPr>
          <w:p w:rsidR="00895A37" w:rsidRPr="00762139" w:rsidRDefault="00895A37" w:rsidP="00AA5525">
            <w:pPr>
              <w:pStyle w:val="NoSpacing"/>
              <w:spacing w:line="240" w:lineRule="auto"/>
              <w:rPr>
                <w:rFonts w:ascii="Arial" w:hAnsi="Arial" w:cs="Arial"/>
                <w:b/>
                <w:sz w:val="20"/>
                <w:szCs w:val="20"/>
              </w:rPr>
            </w:pPr>
            <w:r w:rsidRPr="00762139">
              <w:rPr>
                <w:rFonts w:ascii="Arial" w:eastAsia="Arial" w:hAnsi="Arial" w:cs="Arial"/>
                <w:b/>
                <w:bCs/>
                <w:sz w:val="20"/>
                <w:szCs w:val="20"/>
                <w:bdr w:val="nil"/>
                <w:lang w:val="fr-FR"/>
              </w:rPr>
              <w:t>Source des données</w:t>
            </w:r>
          </w:p>
        </w:tc>
        <w:tc>
          <w:tcPr>
            <w:tcW w:w="1792" w:type="pct"/>
            <w:tcBorders>
              <w:top w:val="single" w:sz="4" w:space="0" w:color="auto"/>
              <w:bottom w:val="single" w:sz="4" w:space="0" w:color="auto"/>
            </w:tcBorders>
            <w:shd w:val="clear" w:color="auto" w:fill="auto"/>
            <w:vAlign w:val="center"/>
          </w:tcPr>
          <w:p w:rsidR="00895A37" w:rsidRPr="00762139" w:rsidRDefault="00895A37" w:rsidP="00AA5525">
            <w:pPr>
              <w:pStyle w:val="NoSpacing"/>
              <w:spacing w:line="240" w:lineRule="auto"/>
              <w:rPr>
                <w:rFonts w:ascii="Arial" w:hAnsi="Arial" w:cs="Arial"/>
                <w:b/>
                <w:sz w:val="20"/>
                <w:szCs w:val="20"/>
              </w:rPr>
            </w:pPr>
            <w:r w:rsidRPr="00762139">
              <w:rPr>
                <w:rFonts w:ascii="Arial" w:eastAsia="Arial" w:hAnsi="Arial" w:cs="Arial"/>
                <w:b/>
                <w:bCs/>
                <w:sz w:val="20"/>
                <w:szCs w:val="20"/>
                <w:bdr w:val="nil"/>
                <w:lang w:val="fr-FR"/>
              </w:rPr>
              <w:t>Définition/Explication de l’indicateur</w:t>
            </w:r>
          </w:p>
        </w:tc>
      </w:tr>
      <w:tr w:rsidR="00AA5525" w:rsidRPr="00762139" w:rsidTr="00857BE5">
        <w:trPr>
          <w:trHeight w:val="272"/>
        </w:trPr>
        <w:tc>
          <w:tcPr>
            <w:tcW w:w="615" w:type="pct"/>
            <w:vMerge w:val="restart"/>
            <w:tcBorders>
              <w:top w:val="single" w:sz="4" w:space="0" w:color="auto"/>
            </w:tcBorders>
          </w:tcPr>
          <w:p w:rsidR="00AA5525" w:rsidRPr="00762139" w:rsidRDefault="00AA5525"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i/>
                <w:iCs/>
                <w:sz w:val="20"/>
                <w:szCs w:val="20"/>
                <w:bdr w:val="nil"/>
                <w:lang w:val="fr-FR"/>
              </w:rPr>
              <w:t>Objectif principal 2 : stratégie de mise en œuvre</w:t>
            </w:r>
            <w:r w:rsidRPr="00762139">
              <w:rPr>
                <w:rFonts w:ascii="Arial" w:eastAsia="Arial" w:hAnsi="Arial" w:cs="Arial"/>
                <w:sz w:val="20"/>
                <w:szCs w:val="20"/>
                <w:bdr w:val="nil"/>
                <w:lang w:val="fr-FR"/>
              </w:rPr>
              <w:t> </w:t>
            </w:r>
            <w:r w:rsidRPr="00762139" w:rsidDel="004A7E56">
              <w:rPr>
                <w:rFonts w:ascii="Arial" w:eastAsia="Arial" w:hAnsi="Arial" w:cs="Arial"/>
                <w:i/>
                <w:iCs/>
                <w:sz w:val="20"/>
                <w:szCs w:val="20"/>
                <w:bdr w:val="nil"/>
                <w:lang w:val="fr-FR"/>
              </w:rPr>
              <w:t xml:space="preserve"> </w:t>
            </w:r>
          </w:p>
        </w:tc>
        <w:tc>
          <w:tcPr>
            <w:tcW w:w="801" w:type="pct"/>
            <w:vMerge w:val="restart"/>
            <w:tcBorders>
              <w:top w:val="single" w:sz="4" w:space="0" w:color="auto"/>
            </w:tcBorders>
            <w:shd w:val="clear" w:color="auto" w:fill="auto"/>
          </w:tcPr>
          <w:p w:rsidR="00AA5525" w:rsidRPr="00762139" w:rsidRDefault="00AA5525"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Portée</w:t>
            </w:r>
          </w:p>
        </w:tc>
        <w:tc>
          <w:tcPr>
            <w:tcW w:w="3584" w:type="pct"/>
            <w:gridSpan w:val="3"/>
            <w:tcBorders>
              <w:top w:val="single" w:sz="4" w:space="0" w:color="auto"/>
            </w:tcBorders>
            <w:noWrap/>
          </w:tcPr>
          <w:p w:rsidR="00AA5525" w:rsidRPr="00AA5525" w:rsidRDefault="00AA5525" w:rsidP="00AA5525">
            <w:pPr>
              <w:pStyle w:val="NoSpacing"/>
              <w:spacing w:line="240" w:lineRule="auto"/>
              <w:rPr>
                <w:rFonts w:ascii="Arial" w:hAnsi="Arial" w:cs="Arial"/>
                <w:i/>
                <w:sz w:val="20"/>
                <w:szCs w:val="20"/>
              </w:rPr>
            </w:pPr>
            <w:r w:rsidRPr="00AA5525">
              <w:rPr>
                <w:rFonts w:ascii="Arial" w:eastAsia="Arial" w:hAnsi="Arial" w:cs="Arial"/>
                <w:i/>
                <w:iCs/>
                <w:sz w:val="20"/>
                <w:szCs w:val="20"/>
                <w:bdr w:val="nil"/>
                <w:lang w:val="fr-FR"/>
              </w:rPr>
              <w:t xml:space="preserve">Couverture du service sanitaire  </w:t>
            </w:r>
          </w:p>
        </w:tc>
      </w:tr>
      <w:tr w:rsidR="00762139" w:rsidRPr="002316CE" w:rsidTr="00857BE5">
        <w:trPr>
          <w:trHeight w:val="886"/>
        </w:trPr>
        <w:tc>
          <w:tcPr>
            <w:tcW w:w="615" w:type="pct"/>
            <w:vMerge/>
          </w:tcPr>
          <w:p w:rsidR="00895A37" w:rsidRPr="00762139" w:rsidRDefault="00895A37" w:rsidP="00AA5525">
            <w:pPr>
              <w:pStyle w:val="NoSpacing"/>
              <w:spacing w:line="240" w:lineRule="auto"/>
              <w:rPr>
                <w:rFonts w:ascii="Arial" w:hAnsi="Arial" w:cs="Arial"/>
                <w:sz w:val="20"/>
                <w:szCs w:val="20"/>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Visites à domicile des ASC</w:t>
            </w:r>
            <w:r w:rsidRPr="00762139">
              <w:rPr>
                <w:rFonts w:ascii="Arial" w:hAnsi="Arial" w:cs="Arial"/>
                <w:sz w:val="20"/>
                <w:szCs w:val="20"/>
                <w:lang w:val="fr-FR"/>
              </w:rPr>
              <w:t xml:space="preserve"> </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 participants rapportant une visite à domicile d’un ASC de SI au cours de l’année précédente.</w:t>
            </w:r>
          </w:p>
        </w:tc>
      </w:tr>
      <w:tr w:rsidR="00762139" w:rsidRPr="002316CE" w:rsidTr="00857BE5">
        <w:trPr>
          <w:trHeight w:val="590"/>
        </w:trPr>
        <w:tc>
          <w:tcPr>
            <w:tcW w:w="615" w:type="pct"/>
            <w:vMerge/>
          </w:tcPr>
          <w:p w:rsidR="00895A37" w:rsidRPr="00762139" w:rsidRDefault="00895A37" w:rsidP="00AA5525">
            <w:pPr>
              <w:pStyle w:val="NoSpacing"/>
              <w:spacing w:line="240" w:lineRule="auto"/>
              <w:rPr>
                <w:rFonts w:ascii="Arial" w:hAnsi="Arial" w:cs="Arial"/>
                <w:sz w:val="20"/>
                <w:szCs w:val="20"/>
                <w:lang w:val="fr-FR"/>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Traitement à domicile administré par un ASC</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 participants rapportant un traitement à domicile administré par un ASC de SI au cours de l’année précédente.</w:t>
            </w:r>
          </w:p>
        </w:tc>
      </w:tr>
      <w:tr w:rsidR="00762139" w:rsidRPr="002316CE" w:rsidTr="00857BE5">
        <w:trPr>
          <w:trHeight w:val="590"/>
        </w:trPr>
        <w:tc>
          <w:tcPr>
            <w:tcW w:w="615" w:type="pct"/>
            <w:vMerge/>
          </w:tcPr>
          <w:p w:rsidR="00895A37" w:rsidRPr="00762139" w:rsidRDefault="00895A37" w:rsidP="00AA5525">
            <w:pPr>
              <w:pStyle w:val="NoSpacing"/>
              <w:spacing w:line="240" w:lineRule="auto"/>
              <w:rPr>
                <w:rFonts w:ascii="Arial" w:hAnsi="Arial" w:cs="Arial"/>
                <w:sz w:val="20"/>
                <w:szCs w:val="20"/>
                <w:lang w:val="fr-FR"/>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54714D" w:rsidP="00AA5525">
            <w:pPr>
              <w:pStyle w:val="NoSpacing"/>
              <w:spacing w:line="240" w:lineRule="auto"/>
              <w:rPr>
                <w:rFonts w:ascii="Arial" w:hAnsi="Arial" w:cs="Arial"/>
                <w:sz w:val="20"/>
                <w:szCs w:val="20"/>
              </w:rPr>
            </w:pPr>
            <w:r>
              <w:rPr>
                <w:rFonts w:ascii="Arial" w:eastAsia="Arial" w:hAnsi="Arial" w:cs="Arial"/>
                <w:sz w:val="20"/>
                <w:szCs w:val="20"/>
                <w:bdr w:val="nil"/>
                <w:lang w:val="fr-FR"/>
              </w:rPr>
              <w:t xml:space="preserve">Traitement au centre de santé </w:t>
            </w:r>
          </w:p>
          <w:p w:rsidR="00895A37" w:rsidRPr="00762139" w:rsidRDefault="00895A37" w:rsidP="00AA5525">
            <w:pPr>
              <w:pStyle w:val="NoSpacing"/>
              <w:spacing w:line="240" w:lineRule="auto"/>
              <w:rPr>
                <w:rFonts w:ascii="Arial" w:eastAsia="Arial" w:hAnsi="Arial" w:cs="Arial"/>
                <w:sz w:val="20"/>
                <w:szCs w:val="20"/>
                <w:bdr w:val="nil"/>
                <w:lang w:val="fr-FR"/>
              </w:rPr>
            </w:pP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 xml:space="preserve">Proportion de participants rapportant des soins reçus dans un formation sanitaire au cours de l’année précédente. </w:t>
            </w:r>
          </w:p>
        </w:tc>
      </w:tr>
      <w:tr w:rsidR="00AA5525" w:rsidRPr="002316CE" w:rsidTr="00857BE5">
        <w:trPr>
          <w:trHeight w:val="300"/>
        </w:trPr>
        <w:tc>
          <w:tcPr>
            <w:tcW w:w="615" w:type="pct"/>
            <w:vMerge/>
          </w:tcPr>
          <w:p w:rsidR="00AA5525" w:rsidRPr="00762139" w:rsidRDefault="00AA5525" w:rsidP="00AA5525">
            <w:pPr>
              <w:pStyle w:val="NoSpacing"/>
              <w:spacing w:line="240" w:lineRule="auto"/>
              <w:rPr>
                <w:rFonts w:ascii="Arial" w:hAnsi="Arial" w:cs="Arial"/>
                <w:sz w:val="20"/>
                <w:szCs w:val="20"/>
                <w:lang w:val="fr-FR"/>
              </w:rPr>
            </w:pPr>
          </w:p>
        </w:tc>
        <w:tc>
          <w:tcPr>
            <w:tcW w:w="801" w:type="pct"/>
            <w:vMerge/>
            <w:shd w:val="clear" w:color="auto" w:fill="auto"/>
          </w:tcPr>
          <w:p w:rsidR="00AA5525" w:rsidRPr="00762139" w:rsidRDefault="00AA5525" w:rsidP="00AA5525">
            <w:pPr>
              <w:pStyle w:val="NoSpacing"/>
              <w:spacing w:line="240" w:lineRule="auto"/>
              <w:rPr>
                <w:rFonts w:ascii="Arial" w:hAnsi="Arial" w:cs="Arial"/>
                <w:sz w:val="20"/>
                <w:szCs w:val="20"/>
                <w:lang w:val="fr-FR"/>
              </w:rPr>
            </w:pPr>
          </w:p>
        </w:tc>
        <w:tc>
          <w:tcPr>
            <w:tcW w:w="3584" w:type="pct"/>
            <w:gridSpan w:val="3"/>
          </w:tcPr>
          <w:p w:rsidR="00AA5525" w:rsidRPr="00762139" w:rsidRDefault="0054714D" w:rsidP="00AA5525">
            <w:pPr>
              <w:pStyle w:val="NoSpacing"/>
              <w:spacing w:line="240" w:lineRule="auto"/>
              <w:rPr>
                <w:rFonts w:ascii="Arial" w:hAnsi="Arial" w:cs="Arial"/>
                <w:i/>
                <w:sz w:val="20"/>
                <w:szCs w:val="20"/>
                <w:lang w:val="fr-FR"/>
              </w:rPr>
            </w:pPr>
            <w:r>
              <w:rPr>
                <w:rFonts w:ascii="Arial" w:eastAsia="Arial" w:hAnsi="Arial" w:cs="Arial"/>
                <w:i/>
                <w:iCs/>
                <w:sz w:val="20"/>
                <w:szCs w:val="20"/>
                <w:bdr w:val="nil"/>
                <w:lang w:val="fr-FR"/>
              </w:rPr>
              <w:t xml:space="preserve">Rapidité d’accès </w:t>
            </w:r>
            <w:r w:rsidR="00AA5525" w:rsidRPr="00762139">
              <w:rPr>
                <w:rFonts w:ascii="Arial" w:eastAsia="Arial" w:hAnsi="Arial" w:cs="Arial"/>
                <w:i/>
                <w:iCs/>
                <w:sz w:val="20"/>
                <w:szCs w:val="20"/>
                <w:bdr w:val="nil"/>
                <w:lang w:val="fr-FR"/>
              </w:rPr>
              <w:t>aux services destinés à la santé infantile</w:t>
            </w:r>
          </w:p>
        </w:tc>
      </w:tr>
      <w:tr w:rsidR="00762139" w:rsidRPr="002316CE" w:rsidTr="00857BE5">
        <w:trPr>
          <w:trHeight w:val="360"/>
        </w:trPr>
        <w:tc>
          <w:tcPr>
            <w:tcW w:w="615" w:type="pct"/>
            <w:vMerge/>
          </w:tcPr>
          <w:p w:rsidR="00895A37" w:rsidRPr="00762139" w:rsidRDefault="00895A37" w:rsidP="00AA5525">
            <w:pPr>
              <w:pStyle w:val="NoSpacing"/>
              <w:spacing w:line="240" w:lineRule="auto"/>
              <w:rPr>
                <w:rFonts w:ascii="Arial" w:hAnsi="Arial" w:cs="Arial"/>
                <w:sz w:val="20"/>
                <w:szCs w:val="20"/>
                <w:lang w:val="fr-FR"/>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 xml:space="preserve">Couverture du paludisme </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d’enfants âgés de moins de cinq ans rapportés comme étant fébriles et recevant un traitement conforme aux directives dans les 24 heures suivant l’apparition des symptômes.</w:t>
            </w:r>
          </w:p>
        </w:tc>
      </w:tr>
      <w:tr w:rsidR="00762139" w:rsidRPr="002316CE" w:rsidTr="00857BE5">
        <w:trPr>
          <w:trHeight w:val="360"/>
        </w:trPr>
        <w:tc>
          <w:tcPr>
            <w:tcW w:w="615" w:type="pct"/>
            <w:vMerge/>
          </w:tcPr>
          <w:p w:rsidR="00895A37" w:rsidRPr="00762139" w:rsidRDefault="00895A37" w:rsidP="00AA5525">
            <w:pPr>
              <w:pStyle w:val="NoSpacing"/>
              <w:spacing w:line="240" w:lineRule="auto"/>
              <w:rPr>
                <w:rFonts w:ascii="Arial" w:hAnsi="Arial" w:cs="Arial"/>
                <w:sz w:val="20"/>
                <w:szCs w:val="20"/>
                <w:lang w:val="fr-FR"/>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 xml:space="preserve">Couverture de la pneumonie </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d’enfants âgés de moins de cinq ans présentant une toux et proportion de ceux recevant un traitement conforme aux directives dans les 24 heures suivant l’apparition des symptômes.</w:t>
            </w:r>
          </w:p>
        </w:tc>
      </w:tr>
      <w:tr w:rsidR="00762139" w:rsidRPr="002316CE" w:rsidTr="00857BE5">
        <w:trPr>
          <w:trHeight w:val="360"/>
        </w:trPr>
        <w:tc>
          <w:tcPr>
            <w:tcW w:w="615" w:type="pct"/>
            <w:vMerge/>
          </w:tcPr>
          <w:p w:rsidR="00895A37" w:rsidRPr="00762139" w:rsidRDefault="00895A37" w:rsidP="00AA5525">
            <w:pPr>
              <w:pStyle w:val="NoSpacing"/>
              <w:spacing w:line="240" w:lineRule="auto"/>
              <w:rPr>
                <w:rFonts w:ascii="Arial" w:hAnsi="Arial" w:cs="Arial"/>
                <w:sz w:val="20"/>
                <w:szCs w:val="20"/>
                <w:lang w:val="fr-FR"/>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 xml:space="preserve">Couverture des maladies gastro-intestinales </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d’enfants âgés de moins de cinq ans présentant une diarrhée et recevant un traitement conforme aux directives dans les 24 heures suivant l’apparition des symptômes.</w:t>
            </w:r>
          </w:p>
        </w:tc>
      </w:tr>
      <w:tr w:rsidR="00857BE5"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 xml:space="preserve">Couverture de la malnutrition </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57BE5" w:rsidRPr="00857BE5"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Proportion d’enfants âgés de moins de cinq ans présentant une malnutrition et recevant un traitement efficace.</w:t>
            </w:r>
          </w:p>
        </w:tc>
      </w:tr>
      <w:tr w:rsidR="00857BE5" w:rsidRPr="002316CE" w:rsidTr="00857BE5">
        <w:trPr>
          <w:trHeight w:val="360"/>
        </w:trPr>
        <w:tc>
          <w:tcPr>
            <w:tcW w:w="615" w:type="pct"/>
            <w:vMerge/>
            <w:tcBorders>
              <w:top w:val="single" w:sz="4" w:space="0" w:color="auto"/>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top w:val="single" w:sz="4" w:space="0" w:color="auto"/>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tcBorders>
              <w:bottom w:val="single" w:sz="4" w:space="0" w:color="auto"/>
            </w:tcBorders>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 xml:space="preserve">Estimation de couverture en ce </w:t>
            </w:r>
            <w:r w:rsidR="0054714D">
              <w:rPr>
                <w:rFonts w:ascii="Arial" w:eastAsia="Arial" w:hAnsi="Arial" w:cs="Arial"/>
                <w:sz w:val="20"/>
                <w:szCs w:val="20"/>
                <w:bdr w:val="nil"/>
                <w:lang w:val="fr-FR"/>
              </w:rPr>
              <w:t>qui concerne les soins prénataux</w:t>
            </w:r>
          </w:p>
        </w:tc>
        <w:tc>
          <w:tcPr>
            <w:tcW w:w="896" w:type="pct"/>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tcBorders>
              <w:bottom w:val="single" w:sz="4" w:space="0" w:color="auto"/>
            </w:tcBorders>
            <w:shd w:val="clear" w:color="auto" w:fill="auto"/>
          </w:tcPr>
          <w:p w:rsidR="00895A37"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Proportion de femmes enceintes ayant assisté à q</w:t>
            </w:r>
            <w:r w:rsidR="0054714D">
              <w:rPr>
                <w:rFonts w:ascii="Arial" w:eastAsia="Arial" w:hAnsi="Arial" w:cs="Arial"/>
                <w:sz w:val="20"/>
                <w:szCs w:val="20"/>
                <w:bdr w:val="nil"/>
                <w:lang w:val="fr-FR"/>
              </w:rPr>
              <w:t>uatre visites de soins prénataux</w:t>
            </w:r>
            <w:r w:rsidRPr="00762139">
              <w:rPr>
                <w:rFonts w:ascii="Arial" w:eastAsia="Arial" w:hAnsi="Arial" w:cs="Arial"/>
                <w:sz w:val="20"/>
                <w:szCs w:val="20"/>
                <w:bdr w:val="nil"/>
                <w:lang w:val="fr-FR"/>
              </w:rPr>
              <w:t xml:space="preserve"> au cours des deux dernières années.</w:t>
            </w:r>
          </w:p>
          <w:p w:rsidR="00857BE5" w:rsidRDefault="00857BE5" w:rsidP="00AA5525">
            <w:pPr>
              <w:pStyle w:val="NoSpacing"/>
              <w:spacing w:line="240" w:lineRule="auto"/>
              <w:rPr>
                <w:rFonts w:ascii="Arial" w:hAnsi="Arial" w:cs="Arial"/>
                <w:sz w:val="20"/>
                <w:szCs w:val="20"/>
                <w:lang w:val="fr-FR"/>
              </w:rPr>
            </w:pPr>
          </w:p>
          <w:p w:rsidR="00857BE5" w:rsidRPr="00762139" w:rsidRDefault="00857BE5" w:rsidP="00AA5525">
            <w:pPr>
              <w:pStyle w:val="NoSpacing"/>
              <w:spacing w:line="240" w:lineRule="auto"/>
              <w:rPr>
                <w:rFonts w:ascii="Arial" w:hAnsi="Arial" w:cs="Arial"/>
                <w:sz w:val="20"/>
                <w:szCs w:val="20"/>
                <w:lang w:val="fr-FR"/>
              </w:rPr>
            </w:pPr>
          </w:p>
        </w:tc>
      </w:tr>
      <w:tr w:rsidR="00857BE5" w:rsidRPr="002316CE" w:rsidTr="00857BE5">
        <w:trPr>
          <w:trHeight w:val="360"/>
        </w:trPr>
        <w:tc>
          <w:tcPr>
            <w:tcW w:w="615" w:type="pct"/>
            <w:vMerge/>
            <w:tcBorders>
              <w:top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top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tcBorders>
              <w:top w:val="single" w:sz="4" w:space="0" w:color="auto"/>
            </w:tcBorders>
            <w:shd w:val="clear" w:color="auto" w:fill="auto"/>
          </w:tcPr>
          <w:p w:rsidR="00895A37" w:rsidRDefault="00895A37" w:rsidP="0054714D">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P</w:t>
            </w:r>
            <w:r w:rsidR="0054714D">
              <w:rPr>
                <w:rFonts w:ascii="Arial" w:eastAsia="Arial" w:hAnsi="Arial" w:cs="Arial"/>
                <w:sz w:val="20"/>
                <w:szCs w:val="20"/>
                <w:bdr w:val="nil"/>
                <w:lang w:val="fr-FR"/>
              </w:rPr>
              <w:t xml:space="preserve">ourcentage de </w:t>
            </w:r>
            <w:r w:rsidR="0054714D">
              <w:rPr>
                <w:rFonts w:ascii="Arial" w:eastAsia="Arial" w:hAnsi="Arial" w:cs="Arial"/>
                <w:sz w:val="20"/>
                <w:szCs w:val="20"/>
                <w:bdr w:val="nil"/>
                <w:lang w:val="fr-FR"/>
              </w:rPr>
              <w:lastRenderedPageBreak/>
              <w:t xml:space="preserve">naissance dans une formation sanitaire </w:t>
            </w:r>
          </w:p>
          <w:p w:rsidR="0054714D" w:rsidRPr="00762139" w:rsidRDefault="0054714D" w:rsidP="0054714D">
            <w:pPr>
              <w:pStyle w:val="NoSpacing"/>
              <w:spacing w:line="240" w:lineRule="auto"/>
              <w:rPr>
                <w:rFonts w:ascii="Arial" w:eastAsia="Arial" w:hAnsi="Arial" w:cs="Arial"/>
                <w:sz w:val="20"/>
                <w:szCs w:val="20"/>
                <w:bdr w:val="nil"/>
                <w:lang w:val="fr-FR"/>
              </w:rPr>
            </w:pPr>
          </w:p>
        </w:tc>
        <w:tc>
          <w:tcPr>
            <w:tcW w:w="896" w:type="pct"/>
            <w:tcBorders>
              <w:top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lastRenderedPageBreak/>
              <w:t xml:space="preserve">Enquête </w:t>
            </w:r>
            <w:r w:rsidRPr="00762139">
              <w:rPr>
                <w:rFonts w:ascii="Arial" w:eastAsia="Arial" w:hAnsi="Arial" w:cs="Arial"/>
                <w:sz w:val="20"/>
                <w:szCs w:val="20"/>
                <w:bdr w:val="nil"/>
                <w:lang w:val="fr-FR"/>
              </w:rPr>
              <w:lastRenderedPageBreak/>
              <w:t>communautaire auprès des ménages</w:t>
            </w:r>
          </w:p>
        </w:tc>
        <w:tc>
          <w:tcPr>
            <w:tcW w:w="1792" w:type="pct"/>
            <w:tcBorders>
              <w:top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lastRenderedPageBreak/>
              <w:t xml:space="preserve">Proportion de femmes enceintes </w:t>
            </w:r>
            <w:r w:rsidRPr="00762139">
              <w:rPr>
                <w:rFonts w:ascii="Arial" w:eastAsia="Arial" w:hAnsi="Arial" w:cs="Arial"/>
                <w:sz w:val="20"/>
                <w:szCs w:val="20"/>
                <w:bdr w:val="nil"/>
                <w:lang w:val="fr-FR"/>
              </w:rPr>
              <w:lastRenderedPageBreak/>
              <w:t>ayant accouché dans une formation sanitaire au cours des deux dernières années.</w:t>
            </w:r>
          </w:p>
        </w:tc>
      </w:tr>
      <w:tr w:rsidR="00762139" w:rsidRPr="002316CE" w:rsidTr="00857BE5">
        <w:trPr>
          <w:trHeight w:val="1007"/>
        </w:trPr>
        <w:tc>
          <w:tcPr>
            <w:tcW w:w="615" w:type="pct"/>
            <w:vMerge/>
          </w:tcPr>
          <w:p w:rsidR="00895A37" w:rsidRPr="00762139" w:rsidRDefault="00895A37" w:rsidP="00AA5525">
            <w:pPr>
              <w:pStyle w:val="NoSpacing"/>
              <w:spacing w:line="240" w:lineRule="auto"/>
              <w:rPr>
                <w:rFonts w:ascii="Arial" w:hAnsi="Arial" w:cs="Arial"/>
                <w:sz w:val="20"/>
                <w:szCs w:val="20"/>
                <w:lang w:val="fr-FR"/>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 xml:space="preserve">Pourcentage de naissances à domicile </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 femmes enceintes ayant accouché à domicile au cours des deux dernières années.</w:t>
            </w:r>
          </w:p>
        </w:tc>
      </w:tr>
      <w:tr w:rsidR="00762139" w:rsidRPr="002316CE" w:rsidTr="00857BE5">
        <w:trPr>
          <w:trHeight w:val="360"/>
        </w:trPr>
        <w:tc>
          <w:tcPr>
            <w:tcW w:w="615" w:type="pct"/>
            <w:vMerge/>
          </w:tcPr>
          <w:p w:rsidR="00895A37" w:rsidRPr="00762139" w:rsidRDefault="00895A37" w:rsidP="00AA5525">
            <w:pPr>
              <w:pStyle w:val="NoSpacing"/>
              <w:spacing w:line="240" w:lineRule="auto"/>
              <w:rPr>
                <w:rFonts w:ascii="Arial" w:hAnsi="Arial" w:cs="Arial"/>
                <w:sz w:val="20"/>
                <w:szCs w:val="20"/>
                <w:lang w:val="fr-FR"/>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Estimation de couverture en ce q</w:t>
            </w:r>
            <w:r w:rsidR="0054714D">
              <w:rPr>
                <w:rFonts w:ascii="Arial" w:eastAsia="Arial" w:hAnsi="Arial" w:cs="Arial"/>
                <w:sz w:val="20"/>
                <w:szCs w:val="20"/>
                <w:bdr w:val="nil"/>
                <w:lang w:val="fr-FR"/>
              </w:rPr>
              <w:t>ui concerne les soins postnataux</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 femmes en période postpartum</w:t>
            </w:r>
            <w:r w:rsidR="0054714D">
              <w:rPr>
                <w:rFonts w:ascii="Arial" w:eastAsia="Arial" w:hAnsi="Arial" w:cs="Arial"/>
                <w:sz w:val="20"/>
                <w:szCs w:val="20"/>
                <w:bdr w:val="nil"/>
                <w:lang w:val="fr-FR"/>
              </w:rPr>
              <w:t xml:space="preserve"> ayant reçu des soins postnataux</w:t>
            </w:r>
            <w:r w:rsidRPr="00762139">
              <w:rPr>
                <w:rFonts w:ascii="Arial" w:eastAsia="Arial" w:hAnsi="Arial" w:cs="Arial"/>
                <w:sz w:val="20"/>
                <w:szCs w:val="20"/>
                <w:bdr w:val="nil"/>
                <w:lang w:val="fr-FR"/>
              </w:rPr>
              <w:t xml:space="preserve"> au cours des deux dernières années.</w:t>
            </w:r>
          </w:p>
        </w:tc>
      </w:tr>
      <w:tr w:rsidR="00AA5525" w:rsidRPr="00762139" w:rsidTr="00857BE5">
        <w:trPr>
          <w:trHeight w:val="270"/>
        </w:trPr>
        <w:tc>
          <w:tcPr>
            <w:tcW w:w="615" w:type="pct"/>
            <w:vMerge w:val="restart"/>
            <w:tcBorders>
              <w:bottom w:val="single" w:sz="4" w:space="0" w:color="auto"/>
            </w:tcBorders>
          </w:tcPr>
          <w:p w:rsidR="00AA5525" w:rsidRPr="00762139" w:rsidRDefault="00AA5525" w:rsidP="00AA5525">
            <w:pPr>
              <w:pStyle w:val="NoSpacing"/>
              <w:spacing w:line="240" w:lineRule="auto"/>
              <w:outlineLvl w:val="0"/>
              <w:rPr>
                <w:rFonts w:ascii="Arial" w:hAnsi="Arial" w:cs="Arial"/>
                <w:i/>
                <w:iCs/>
                <w:sz w:val="20"/>
                <w:szCs w:val="20"/>
                <w:lang w:val="fr-FR"/>
              </w:rPr>
            </w:pPr>
            <w:r w:rsidRPr="00762139">
              <w:rPr>
                <w:rFonts w:ascii="Arial" w:eastAsia="Arial" w:hAnsi="Arial" w:cs="Arial"/>
                <w:i/>
                <w:iCs/>
                <w:sz w:val="20"/>
                <w:szCs w:val="20"/>
                <w:bdr w:val="nil"/>
                <w:lang w:val="fr-FR"/>
              </w:rPr>
              <w:t>Objectif principal 1 : efficacité</w:t>
            </w:r>
          </w:p>
          <w:p w:rsidR="00AA5525" w:rsidRPr="00762139" w:rsidRDefault="00AA5525" w:rsidP="00AA5525">
            <w:pPr>
              <w:pStyle w:val="NoSpacing"/>
              <w:spacing w:line="240" w:lineRule="auto"/>
              <w:rPr>
                <w:rFonts w:ascii="Arial" w:eastAsia="Arial" w:hAnsi="Arial" w:cs="Arial"/>
                <w:sz w:val="20"/>
                <w:szCs w:val="20"/>
                <w:bdr w:val="nil"/>
                <w:lang w:val="fr-FR"/>
              </w:rPr>
            </w:pPr>
          </w:p>
        </w:tc>
        <w:tc>
          <w:tcPr>
            <w:tcW w:w="801" w:type="pct"/>
            <w:vMerge w:val="restart"/>
            <w:tcBorders>
              <w:bottom w:val="single" w:sz="4" w:space="0" w:color="auto"/>
            </w:tcBorders>
            <w:shd w:val="clear" w:color="auto" w:fill="auto"/>
          </w:tcPr>
          <w:p w:rsidR="00AA5525" w:rsidRPr="00762139" w:rsidRDefault="00AA5525"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Efficacité</w:t>
            </w:r>
          </w:p>
        </w:tc>
        <w:tc>
          <w:tcPr>
            <w:tcW w:w="3584" w:type="pct"/>
            <w:gridSpan w:val="3"/>
          </w:tcPr>
          <w:p w:rsidR="00AA5525" w:rsidRPr="00762139" w:rsidRDefault="00AA5525" w:rsidP="00AA5525">
            <w:pPr>
              <w:pStyle w:val="NoSpacing"/>
              <w:spacing w:line="240" w:lineRule="auto"/>
              <w:rPr>
                <w:rFonts w:ascii="Arial" w:hAnsi="Arial" w:cs="Arial"/>
                <w:sz w:val="20"/>
                <w:szCs w:val="20"/>
              </w:rPr>
            </w:pPr>
            <w:r w:rsidRPr="00762139">
              <w:rPr>
                <w:rFonts w:ascii="Arial" w:eastAsia="Arial" w:hAnsi="Arial" w:cs="Arial"/>
                <w:i/>
                <w:iCs/>
                <w:sz w:val="20"/>
                <w:szCs w:val="20"/>
                <w:bdr w:val="nil"/>
                <w:lang w:val="fr-FR"/>
              </w:rPr>
              <w:t>Résultat principal</w:t>
            </w:r>
          </w:p>
        </w:tc>
      </w:tr>
      <w:tr w:rsidR="00762139"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rPr>
            </w:pPr>
          </w:p>
        </w:tc>
        <w:tc>
          <w:tcPr>
            <w:tcW w:w="896" w:type="pct"/>
            <w:shd w:val="clear" w:color="auto" w:fill="auto"/>
          </w:tcPr>
          <w:p w:rsidR="00895A37" w:rsidRPr="00762139" w:rsidRDefault="00895A37" w:rsidP="0054714D">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 xml:space="preserve">Taux de mortalité </w:t>
            </w:r>
            <w:r w:rsidR="0054714D">
              <w:rPr>
                <w:rFonts w:ascii="Arial" w:eastAsia="Arial" w:hAnsi="Arial" w:cs="Arial"/>
                <w:sz w:val="20"/>
                <w:szCs w:val="20"/>
                <w:bdr w:val="nil"/>
                <w:lang w:val="fr-FR"/>
              </w:rPr>
              <w:t xml:space="preserve">infanto-juvenile </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 xml:space="preserve">À l’aide d’un tableau standard rapportant les antécédents de naissance/décès, calcul des taux de mortalité chez les enfants âgés de moins de cinq ans et comparaison du risque de décès avant l’âge de cinq ans sur l’ensemble des enquêtes à l’aide du modèle de régression à risque proportionnel de Cox en prenant l’année de l’enquête comme variable explicative. Les enfants encore en vie et âgés de moins de cinq ans au moment de l’enquête seront censurés à droite. </w:t>
            </w:r>
          </w:p>
        </w:tc>
      </w:tr>
      <w:tr w:rsidR="00AA5525" w:rsidRPr="00762139" w:rsidTr="00857BE5">
        <w:trPr>
          <w:trHeight w:val="252"/>
        </w:trPr>
        <w:tc>
          <w:tcPr>
            <w:tcW w:w="615" w:type="pct"/>
            <w:vMerge/>
            <w:tcBorders>
              <w:bottom w:val="single" w:sz="4" w:space="0" w:color="auto"/>
            </w:tcBorders>
          </w:tcPr>
          <w:p w:rsidR="00AA5525" w:rsidRPr="00762139" w:rsidRDefault="00AA5525"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AA5525" w:rsidRPr="00762139" w:rsidRDefault="00AA5525" w:rsidP="00AA5525">
            <w:pPr>
              <w:pStyle w:val="NoSpacing"/>
              <w:spacing w:line="240" w:lineRule="auto"/>
              <w:rPr>
                <w:rFonts w:ascii="Arial" w:hAnsi="Arial" w:cs="Arial"/>
                <w:sz w:val="20"/>
                <w:szCs w:val="20"/>
                <w:lang w:val="fr-FR"/>
              </w:rPr>
            </w:pPr>
          </w:p>
        </w:tc>
        <w:tc>
          <w:tcPr>
            <w:tcW w:w="3584" w:type="pct"/>
            <w:gridSpan w:val="3"/>
          </w:tcPr>
          <w:p w:rsidR="00AA5525" w:rsidRPr="00762139" w:rsidRDefault="00AA5525" w:rsidP="00AA5525">
            <w:pPr>
              <w:pStyle w:val="NoSpacing"/>
              <w:spacing w:line="240" w:lineRule="auto"/>
              <w:rPr>
                <w:rFonts w:ascii="Arial" w:hAnsi="Arial" w:cs="Arial"/>
                <w:i/>
                <w:sz w:val="20"/>
                <w:szCs w:val="20"/>
              </w:rPr>
            </w:pPr>
            <w:r w:rsidRPr="00762139">
              <w:rPr>
                <w:rFonts w:ascii="Arial" w:eastAsia="Arial" w:hAnsi="Arial" w:cs="Arial"/>
                <w:i/>
                <w:iCs/>
                <w:sz w:val="20"/>
                <w:szCs w:val="20"/>
                <w:bdr w:val="nil"/>
                <w:lang w:val="fr-FR"/>
              </w:rPr>
              <w:t>Résultats secondaires</w:t>
            </w:r>
          </w:p>
        </w:tc>
      </w:tr>
      <w:tr w:rsidR="00857BE5"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Taux de mortalité néonatale</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57BE5" w:rsidRPr="00857BE5" w:rsidRDefault="00895A37" w:rsidP="00AA5525">
            <w:pPr>
              <w:pStyle w:val="NoSpacing"/>
              <w:spacing w:line="240" w:lineRule="auto"/>
              <w:rPr>
                <w:rFonts w:ascii="Arial" w:eastAsia="Arial" w:hAnsi="Arial" w:cs="Arial"/>
                <w:sz w:val="20"/>
                <w:szCs w:val="20"/>
                <w:bdr w:val="nil"/>
                <w:shd w:val="clear" w:color="auto" w:fill="FFFFFF"/>
                <w:lang w:val="fr-FR"/>
              </w:rPr>
            </w:pPr>
            <w:r w:rsidRPr="00762139">
              <w:rPr>
                <w:rFonts w:ascii="Arial" w:eastAsia="Arial" w:hAnsi="Arial" w:cs="Arial"/>
                <w:sz w:val="20"/>
                <w:szCs w:val="20"/>
                <w:bdr w:val="nil"/>
                <w:lang w:val="fr-FR"/>
              </w:rPr>
              <w:t xml:space="preserve">Les taux de mortalité néonatale à partir de toutes les naissances rapportées par les répondantes au cours des 5 années précédant l’enquête et à l’aide des mêmes méthodes que celles décrites pour la mortalité chez les enfants âgés de moins de cinq ans, ajustées à </w:t>
            </w:r>
            <w:r w:rsidRPr="00762139">
              <w:rPr>
                <w:rFonts w:ascii="Arial" w:eastAsia="Arial" w:hAnsi="Arial" w:cs="Arial"/>
                <w:sz w:val="20"/>
                <w:szCs w:val="20"/>
                <w:bdr w:val="nil"/>
                <w:shd w:val="clear" w:color="auto" w:fill="FFFFFF"/>
                <w:lang w:val="fr-FR"/>
              </w:rPr>
              <w:t>28 jours</w:t>
            </w:r>
            <w:r w:rsidR="00857BE5">
              <w:rPr>
                <w:rFonts w:ascii="Arial" w:eastAsia="Arial" w:hAnsi="Arial" w:cs="Arial"/>
                <w:sz w:val="20"/>
                <w:szCs w:val="20"/>
                <w:bdr w:val="nil"/>
                <w:shd w:val="clear" w:color="auto" w:fill="FFFFFF"/>
                <w:lang w:val="fr-FR"/>
              </w:rPr>
              <w:t>.</w:t>
            </w:r>
          </w:p>
        </w:tc>
      </w:tr>
      <w:tr w:rsidR="00857BE5"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tcBorders>
              <w:bottom w:val="single" w:sz="4" w:space="0" w:color="auto"/>
            </w:tcBorders>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Taux de mortalité des enfants âgés de moins d’un an</w:t>
            </w:r>
          </w:p>
        </w:tc>
        <w:tc>
          <w:tcPr>
            <w:tcW w:w="896" w:type="pct"/>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tcBorders>
              <w:bottom w:val="single" w:sz="4" w:space="0" w:color="auto"/>
            </w:tcBorders>
            <w:shd w:val="clear" w:color="auto" w:fill="auto"/>
          </w:tcPr>
          <w:p w:rsidR="00895A37" w:rsidRDefault="00895A37" w:rsidP="00AA5525">
            <w:pPr>
              <w:pStyle w:val="NoSpacing"/>
              <w:spacing w:line="240" w:lineRule="auto"/>
              <w:rPr>
                <w:rFonts w:ascii="Arial" w:eastAsia="Arial" w:hAnsi="Arial" w:cs="Arial"/>
                <w:sz w:val="20"/>
                <w:szCs w:val="20"/>
                <w:lang w:val="fr-FR"/>
              </w:rPr>
            </w:pPr>
            <w:r w:rsidRPr="00762139">
              <w:rPr>
                <w:rFonts w:ascii="Arial" w:eastAsia="Arial" w:hAnsi="Arial" w:cs="Arial"/>
                <w:sz w:val="20"/>
                <w:szCs w:val="20"/>
                <w:bdr w:val="nil"/>
                <w:lang w:val="fr-FR"/>
              </w:rPr>
              <w:t xml:space="preserve">Les taux de mortalité chez les enfants âgés de moins d’un an à partir de toutes les naissances rapportées par les répondantes au cours des cinq </w:t>
            </w:r>
            <w:r w:rsidRPr="00857BE5">
              <w:rPr>
                <w:rFonts w:ascii="Arial" w:eastAsia="Arial" w:hAnsi="Arial" w:cs="Arial"/>
                <w:sz w:val="20"/>
                <w:szCs w:val="20"/>
                <w:lang w:val="fr-FR"/>
              </w:rPr>
              <w:t>années précédant l’enquête et à l’aide des mêmes méthodes que celles décrites pour la mortalité chez les enfants âgés de moins de cinq ans, ajustées à un an.</w:t>
            </w:r>
          </w:p>
          <w:p w:rsidR="00857BE5" w:rsidRDefault="00857BE5" w:rsidP="00AA5525">
            <w:pPr>
              <w:pStyle w:val="NoSpacing"/>
              <w:spacing w:line="240" w:lineRule="auto"/>
              <w:rPr>
                <w:rFonts w:ascii="Arial" w:hAnsi="Arial" w:cs="Arial"/>
                <w:sz w:val="20"/>
                <w:szCs w:val="20"/>
                <w:lang w:val="fr-FR"/>
              </w:rPr>
            </w:pPr>
          </w:p>
          <w:p w:rsidR="00857BE5" w:rsidRDefault="00857BE5" w:rsidP="00AA5525">
            <w:pPr>
              <w:pStyle w:val="NoSpacing"/>
              <w:spacing w:line="240" w:lineRule="auto"/>
              <w:rPr>
                <w:rFonts w:ascii="Arial" w:hAnsi="Arial" w:cs="Arial"/>
                <w:sz w:val="20"/>
                <w:szCs w:val="20"/>
                <w:lang w:val="fr-FR"/>
              </w:rPr>
            </w:pPr>
          </w:p>
          <w:p w:rsidR="00857BE5" w:rsidRPr="00762139" w:rsidRDefault="00857BE5" w:rsidP="00AA5525">
            <w:pPr>
              <w:pStyle w:val="NoSpacing"/>
              <w:spacing w:line="240" w:lineRule="auto"/>
              <w:rPr>
                <w:rFonts w:ascii="Arial" w:hAnsi="Arial" w:cs="Arial"/>
                <w:sz w:val="20"/>
                <w:szCs w:val="20"/>
                <w:lang w:val="fr-FR"/>
              </w:rPr>
            </w:pPr>
          </w:p>
        </w:tc>
      </w:tr>
      <w:tr w:rsidR="00857BE5"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tcBorders>
              <w:top w:val="single" w:sz="4" w:space="0" w:color="auto"/>
            </w:tcBorders>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2316CE">
              <w:rPr>
                <w:rFonts w:ascii="Arial" w:eastAsia="Arial" w:hAnsi="Arial" w:cs="Arial"/>
                <w:sz w:val="20"/>
                <w:szCs w:val="20"/>
                <w:lang w:val="fr-FR"/>
              </w:rPr>
              <w:t>Taux de mortalité</w:t>
            </w:r>
            <w:r w:rsidRPr="00762139">
              <w:rPr>
                <w:rFonts w:ascii="Arial" w:eastAsia="Arial" w:hAnsi="Arial" w:cs="Arial"/>
                <w:sz w:val="20"/>
                <w:szCs w:val="20"/>
                <w:bdr w:val="nil"/>
                <w:lang w:val="fr-FR"/>
              </w:rPr>
              <w:t xml:space="preserve"> des enfants âgés de moins de deux </w:t>
            </w:r>
            <w:r w:rsidRPr="00762139">
              <w:rPr>
                <w:rFonts w:ascii="Arial" w:eastAsia="Arial" w:hAnsi="Arial" w:cs="Arial"/>
                <w:sz w:val="20"/>
                <w:szCs w:val="20"/>
                <w:bdr w:val="nil"/>
                <w:lang w:val="fr-FR"/>
              </w:rPr>
              <w:lastRenderedPageBreak/>
              <w:t>ans</w:t>
            </w:r>
          </w:p>
        </w:tc>
        <w:tc>
          <w:tcPr>
            <w:tcW w:w="896" w:type="pct"/>
            <w:tcBorders>
              <w:top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lastRenderedPageBreak/>
              <w:t>Enquête communautaire auprès des ménages</w:t>
            </w:r>
          </w:p>
        </w:tc>
        <w:tc>
          <w:tcPr>
            <w:tcW w:w="1792" w:type="pct"/>
            <w:tcBorders>
              <w:top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 xml:space="preserve">Les taux de mortalité chez les enfants âgés de moins de deux ans à partir de toutes les naissances rapportées par les répondantes au </w:t>
            </w:r>
            <w:r w:rsidRPr="00762139">
              <w:rPr>
                <w:rFonts w:ascii="Arial" w:eastAsia="Arial" w:hAnsi="Arial" w:cs="Arial"/>
                <w:sz w:val="20"/>
                <w:szCs w:val="20"/>
                <w:bdr w:val="nil"/>
                <w:lang w:val="fr-FR"/>
              </w:rPr>
              <w:lastRenderedPageBreak/>
              <w:t>cours des cinq années précédant l’enquête et à l’aide des mêmes méthodes que celles décrites pour la mortalité chez les enfants âgés de moins de cinq ans, ajustées à deux ans.</w:t>
            </w:r>
          </w:p>
        </w:tc>
      </w:tr>
      <w:tr w:rsidR="00762139"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Taux de mortalité maternelle</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Analyse de la mortalité maternelle exploratoire basée sur les rapports de la sororité</w:t>
            </w:r>
            <w:r w:rsidRPr="00762139">
              <w:rPr>
                <w:rFonts w:ascii="Arial" w:hAnsi="Arial" w:cs="Arial"/>
                <w:sz w:val="20"/>
                <w:szCs w:val="20"/>
              </w:rPr>
              <w:fldChar w:fldCharType="begin" w:fldLock="1"/>
            </w:r>
            <w:r w:rsidR="00902B77" w:rsidRPr="00762139">
              <w:rPr>
                <w:rFonts w:ascii="Arial" w:hAnsi="Arial" w:cs="Arial"/>
                <w:sz w:val="20"/>
                <w:szCs w:val="20"/>
                <w:lang w:val="fr-FR"/>
              </w:rPr>
              <w:instrText>ADDIN CSL_CITATION {"citationItems":[{"id":"ITEM-1","itemData":{"DOI":"10.2307/1966567","ISSN":"00393665","author":[{"dropping-particle":"","family":"Graham","given":"Wendy","non-dropping-particle":"","parse-names":false,"suffix":""},{"dropping-particle":"","family":"Brass","given":"William","non-dropping-particle":"","parse-names":false,"suffix":""},{"dropping-particle":"","family":"Snow","given":"Robert W.","non-dropping-particle":"","parse-names":false,"suffix":""}],"container-title":"Studies in Family Planning","id":"ITEM-1","issue":"3","issued":{"date-parts":[["1989","5"]]},"page":"125","publisher":"Population Council","title":"Estimating Maternal Mortality: The Sisterhood Method","type":"article-journal","volume":"20"},"uris":["http://www.mendeley.com/documents/?uuid=0709a8a5-3fd5-30c9-a5f8-ad2d52f01b39"]},{"id":"ITEM-2","itemData":{"author":[{"dropping-particle":"","family":"World Health Organization","given":"","non-dropping-particle":"","parse-names":false,"suffix":""},{"dropping-particle":"","family":"Division of Reproductive Health","given":"","non-dropping-particle":"","parse-names":false,"suffix":""}],"id":"ITEM-2","issued":{"date-parts":[["1997"]]},"publisher-place":"Geneva","title":"The Sisterhood Method for Estimating Maternal Mortality: Guidance notes for potential users","type":"report"},"uris":["http://www.mendeley.com/documents/?uuid=f739a3d1-9786-46e7-a848-bca3086eaf95"]}],"mendeley":{"formattedCitation":"(57,58)","plainTextFormattedCitation":"(57,58)","previouslyFormattedCitation":"(58,59)"},"properties":{"noteIndex":0},"schema":"https://github.com/citation-style-language/schema/raw/master/csl-citation.json"}</w:instrText>
            </w:r>
            <w:r w:rsidRPr="00762139">
              <w:rPr>
                <w:rFonts w:ascii="Arial" w:hAnsi="Arial" w:cs="Arial"/>
                <w:sz w:val="20"/>
                <w:szCs w:val="20"/>
              </w:rPr>
              <w:fldChar w:fldCharType="separate"/>
            </w:r>
            <w:r w:rsidR="00FD3DDA">
              <w:rPr>
                <w:rFonts w:ascii="Arial" w:hAnsi="Arial" w:cs="Arial"/>
                <w:sz w:val="20"/>
                <w:szCs w:val="20"/>
              </w:rPr>
              <w:t xml:space="preserve"> </w:t>
            </w:r>
            <w:r w:rsidR="00902B77" w:rsidRPr="00762139">
              <w:rPr>
                <w:rFonts w:ascii="Arial" w:eastAsia="Arial" w:hAnsi="Arial" w:cs="Arial"/>
                <w:noProof/>
                <w:sz w:val="20"/>
                <w:szCs w:val="20"/>
                <w:bdr w:val="nil"/>
                <w:lang w:val="fr-FR"/>
              </w:rPr>
              <w:t>(57,58)</w:t>
            </w:r>
            <w:r w:rsidRPr="00762139">
              <w:rPr>
                <w:rFonts w:ascii="Arial" w:hAnsi="Arial" w:cs="Arial"/>
                <w:sz w:val="20"/>
                <w:szCs w:val="20"/>
              </w:rPr>
              <w:fldChar w:fldCharType="end"/>
            </w:r>
            <w:r w:rsidRPr="00762139">
              <w:rPr>
                <w:rFonts w:ascii="Arial" w:eastAsia="Arial" w:hAnsi="Arial" w:cs="Arial"/>
                <w:sz w:val="20"/>
                <w:szCs w:val="20"/>
                <w:bdr w:val="nil"/>
                <w:lang w:val="fr-FR"/>
              </w:rPr>
              <w:t>.</w:t>
            </w:r>
          </w:p>
        </w:tc>
      </w:tr>
      <w:tr w:rsidR="00762139" w:rsidRPr="002316CE" w:rsidTr="00857BE5">
        <w:trPr>
          <w:trHeight w:val="225"/>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3584" w:type="pct"/>
            <w:gridSpan w:val="3"/>
          </w:tcPr>
          <w:p w:rsidR="00895A37" w:rsidRPr="00762139" w:rsidRDefault="00895A37" w:rsidP="00AA5525">
            <w:pPr>
              <w:pStyle w:val="NoSpacing"/>
              <w:spacing w:line="240" w:lineRule="auto"/>
              <w:rPr>
                <w:rFonts w:ascii="Arial" w:hAnsi="Arial" w:cs="Arial"/>
                <w:i/>
                <w:sz w:val="20"/>
                <w:szCs w:val="20"/>
                <w:lang w:val="fr-FR"/>
              </w:rPr>
            </w:pPr>
            <w:r w:rsidRPr="00762139">
              <w:rPr>
                <w:rFonts w:ascii="Arial" w:eastAsia="Arial" w:hAnsi="Arial" w:cs="Arial"/>
                <w:i/>
                <w:iCs/>
                <w:sz w:val="20"/>
                <w:szCs w:val="20"/>
                <w:bdr w:val="nil"/>
                <w:lang w:val="fr-FR"/>
              </w:rPr>
              <w:t>Qualité des paramètres de soin</w:t>
            </w:r>
          </w:p>
        </w:tc>
      </w:tr>
      <w:tr w:rsidR="00762139"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Rapidité/Promptitude des soins pédiatriques pour le paludisme</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Données de programmation régulières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d’enfants âgés de moins de 5 ans rapportés comme étant fébriles et proportion de ceux ayant reçu un traitement efficace contre le paludisme dans les 24 heures suivant l’apparition des symptômes.</w:t>
            </w:r>
          </w:p>
        </w:tc>
      </w:tr>
      <w:tr w:rsidR="00857BE5"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Rapidité/Promptitude des soins pédiatriques pour la pneumonie</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Données de programmation régulières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d’enfants âgés de moins de 5 ans rapportés comme présentant une toux et proportion de ceux ayant reçu un traitement efficace contre la pneumonie dans les 24 heures suivant l’apparition des symptômes.</w:t>
            </w:r>
          </w:p>
        </w:tc>
      </w:tr>
      <w:tr w:rsidR="00857BE5"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Rapidité/Promptitude des soins pédiatriques pour la diarrhée</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Données de programmation régulières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d’enfants âgés de moins de 5 ans rapportés comme présentant une diarrhée et proportion de ceux ayant reçu un traitement efficace contre la diarrhée dans les 24 heures suivant l’apparition des symptômes.</w:t>
            </w:r>
          </w:p>
        </w:tc>
      </w:tr>
      <w:tr w:rsidR="00857BE5"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Compétence technique des ASC</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Données de programmation régulières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d’ASC de S</w:t>
            </w:r>
            <w:r w:rsidR="000B24EE">
              <w:rPr>
                <w:rFonts w:ascii="Arial" w:eastAsia="Arial" w:hAnsi="Arial" w:cs="Arial"/>
                <w:sz w:val="20"/>
                <w:szCs w:val="20"/>
                <w:bdr w:val="nil"/>
                <w:lang w:val="fr-FR"/>
              </w:rPr>
              <w:t>I adhérant aux protocoles basés</w:t>
            </w:r>
            <w:r w:rsidRPr="00762139">
              <w:rPr>
                <w:rFonts w:ascii="Arial" w:eastAsia="Arial" w:hAnsi="Arial" w:cs="Arial"/>
                <w:sz w:val="20"/>
                <w:szCs w:val="20"/>
                <w:bdr w:val="nil"/>
                <w:lang w:val="fr-FR"/>
              </w:rPr>
              <w:t xml:space="preserve"> sur des données probantes pour la PCIME-C et la santé maternelle.</w:t>
            </w:r>
          </w:p>
        </w:tc>
      </w:tr>
      <w:tr w:rsidR="00857BE5"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Compétences techniques du perso</w:t>
            </w:r>
            <w:r w:rsidR="00A96887">
              <w:rPr>
                <w:rFonts w:ascii="Arial" w:eastAsia="Arial" w:hAnsi="Arial" w:cs="Arial"/>
                <w:sz w:val="20"/>
                <w:szCs w:val="20"/>
                <w:bdr w:val="nil"/>
                <w:lang w:val="fr-FR"/>
              </w:rPr>
              <w:t>nnel clinique des formations sanitaires</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Données de programmation régulières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Proportion de personnel clinique des centre</w:t>
            </w:r>
            <w:r w:rsidR="000B24EE">
              <w:rPr>
                <w:rFonts w:ascii="Arial" w:eastAsia="Arial" w:hAnsi="Arial" w:cs="Arial"/>
                <w:sz w:val="20"/>
                <w:szCs w:val="20"/>
                <w:bdr w:val="nil"/>
                <w:lang w:val="fr-FR"/>
              </w:rPr>
              <w:t>s adhérant aux protocoles basés</w:t>
            </w:r>
            <w:r w:rsidRPr="00762139">
              <w:rPr>
                <w:rFonts w:ascii="Arial" w:eastAsia="Arial" w:hAnsi="Arial" w:cs="Arial"/>
                <w:sz w:val="20"/>
                <w:szCs w:val="20"/>
                <w:bdr w:val="nil"/>
                <w:lang w:val="fr-FR"/>
              </w:rPr>
              <w:t xml:space="preserve"> sur des données probantes pour la PCIME-C et la santé maternelle.</w:t>
            </w:r>
          </w:p>
        </w:tc>
      </w:tr>
      <w:tr w:rsidR="00762139"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tcBorders>
              <w:bottom w:val="single" w:sz="4" w:space="0" w:color="auto"/>
            </w:tcBorders>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Équité</w:t>
            </w:r>
          </w:p>
        </w:tc>
        <w:tc>
          <w:tcPr>
            <w:tcW w:w="896" w:type="pct"/>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tcBorders>
              <w:bottom w:val="single" w:sz="4" w:space="0" w:color="auto"/>
            </w:tcBorders>
            <w:shd w:val="clear" w:color="auto" w:fill="auto"/>
          </w:tcPr>
          <w:p w:rsidR="00895A37"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Différences d’accès concernant la mortalité infantile entre les quintiles de richesse maternelle, la distance jusqu’à la formation sanitaire et le niveau d’éducation.</w:t>
            </w:r>
          </w:p>
          <w:p w:rsidR="00857BE5" w:rsidRDefault="00857BE5" w:rsidP="00AA5525">
            <w:pPr>
              <w:pStyle w:val="NoSpacing"/>
              <w:spacing w:line="240" w:lineRule="auto"/>
              <w:rPr>
                <w:rFonts w:ascii="Arial" w:hAnsi="Arial" w:cs="Arial"/>
                <w:sz w:val="20"/>
                <w:szCs w:val="20"/>
                <w:lang w:val="fr-FR"/>
              </w:rPr>
            </w:pPr>
          </w:p>
          <w:p w:rsidR="00857BE5" w:rsidRPr="00762139" w:rsidRDefault="00857BE5" w:rsidP="00AA5525">
            <w:pPr>
              <w:pStyle w:val="NoSpacing"/>
              <w:spacing w:line="240" w:lineRule="auto"/>
              <w:rPr>
                <w:rFonts w:ascii="Arial" w:hAnsi="Arial" w:cs="Arial"/>
                <w:sz w:val="20"/>
                <w:szCs w:val="20"/>
                <w:lang w:val="fr-FR"/>
              </w:rPr>
            </w:pPr>
          </w:p>
        </w:tc>
      </w:tr>
      <w:tr w:rsidR="00762139" w:rsidRPr="002316CE" w:rsidTr="00857BE5">
        <w:trPr>
          <w:trHeight w:val="629"/>
        </w:trPr>
        <w:tc>
          <w:tcPr>
            <w:tcW w:w="615" w:type="pct"/>
            <w:vMerge/>
          </w:tcPr>
          <w:p w:rsidR="00895A37" w:rsidRPr="00762139" w:rsidRDefault="00895A37" w:rsidP="00AA5525">
            <w:pPr>
              <w:pStyle w:val="NoSpacing"/>
              <w:spacing w:line="240" w:lineRule="auto"/>
              <w:rPr>
                <w:rFonts w:ascii="Arial" w:hAnsi="Arial" w:cs="Arial"/>
                <w:sz w:val="20"/>
                <w:szCs w:val="20"/>
                <w:lang w:val="fr-FR"/>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tcBorders>
              <w:top w:val="single" w:sz="4" w:space="0" w:color="auto"/>
            </w:tcBorders>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Score de préparation aux soins</w:t>
            </w:r>
          </w:p>
        </w:tc>
        <w:tc>
          <w:tcPr>
            <w:tcW w:w="896" w:type="pct"/>
            <w:tcBorders>
              <w:top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Évaluations de la formation sanitaire</w:t>
            </w:r>
          </w:p>
        </w:tc>
        <w:tc>
          <w:tcPr>
            <w:tcW w:w="1792" w:type="pct"/>
            <w:tcBorders>
              <w:top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Examen des changements opérés dans la formation sanitaire en rapport avec l’approvisionnement, l’infrastructure physique et la gestion via le score de préparation annuel</w:t>
            </w:r>
            <w:r w:rsidRPr="00762139">
              <w:rPr>
                <w:rFonts w:ascii="Arial" w:hAnsi="Arial" w:cs="Arial"/>
                <w:sz w:val="20"/>
                <w:szCs w:val="20"/>
              </w:rPr>
              <w:fldChar w:fldCharType="begin" w:fldLock="1"/>
            </w:r>
            <w:r w:rsidR="00902B77" w:rsidRPr="00762139">
              <w:rPr>
                <w:rFonts w:ascii="Arial" w:hAnsi="Arial" w:cs="Arial"/>
                <w:sz w:val="20"/>
                <w:szCs w:val="20"/>
                <w:lang w:val="fr-FR"/>
              </w:rPr>
              <w:instrText>ADDIN CSL_CITATION {"citationItems":[{"id":"ITEM-1","itemData":{"author":[{"dropping-particle":"","family":"World Health Organization","given":"","non-dropping-particle":"","parse-names":false,"suffix":""}],"id":"ITEM-1","issued":{"date-parts":[["2013"]]},"publisher-place":"Geneva","title":"Service Availability and Readiness Assessment (SARA) An annual monitoring system for service delivery, version 2.1","type":"report"},"uris":["http://www.mendeley.com/documents/?uuid=976273ec-41f7-405d-b270-e329ee8935e2"]}],"mendeley":{"formattedCitation":"(34)","plainTextFormattedCitation":"(34)","previouslyFormattedCitation":"(35)"},"properties":{"noteIndex":0},"schema":"https://github.com/citation-style-language/schema/raw/master/csl-citation.json"}</w:instrText>
            </w:r>
            <w:r w:rsidRPr="00762139">
              <w:rPr>
                <w:rFonts w:ascii="Arial" w:hAnsi="Arial" w:cs="Arial"/>
                <w:sz w:val="20"/>
                <w:szCs w:val="20"/>
              </w:rPr>
              <w:fldChar w:fldCharType="separate"/>
            </w:r>
            <w:r w:rsidR="00FD3DDA">
              <w:rPr>
                <w:rFonts w:ascii="Arial" w:hAnsi="Arial" w:cs="Arial"/>
                <w:sz w:val="20"/>
                <w:szCs w:val="20"/>
              </w:rPr>
              <w:t xml:space="preserve"> </w:t>
            </w:r>
            <w:r w:rsidR="00902B77" w:rsidRPr="00762139">
              <w:rPr>
                <w:rFonts w:ascii="Arial" w:eastAsia="Arial" w:hAnsi="Arial" w:cs="Arial"/>
                <w:noProof/>
                <w:sz w:val="20"/>
                <w:szCs w:val="20"/>
                <w:bdr w:val="nil"/>
                <w:lang w:val="fr-FR"/>
              </w:rPr>
              <w:lastRenderedPageBreak/>
              <w:t>(34)</w:t>
            </w:r>
            <w:r w:rsidRPr="00762139">
              <w:rPr>
                <w:rFonts w:ascii="Arial" w:hAnsi="Arial" w:cs="Arial"/>
                <w:sz w:val="20"/>
                <w:szCs w:val="20"/>
              </w:rPr>
              <w:fldChar w:fldCharType="end"/>
            </w:r>
            <w:r w:rsidRPr="00762139">
              <w:rPr>
                <w:rFonts w:ascii="Arial" w:eastAsia="Arial" w:hAnsi="Arial" w:cs="Arial"/>
                <w:sz w:val="20"/>
                <w:szCs w:val="20"/>
                <w:bdr w:val="nil"/>
                <w:lang w:val="fr-FR"/>
              </w:rPr>
              <w:t>.</w:t>
            </w:r>
          </w:p>
        </w:tc>
      </w:tr>
      <w:tr w:rsidR="00AA5525" w:rsidRPr="00762139" w:rsidTr="00857BE5">
        <w:trPr>
          <w:trHeight w:val="288"/>
        </w:trPr>
        <w:tc>
          <w:tcPr>
            <w:tcW w:w="615" w:type="pct"/>
            <w:vMerge w:val="restart"/>
            <w:tcBorders>
              <w:bottom w:val="single" w:sz="4" w:space="0" w:color="auto"/>
            </w:tcBorders>
          </w:tcPr>
          <w:p w:rsidR="00AA5525" w:rsidRPr="00762139" w:rsidRDefault="00AA5525"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i/>
                <w:iCs/>
                <w:sz w:val="20"/>
                <w:szCs w:val="20"/>
                <w:bdr w:val="nil"/>
                <w:lang w:val="fr-FR"/>
              </w:rPr>
              <w:lastRenderedPageBreak/>
              <w:t>Objectif principal 2 : stratégie de mise en œuvre</w:t>
            </w:r>
            <w:r w:rsidRPr="00762139">
              <w:rPr>
                <w:rFonts w:ascii="Arial" w:eastAsia="Arial" w:hAnsi="Arial" w:cs="Arial"/>
                <w:sz w:val="20"/>
                <w:szCs w:val="20"/>
                <w:bdr w:val="nil"/>
                <w:lang w:val="fr-FR"/>
              </w:rPr>
              <w:t> </w:t>
            </w:r>
          </w:p>
        </w:tc>
        <w:tc>
          <w:tcPr>
            <w:tcW w:w="801" w:type="pct"/>
            <w:vMerge w:val="restart"/>
            <w:tcBorders>
              <w:bottom w:val="single" w:sz="4" w:space="0" w:color="auto"/>
            </w:tcBorders>
            <w:shd w:val="clear" w:color="auto" w:fill="auto"/>
          </w:tcPr>
          <w:p w:rsidR="00AA5525" w:rsidRPr="00762139" w:rsidRDefault="00AA5525"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Adoption</w:t>
            </w:r>
          </w:p>
          <w:p w:rsidR="00AA5525" w:rsidRPr="00762139" w:rsidRDefault="00AA5525" w:rsidP="00AA5525">
            <w:pPr>
              <w:pStyle w:val="NoSpacing"/>
              <w:spacing w:line="240" w:lineRule="auto"/>
              <w:rPr>
                <w:rFonts w:ascii="Arial" w:hAnsi="Arial" w:cs="Arial"/>
                <w:sz w:val="20"/>
                <w:szCs w:val="20"/>
              </w:rPr>
            </w:pPr>
          </w:p>
        </w:tc>
        <w:tc>
          <w:tcPr>
            <w:tcW w:w="3584" w:type="pct"/>
            <w:gridSpan w:val="3"/>
          </w:tcPr>
          <w:p w:rsidR="00AA5525" w:rsidRPr="00762139" w:rsidRDefault="00AA5525" w:rsidP="00AA5525">
            <w:pPr>
              <w:pStyle w:val="NoSpacing"/>
              <w:spacing w:line="240" w:lineRule="auto"/>
              <w:rPr>
                <w:rFonts w:ascii="Arial" w:hAnsi="Arial" w:cs="Arial"/>
                <w:i/>
                <w:sz w:val="20"/>
                <w:szCs w:val="20"/>
              </w:rPr>
            </w:pPr>
            <w:r w:rsidRPr="00762139">
              <w:rPr>
                <w:rFonts w:ascii="Arial" w:eastAsia="Arial" w:hAnsi="Arial" w:cs="Arial"/>
                <w:i/>
                <w:iCs/>
                <w:sz w:val="20"/>
                <w:szCs w:val="20"/>
                <w:bdr w:val="nil"/>
                <w:lang w:val="fr-FR"/>
              </w:rPr>
              <w:t>Engagement communautaire</w:t>
            </w:r>
          </w:p>
        </w:tc>
      </w:tr>
      <w:tr w:rsidR="00762139" w:rsidRPr="002316CE" w:rsidTr="00857BE5">
        <w:trPr>
          <w:trHeight w:val="998"/>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rPr>
            </w:pP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 xml:space="preserve">Sessions d’engagement communautaire </w:t>
            </w:r>
          </w:p>
          <w:p w:rsidR="00895A37" w:rsidRPr="00762139" w:rsidRDefault="00895A37" w:rsidP="00AA5525">
            <w:pPr>
              <w:pStyle w:val="NoSpacing"/>
              <w:spacing w:line="240" w:lineRule="auto"/>
              <w:rPr>
                <w:rFonts w:ascii="Arial" w:eastAsia="Arial" w:hAnsi="Arial" w:cs="Arial"/>
                <w:sz w:val="20"/>
                <w:szCs w:val="20"/>
                <w:bdr w:val="nil"/>
                <w:lang w:val="fr-FR"/>
              </w:rPr>
            </w:pP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Données de programmation régulières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Nombre de forums communautaires et de membres de la communauté présents.</w:t>
            </w:r>
          </w:p>
        </w:tc>
      </w:tr>
      <w:tr w:rsidR="00AA5525" w:rsidRPr="002316CE" w:rsidTr="00857BE5">
        <w:trPr>
          <w:trHeight w:val="243"/>
        </w:trPr>
        <w:tc>
          <w:tcPr>
            <w:tcW w:w="615" w:type="pct"/>
            <w:vMerge/>
            <w:tcBorders>
              <w:bottom w:val="single" w:sz="4" w:space="0" w:color="auto"/>
            </w:tcBorders>
          </w:tcPr>
          <w:p w:rsidR="00AA5525" w:rsidRPr="00762139" w:rsidRDefault="00AA5525"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AA5525" w:rsidRPr="00762139" w:rsidRDefault="00AA5525" w:rsidP="00AA5525">
            <w:pPr>
              <w:pStyle w:val="NoSpacing"/>
              <w:spacing w:line="240" w:lineRule="auto"/>
              <w:rPr>
                <w:rFonts w:ascii="Arial" w:hAnsi="Arial" w:cs="Arial"/>
                <w:sz w:val="20"/>
                <w:szCs w:val="20"/>
                <w:lang w:val="fr-FR"/>
              </w:rPr>
            </w:pPr>
          </w:p>
        </w:tc>
        <w:tc>
          <w:tcPr>
            <w:tcW w:w="3584" w:type="pct"/>
            <w:gridSpan w:val="3"/>
          </w:tcPr>
          <w:p w:rsidR="00AA5525" w:rsidRPr="00762139" w:rsidRDefault="00AA5525" w:rsidP="00AA5525">
            <w:pPr>
              <w:pStyle w:val="NoSpacing"/>
              <w:spacing w:line="240" w:lineRule="auto"/>
              <w:rPr>
                <w:rFonts w:ascii="Arial" w:hAnsi="Arial" w:cs="Arial"/>
                <w:i/>
                <w:sz w:val="20"/>
                <w:szCs w:val="20"/>
                <w:lang w:val="fr-FR"/>
              </w:rPr>
            </w:pPr>
            <w:r w:rsidRPr="00762139">
              <w:rPr>
                <w:rFonts w:ascii="Arial" w:eastAsia="Arial" w:hAnsi="Arial" w:cs="Arial"/>
                <w:i/>
                <w:iCs/>
                <w:sz w:val="20"/>
                <w:szCs w:val="20"/>
                <w:bdr w:val="nil"/>
                <w:lang w:val="fr-FR"/>
              </w:rPr>
              <w:t xml:space="preserve">Changement de comportement au niveau du participant individuel </w:t>
            </w:r>
          </w:p>
        </w:tc>
      </w:tr>
      <w:tr w:rsidR="00857BE5" w:rsidRPr="002316CE" w:rsidTr="00857BE5">
        <w:trPr>
          <w:trHeight w:val="718"/>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Cascades de soins pédiatriques pour la fièvre, la pneumonie et la diarrhée</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57BE5" w:rsidRPr="00857BE5"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Changements dans le temps au niveau du comportement lié à la recherche de soins, pour la fièvre, la pneumonie et la diarrhée chez les patients se présentant à des cliniques, à des ASC ou à des centres non cliniques. Test destiné à vérifier si ces proportions augment</w:t>
            </w:r>
            <w:r w:rsidR="000B24EE">
              <w:rPr>
                <w:rFonts w:ascii="Arial" w:eastAsia="Arial" w:hAnsi="Arial" w:cs="Arial"/>
                <w:sz w:val="20"/>
                <w:szCs w:val="20"/>
                <w:bdr w:val="nil"/>
                <w:lang w:val="fr-FR"/>
              </w:rPr>
              <w:t>ent à l’aide de la même approche</w:t>
            </w:r>
            <w:r w:rsidRPr="00762139">
              <w:rPr>
                <w:rFonts w:ascii="Arial" w:eastAsia="Arial" w:hAnsi="Arial" w:cs="Arial"/>
                <w:sz w:val="20"/>
                <w:szCs w:val="20"/>
                <w:bdr w:val="nil"/>
                <w:lang w:val="fr-FR"/>
              </w:rPr>
              <w:t xml:space="preserve"> que les modèles linéaires généralisés à effets mixtes, comme décrit dans la mesure du résultat principal d’efficacité.</w:t>
            </w:r>
          </w:p>
        </w:tc>
      </w:tr>
      <w:tr w:rsidR="00857BE5" w:rsidRPr="002316CE" w:rsidTr="00857BE5">
        <w:trPr>
          <w:trHeight w:val="718"/>
        </w:trPr>
        <w:tc>
          <w:tcPr>
            <w:tcW w:w="615" w:type="pct"/>
            <w:vMerge/>
          </w:tcPr>
          <w:p w:rsidR="00895A37" w:rsidRPr="00762139" w:rsidRDefault="00895A37" w:rsidP="00AA5525">
            <w:pPr>
              <w:pStyle w:val="NoSpacing"/>
              <w:spacing w:line="240" w:lineRule="auto"/>
              <w:rPr>
                <w:rFonts w:ascii="Arial" w:hAnsi="Arial" w:cs="Arial"/>
                <w:sz w:val="20"/>
                <w:szCs w:val="20"/>
                <w:lang w:val="fr-FR"/>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0B24EE" w:rsidP="00AA5525">
            <w:pPr>
              <w:pStyle w:val="NoSpacing"/>
              <w:spacing w:line="240" w:lineRule="auto"/>
              <w:rPr>
                <w:rFonts w:ascii="Arial" w:eastAsia="Arial" w:hAnsi="Arial" w:cs="Arial"/>
                <w:sz w:val="20"/>
                <w:szCs w:val="20"/>
                <w:bdr w:val="nil"/>
                <w:lang w:val="fr-FR"/>
              </w:rPr>
            </w:pPr>
            <w:r>
              <w:rPr>
                <w:rFonts w:ascii="Arial" w:eastAsia="Arial" w:hAnsi="Arial" w:cs="Arial"/>
                <w:sz w:val="20"/>
                <w:szCs w:val="20"/>
                <w:bdr w:val="nil"/>
                <w:lang w:val="fr-FR"/>
              </w:rPr>
              <w:t>Cascade des soins prénataux</w:t>
            </w:r>
            <w:r w:rsidR="00895A37" w:rsidRPr="00762139">
              <w:rPr>
                <w:rFonts w:ascii="Arial" w:eastAsia="Arial" w:hAnsi="Arial" w:cs="Arial"/>
                <w:sz w:val="20"/>
                <w:szCs w:val="20"/>
                <w:bdr w:val="nil"/>
                <w:lang w:val="fr-FR"/>
              </w:rPr>
              <w:t>, des accouchements en formation sanitaire et des soins postnatals pour les femmes en âge d’avoir des enfants.</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Enquête communautaire auprès des ménages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Changement dans le temps du comportement lié à la recherche de soins chez les femmes enceintes</w:t>
            </w:r>
            <w:r w:rsidR="00FD3DDA">
              <w:rPr>
                <w:rFonts w:ascii="Arial" w:eastAsia="Arial" w:hAnsi="Arial" w:cs="Arial"/>
                <w:sz w:val="20"/>
                <w:szCs w:val="20"/>
                <w:bdr w:val="nil"/>
                <w:lang w:val="fr-FR"/>
              </w:rPr>
              <w:t> </w:t>
            </w:r>
            <w:r w:rsidRPr="00762139">
              <w:rPr>
                <w:rFonts w:ascii="Arial" w:eastAsia="Arial" w:hAnsi="Arial" w:cs="Arial"/>
                <w:sz w:val="20"/>
                <w:szCs w:val="20"/>
                <w:bdr w:val="nil"/>
                <w:lang w:val="fr-FR"/>
              </w:rPr>
              <w:t>; prestations fournies par les ASC de SI, accouchement en formation sanitaire, ai</w:t>
            </w:r>
            <w:r w:rsidR="000B24EE">
              <w:rPr>
                <w:rFonts w:ascii="Arial" w:eastAsia="Arial" w:hAnsi="Arial" w:cs="Arial"/>
                <w:sz w:val="20"/>
                <w:szCs w:val="20"/>
                <w:bdr w:val="nil"/>
                <w:lang w:val="fr-FR"/>
              </w:rPr>
              <w:t>nsi que suivi de soins anténataux et postnataux</w:t>
            </w:r>
            <w:r w:rsidRPr="00762139">
              <w:rPr>
                <w:rFonts w:ascii="Arial" w:eastAsia="Arial" w:hAnsi="Arial" w:cs="Arial"/>
                <w:sz w:val="20"/>
                <w:szCs w:val="20"/>
                <w:bdr w:val="nil"/>
                <w:lang w:val="fr-FR"/>
              </w:rPr>
              <w:t>. Test destiné à vérifier si ces proportions augmentent à l’aide de la même approche que les modèles linéaires généralisés à effets mixtes, comme décrit dans la mesure du résultat principal d’efficacité.</w:t>
            </w:r>
          </w:p>
        </w:tc>
      </w:tr>
      <w:tr w:rsidR="00AA5525" w:rsidRPr="00762139" w:rsidTr="00857BE5">
        <w:trPr>
          <w:trHeight w:val="297"/>
        </w:trPr>
        <w:tc>
          <w:tcPr>
            <w:tcW w:w="615" w:type="pct"/>
            <w:vMerge w:val="restart"/>
          </w:tcPr>
          <w:p w:rsidR="00AA5525" w:rsidRPr="00762139" w:rsidRDefault="00AA5525"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i/>
                <w:iCs/>
                <w:sz w:val="20"/>
                <w:szCs w:val="20"/>
                <w:bdr w:val="nil"/>
                <w:lang w:val="fr-FR"/>
              </w:rPr>
              <w:t>Objectif principal 2 : stratégie de mise en œuvre</w:t>
            </w:r>
            <w:r w:rsidRPr="00762139">
              <w:rPr>
                <w:rFonts w:ascii="Arial" w:eastAsia="Arial" w:hAnsi="Arial" w:cs="Arial"/>
                <w:sz w:val="20"/>
                <w:szCs w:val="20"/>
                <w:bdr w:val="nil"/>
                <w:lang w:val="fr-FR"/>
              </w:rPr>
              <w:t> </w:t>
            </w:r>
          </w:p>
        </w:tc>
        <w:tc>
          <w:tcPr>
            <w:tcW w:w="801" w:type="pct"/>
            <w:vMerge w:val="restart"/>
            <w:shd w:val="clear" w:color="auto" w:fill="auto"/>
          </w:tcPr>
          <w:p w:rsidR="00AA5525" w:rsidRPr="00762139" w:rsidRDefault="00AA5525"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Mise en œuvre</w:t>
            </w:r>
          </w:p>
        </w:tc>
        <w:tc>
          <w:tcPr>
            <w:tcW w:w="3584" w:type="pct"/>
            <w:gridSpan w:val="3"/>
          </w:tcPr>
          <w:p w:rsidR="00AA5525" w:rsidRPr="00762139" w:rsidRDefault="00AA5525" w:rsidP="00AA5525">
            <w:pPr>
              <w:pStyle w:val="NoSpacing"/>
              <w:spacing w:line="240" w:lineRule="auto"/>
              <w:jc w:val="both"/>
              <w:rPr>
                <w:rFonts w:ascii="Arial" w:hAnsi="Arial" w:cs="Arial"/>
                <w:i/>
                <w:sz w:val="20"/>
                <w:szCs w:val="20"/>
              </w:rPr>
            </w:pPr>
            <w:r w:rsidRPr="00762139">
              <w:rPr>
                <w:rFonts w:ascii="Arial" w:eastAsia="Arial" w:hAnsi="Arial" w:cs="Arial"/>
                <w:i/>
                <w:iCs/>
                <w:sz w:val="20"/>
                <w:szCs w:val="20"/>
                <w:bdr w:val="nil"/>
                <w:lang w:val="fr-FR"/>
              </w:rPr>
              <w:t>Entretiens qualitatifs</w:t>
            </w:r>
          </w:p>
        </w:tc>
      </w:tr>
      <w:tr w:rsidR="00762139" w:rsidRPr="002316CE" w:rsidTr="00857BE5">
        <w:trPr>
          <w:trHeight w:val="519"/>
        </w:trPr>
        <w:tc>
          <w:tcPr>
            <w:tcW w:w="615" w:type="pct"/>
            <w:vMerge/>
          </w:tcPr>
          <w:p w:rsidR="00895A37" w:rsidRPr="00762139" w:rsidRDefault="00895A37" w:rsidP="00AA5525">
            <w:pPr>
              <w:pStyle w:val="NoSpacing"/>
              <w:spacing w:line="240" w:lineRule="auto"/>
              <w:rPr>
                <w:rFonts w:ascii="Arial" w:hAnsi="Arial" w:cs="Arial"/>
                <w:sz w:val="20"/>
                <w:szCs w:val="20"/>
              </w:rPr>
            </w:pPr>
          </w:p>
        </w:tc>
        <w:tc>
          <w:tcPr>
            <w:tcW w:w="801" w:type="pct"/>
            <w:vMerge/>
            <w:shd w:val="clear" w:color="auto" w:fill="auto"/>
          </w:tcPr>
          <w:p w:rsidR="00895A37" w:rsidRPr="00762139" w:rsidRDefault="00895A37" w:rsidP="00AA5525">
            <w:pPr>
              <w:pStyle w:val="NoSpacing"/>
              <w:spacing w:line="240" w:lineRule="auto"/>
              <w:rPr>
                <w:rFonts w:ascii="Arial" w:hAnsi="Arial" w:cs="Arial"/>
                <w:sz w:val="20"/>
                <w:szCs w:val="20"/>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Fidélité</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Entretiens menés auprès des informateurs clés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Degré de confirmation que la ou les interventions ont été mises en œuvre comme prévu dans le protocole original.</w:t>
            </w:r>
          </w:p>
        </w:tc>
      </w:tr>
      <w:tr w:rsidR="00857BE5"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Faisabilité</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Entretiens menés auprès des informateurs clés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Degré de confirmation que l’intervention a pu être menée dans un contexte particulier.</w:t>
            </w:r>
          </w:p>
        </w:tc>
      </w:tr>
      <w:tr w:rsidR="00857BE5" w:rsidRPr="002316CE" w:rsidTr="00857BE5">
        <w:trPr>
          <w:trHeight w:val="537"/>
        </w:trPr>
        <w:tc>
          <w:tcPr>
            <w:tcW w:w="615" w:type="pct"/>
            <w:vMerge/>
            <w:tcBorders>
              <w:top w:val="single" w:sz="4" w:space="0" w:color="auto"/>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top w:val="single" w:sz="4" w:space="0" w:color="auto"/>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tcBorders>
              <w:bottom w:val="single" w:sz="4" w:space="0" w:color="auto"/>
            </w:tcBorders>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Contexte extérieur</w:t>
            </w:r>
            <w:r w:rsidRPr="00762139">
              <w:rPr>
                <w:rFonts w:ascii="Arial" w:hAnsi="Arial" w:cs="Arial"/>
                <w:sz w:val="20"/>
                <w:szCs w:val="20"/>
                <w:u w:val="single"/>
              </w:rPr>
              <w:fldChar w:fldCharType="begin" w:fldLock="1"/>
            </w:r>
            <w:r w:rsidR="00902B77" w:rsidRPr="00762139">
              <w:rPr>
                <w:rFonts w:ascii="Arial" w:hAnsi="Arial" w:cs="Arial"/>
                <w:sz w:val="20"/>
                <w:szCs w:val="20"/>
                <w:u w:val="single"/>
              </w:rPr>
              <w:instrText>ADDIN CSL_CITATION {"citationItems":[{"id":"ITEM-1","itemData":{"author":[{"dropping-particle":"","family":"Damschroder","given":"Laura J.","non-dropping-particle":"","parse-names":false,"suffix":""}],"container-title":"Implementation Science","id":"ITEM-1","issued":{"date-parts":[["2009"]]},"page":"1-15","title":"Fostering implementation of health services research findings into practice: a consolidated framework for advancing implementation science","type":"article-journal"},"uris":["http://www.mendeley.com/documents/?uuid=31b71e9f-d608-353d-b5ac-da71c18012cc"]}],"mendeley":{"formattedCitation":"(59)","plainTextFormattedCitation":"(59)","previouslyFormattedCitation":"(60)"},"properties":{"noteIndex":0},"schema":"https://github.com/citation-style-language/schema/raw/master/csl-citation.json"}</w:instrText>
            </w:r>
            <w:r w:rsidRPr="00762139">
              <w:rPr>
                <w:rFonts w:ascii="Arial" w:hAnsi="Arial" w:cs="Arial"/>
                <w:sz w:val="20"/>
                <w:szCs w:val="20"/>
                <w:u w:val="single"/>
              </w:rPr>
              <w:fldChar w:fldCharType="separate"/>
            </w:r>
            <w:r w:rsidR="00FD3DDA">
              <w:rPr>
                <w:rFonts w:ascii="Arial" w:hAnsi="Arial" w:cs="Arial"/>
                <w:sz w:val="20"/>
                <w:szCs w:val="20"/>
                <w:u w:val="single"/>
              </w:rPr>
              <w:t xml:space="preserve"> </w:t>
            </w:r>
            <w:r w:rsidR="00902B77" w:rsidRPr="00762139">
              <w:rPr>
                <w:rFonts w:ascii="Arial" w:eastAsia="Arial" w:hAnsi="Arial" w:cs="Arial"/>
                <w:noProof/>
                <w:sz w:val="20"/>
                <w:szCs w:val="20"/>
                <w:bdr w:val="nil"/>
                <w:lang w:val="fr-FR"/>
              </w:rPr>
              <w:t>(59)</w:t>
            </w:r>
            <w:r w:rsidRPr="00762139">
              <w:rPr>
                <w:rFonts w:ascii="Arial" w:hAnsi="Arial" w:cs="Arial"/>
                <w:sz w:val="20"/>
                <w:szCs w:val="20"/>
                <w:u w:val="single"/>
              </w:rPr>
              <w:fldChar w:fldCharType="end"/>
            </w:r>
          </w:p>
        </w:tc>
        <w:tc>
          <w:tcPr>
            <w:tcW w:w="896" w:type="pct"/>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Entretiens menés auprès des informateurs clés</w:t>
            </w:r>
          </w:p>
        </w:tc>
        <w:tc>
          <w:tcPr>
            <w:tcW w:w="1792" w:type="pct"/>
            <w:tcBorders>
              <w:bottom w:val="single" w:sz="4" w:space="0" w:color="auto"/>
            </w:tcBorders>
            <w:shd w:val="clear" w:color="auto" w:fill="auto"/>
          </w:tcPr>
          <w:p w:rsidR="00895A37" w:rsidRDefault="00895A37" w:rsidP="00AA5525">
            <w:pPr>
              <w:pStyle w:val="NoSpacing"/>
              <w:spacing w:line="240" w:lineRule="auto"/>
              <w:rPr>
                <w:rFonts w:ascii="Arial" w:eastAsia="Arial" w:hAnsi="Arial" w:cs="Arial"/>
                <w:sz w:val="20"/>
                <w:szCs w:val="20"/>
                <w:bdr w:val="nil"/>
                <w:lang w:val="fr-FR"/>
              </w:rPr>
            </w:pPr>
            <w:proofErr w:type="spellStart"/>
            <w:r w:rsidRPr="00762139">
              <w:rPr>
                <w:rFonts w:ascii="Arial" w:eastAsia="Arial" w:hAnsi="Arial" w:cs="Arial"/>
                <w:sz w:val="20"/>
                <w:szCs w:val="20"/>
                <w:bdr w:val="nil"/>
                <w:lang w:val="fr-FR"/>
              </w:rPr>
              <w:t>Macrofacteurs</w:t>
            </w:r>
            <w:proofErr w:type="spellEnd"/>
            <w:r w:rsidRPr="00762139">
              <w:rPr>
                <w:rFonts w:ascii="Arial" w:eastAsia="Arial" w:hAnsi="Arial" w:cs="Arial"/>
                <w:sz w:val="20"/>
                <w:szCs w:val="20"/>
                <w:bdr w:val="nil"/>
                <w:lang w:val="fr-FR"/>
              </w:rPr>
              <w:t xml:space="preserve"> externes, y compris d’ordre social, liés au financement et à la direction.</w:t>
            </w:r>
          </w:p>
          <w:p w:rsidR="00857BE5" w:rsidRDefault="00857BE5" w:rsidP="00AA5525">
            <w:pPr>
              <w:pStyle w:val="NoSpacing"/>
              <w:spacing w:line="240" w:lineRule="auto"/>
              <w:rPr>
                <w:rFonts w:ascii="Arial" w:hAnsi="Arial" w:cs="Arial"/>
                <w:sz w:val="20"/>
                <w:szCs w:val="20"/>
                <w:lang w:val="fr-FR"/>
              </w:rPr>
            </w:pPr>
          </w:p>
          <w:p w:rsidR="00857BE5" w:rsidRPr="00762139" w:rsidRDefault="00857BE5" w:rsidP="00AA5525">
            <w:pPr>
              <w:pStyle w:val="NoSpacing"/>
              <w:spacing w:line="240" w:lineRule="auto"/>
              <w:rPr>
                <w:rFonts w:ascii="Arial" w:hAnsi="Arial" w:cs="Arial"/>
                <w:sz w:val="20"/>
                <w:szCs w:val="20"/>
                <w:lang w:val="fr-FR"/>
              </w:rPr>
            </w:pPr>
          </w:p>
        </w:tc>
      </w:tr>
      <w:tr w:rsidR="00857BE5" w:rsidRPr="002316CE" w:rsidTr="00857BE5">
        <w:trPr>
          <w:trHeight w:val="360"/>
        </w:trPr>
        <w:tc>
          <w:tcPr>
            <w:tcW w:w="615" w:type="pct"/>
            <w:vMerge/>
            <w:tcBorders>
              <w:top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top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tcBorders>
              <w:top w:val="single" w:sz="4" w:space="0" w:color="auto"/>
            </w:tcBorders>
            <w:shd w:val="clear" w:color="auto" w:fill="auto"/>
          </w:tcPr>
          <w:p w:rsidR="00895A37" w:rsidRPr="00762139" w:rsidRDefault="00742723" w:rsidP="00AA5525">
            <w:pPr>
              <w:pStyle w:val="NoSpacing"/>
              <w:spacing w:line="240" w:lineRule="auto"/>
              <w:rPr>
                <w:rFonts w:ascii="Arial" w:eastAsia="Arial" w:hAnsi="Arial" w:cs="Arial"/>
                <w:sz w:val="20"/>
                <w:szCs w:val="20"/>
                <w:bdr w:val="nil"/>
                <w:lang w:val="fr-FR"/>
              </w:rPr>
            </w:pPr>
            <w:r>
              <w:rPr>
                <w:rFonts w:ascii="Arial" w:eastAsia="Arial" w:hAnsi="Arial" w:cs="Arial"/>
                <w:sz w:val="20"/>
                <w:szCs w:val="20"/>
                <w:bdr w:val="nil"/>
                <w:lang w:val="fr-FR"/>
              </w:rPr>
              <w:t xml:space="preserve">Contexte interne </w:t>
            </w:r>
            <w:r w:rsidR="00895A37" w:rsidRPr="00762139">
              <w:rPr>
                <w:rFonts w:ascii="Arial" w:hAnsi="Arial" w:cs="Arial"/>
                <w:sz w:val="20"/>
                <w:szCs w:val="20"/>
                <w:u w:val="single"/>
              </w:rPr>
              <w:fldChar w:fldCharType="begin" w:fldLock="1"/>
            </w:r>
            <w:r w:rsidR="00902B77" w:rsidRPr="00762139">
              <w:rPr>
                <w:rFonts w:ascii="Arial" w:hAnsi="Arial" w:cs="Arial"/>
                <w:sz w:val="20"/>
                <w:szCs w:val="20"/>
                <w:u w:val="single"/>
              </w:rPr>
              <w:instrText>ADDIN CSL_CITATION {"citationItems":[{"id":"ITEM-1","itemData":{"author":[{"dropping-particle":"","family":"Damschroder","given":"Laura J.","non-dropping-particle":"","parse-names":false,"suffix":""}],"container-title":"Implementation Science","id":"ITEM-1","issued":{"date-parts":[["2009"]]},"page":"1-15","title":"Fostering implementation of health services research findings into practice: a consolidated framework for advancing implementation science","type":"article-journal"},"uris":["http://www.mendeley.com/documents/?uuid=31b71e9f-d608-353d-b5ac-da71c18012cc"]}],"mendeley":{"formattedCitation":"(59)","plainTextFormattedCitation":"(59)","previouslyFormattedCitation":"(60)"},"properties":{"noteIndex":0},"schema":"https://github.com/citation-style-language/schema/raw/master/csl-citation.json"}</w:instrText>
            </w:r>
            <w:r w:rsidR="00895A37" w:rsidRPr="00762139">
              <w:rPr>
                <w:rFonts w:ascii="Arial" w:hAnsi="Arial" w:cs="Arial"/>
                <w:sz w:val="20"/>
                <w:szCs w:val="20"/>
                <w:u w:val="single"/>
              </w:rPr>
              <w:fldChar w:fldCharType="separate"/>
            </w:r>
            <w:r w:rsidR="00902B77" w:rsidRPr="00762139">
              <w:rPr>
                <w:rFonts w:ascii="Arial" w:eastAsia="Arial" w:hAnsi="Arial" w:cs="Arial"/>
                <w:noProof/>
                <w:sz w:val="20"/>
                <w:szCs w:val="20"/>
                <w:bdr w:val="nil"/>
                <w:lang w:val="fr-FR"/>
              </w:rPr>
              <w:t>(59)</w:t>
            </w:r>
            <w:r w:rsidR="00895A37" w:rsidRPr="00762139">
              <w:rPr>
                <w:rFonts w:ascii="Arial" w:hAnsi="Arial" w:cs="Arial"/>
                <w:sz w:val="20"/>
                <w:szCs w:val="20"/>
                <w:u w:val="single"/>
              </w:rPr>
              <w:fldChar w:fldCharType="end"/>
            </w:r>
            <w:r w:rsidR="00895A37" w:rsidRPr="00762139">
              <w:rPr>
                <w:rFonts w:ascii="Arial" w:eastAsia="Arial" w:hAnsi="Arial" w:cs="Arial"/>
                <w:sz w:val="20"/>
                <w:szCs w:val="20"/>
                <w:bdr w:val="nil"/>
                <w:lang w:val="fr-FR"/>
              </w:rPr>
              <w:t xml:space="preserve"> </w:t>
            </w:r>
          </w:p>
        </w:tc>
        <w:tc>
          <w:tcPr>
            <w:tcW w:w="896" w:type="pct"/>
            <w:tcBorders>
              <w:top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 xml:space="preserve">Entretiens menés auprès des informateurs clés </w:t>
            </w:r>
          </w:p>
        </w:tc>
        <w:tc>
          <w:tcPr>
            <w:tcW w:w="1792" w:type="pct"/>
            <w:tcBorders>
              <w:top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Microfacteurs internes, y compris ceu</w:t>
            </w:r>
            <w:r w:rsidR="00742723">
              <w:rPr>
                <w:rFonts w:ascii="Arial" w:eastAsia="Arial" w:hAnsi="Arial" w:cs="Arial"/>
                <w:sz w:val="20"/>
                <w:szCs w:val="20"/>
                <w:bdr w:val="nil"/>
                <w:lang w:val="fr-FR"/>
              </w:rPr>
              <w:t>x liés au partenariat entre</w:t>
            </w:r>
            <w:r w:rsidRPr="00762139">
              <w:rPr>
                <w:rFonts w:ascii="Arial" w:eastAsia="Arial" w:hAnsi="Arial" w:cs="Arial"/>
                <w:sz w:val="20"/>
                <w:szCs w:val="20"/>
                <w:bdr w:val="nil"/>
                <w:lang w:val="fr-FR"/>
              </w:rPr>
              <w:t xml:space="preserve"> SI/MS, aux différents problèmes concernant les rôles de SI et du MS, aux </w:t>
            </w:r>
            <w:r w:rsidRPr="00762139">
              <w:rPr>
                <w:rFonts w:ascii="Arial" w:eastAsia="Arial" w:hAnsi="Arial" w:cs="Arial"/>
                <w:sz w:val="20"/>
                <w:szCs w:val="20"/>
                <w:bdr w:val="nil"/>
                <w:lang w:val="fr-FR"/>
              </w:rPr>
              <w:lastRenderedPageBreak/>
              <w:t>retours, aux formations sanitaires, à la communaut</w:t>
            </w:r>
            <w:r w:rsidR="00742723">
              <w:rPr>
                <w:rFonts w:ascii="Arial" w:eastAsia="Arial" w:hAnsi="Arial" w:cs="Arial"/>
                <w:sz w:val="20"/>
                <w:szCs w:val="20"/>
                <w:bdr w:val="nil"/>
                <w:lang w:val="fr-FR"/>
              </w:rPr>
              <w:t>é, aux ménages et aux individu</w:t>
            </w:r>
            <w:r w:rsidRPr="00762139">
              <w:rPr>
                <w:rFonts w:ascii="Arial" w:eastAsia="Arial" w:hAnsi="Arial" w:cs="Arial"/>
                <w:sz w:val="20"/>
                <w:szCs w:val="20"/>
                <w:bdr w:val="nil"/>
                <w:lang w:val="fr-FR"/>
              </w:rPr>
              <w:t>s.</w:t>
            </w:r>
          </w:p>
        </w:tc>
      </w:tr>
      <w:tr w:rsidR="00AA5525" w:rsidRPr="002316CE" w:rsidTr="00857BE5">
        <w:trPr>
          <w:trHeight w:val="243"/>
        </w:trPr>
        <w:tc>
          <w:tcPr>
            <w:tcW w:w="615" w:type="pct"/>
            <w:vMerge w:val="restart"/>
            <w:tcBorders>
              <w:bottom w:val="single" w:sz="4" w:space="0" w:color="auto"/>
            </w:tcBorders>
          </w:tcPr>
          <w:p w:rsidR="00AA5525" w:rsidRPr="00762139" w:rsidRDefault="00AA5525"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i/>
                <w:iCs/>
                <w:sz w:val="20"/>
                <w:szCs w:val="20"/>
                <w:bdr w:val="nil"/>
                <w:lang w:val="fr-FR"/>
              </w:rPr>
              <w:lastRenderedPageBreak/>
              <w:t>Objectif principal 2 : stratégie de mise en œuvre</w:t>
            </w:r>
            <w:r w:rsidRPr="00762139">
              <w:rPr>
                <w:rFonts w:ascii="Arial" w:eastAsia="Arial" w:hAnsi="Arial" w:cs="Arial"/>
                <w:sz w:val="20"/>
                <w:szCs w:val="20"/>
                <w:bdr w:val="nil"/>
                <w:lang w:val="fr-FR"/>
              </w:rPr>
              <w:t> </w:t>
            </w:r>
          </w:p>
        </w:tc>
        <w:tc>
          <w:tcPr>
            <w:tcW w:w="801" w:type="pct"/>
            <w:vMerge w:val="restart"/>
            <w:shd w:val="clear" w:color="auto" w:fill="auto"/>
          </w:tcPr>
          <w:p w:rsidR="00AA5525" w:rsidRPr="00762139" w:rsidRDefault="00AA5525"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Maintien</w:t>
            </w:r>
          </w:p>
        </w:tc>
        <w:tc>
          <w:tcPr>
            <w:tcW w:w="3584" w:type="pct"/>
            <w:gridSpan w:val="3"/>
          </w:tcPr>
          <w:p w:rsidR="00AA5525" w:rsidRPr="00762139" w:rsidRDefault="00AA5525" w:rsidP="00AA5525">
            <w:pPr>
              <w:pStyle w:val="NoSpacing"/>
              <w:spacing w:line="240" w:lineRule="auto"/>
              <w:rPr>
                <w:rFonts w:ascii="Arial" w:hAnsi="Arial" w:cs="Arial"/>
                <w:i/>
                <w:sz w:val="20"/>
                <w:szCs w:val="20"/>
                <w:lang w:val="fr-FR"/>
              </w:rPr>
            </w:pPr>
            <w:r w:rsidRPr="00762139">
              <w:rPr>
                <w:rFonts w:ascii="Arial" w:eastAsia="Arial" w:hAnsi="Arial" w:cs="Arial"/>
                <w:i/>
                <w:iCs/>
                <w:sz w:val="20"/>
                <w:szCs w:val="20"/>
                <w:bdr w:val="nil"/>
                <w:lang w:val="fr-FR"/>
              </w:rPr>
              <w:t>Évaluation des coûts et du retour sur investissement</w:t>
            </w:r>
          </w:p>
        </w:tc>
      </w:tr>
      <w:tr w:rsidR="00762139"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Coût annuel par personne</w:t>
            </w:r>
          </w:p>
        </w:tc>
        <w:tc>
          <w:tcPr>
            <w:tcW w:w="896" w:type="pct"/>
            <w:shd w:val="clear" w:color="auto" w:fill="auto"/>
          </w:tcPr>
          <w:p w:rsidR="00895A37" w:rsidRPr="00762139" w:rsidRDefault="00895A37"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Enquêtes sur les coûts</w:t>
            </w:r>
          </w:p>
        </w:tc>
        <w:tc>
          <w:tcPr>
            <w:tcW w:w="1792" w:type="pct"/>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Coût par personne comparé au financement actuel du MS à l’aide de l’Outil de planification de la santé communautaire et de calcul des coûts</w:t>
            </w:r>
            <w:r w:rsidRPr="00762139">
              <w:rPr>
                <w:rFonts w:ascii="Arial" w:hAnsi="Arial" w:cs="Arial"/>
                <w:sz w:val="20"/>
                <w:szCs w:val="20"/>
              </w:rPr>
              <w:fldChar w:fldCharType="begin" w:fldLock="1"/>
            </w:r>
            <w:r w:rsidR="00902B77" w:rsidRPr="00762139">
              <w:rPr>
                <w:rFonts w:ascii="Arial" w:hAnsi="Arial" w:cs="Arial"/>
                <w:sz w:val="20"/>
                <w:szCs w:val="20"/>
                <w:lang w:val="fr-FR"/>
              </w:rPr>
              <w:instrText>ADDIN CSL_CITATION {"citationItems":[{"id":"ITEM-1","itemData":{"author":[{"dropping-particle":"","family":"Collins","given":"David","non-dropping-particle":"","parse-names":false,"suffix":""},{"dropping-particle":"","family":"Jarrah","given":"Zina","non-dropping-particle":"","parse-names":false,"suffix":""}],"id":"ITEM-1","issued":{"date-parts":[["2016"]]},"publisher":"Management Sciences for Health","title":"Community Health Planning and Costing Tool","type":"article"},"uris":["http://www.mendeley.com/documents/?uuid=84217aad-3b27-3c9f-a70c-3f2cd91e1a56"]}],"mendeley":{"formattedCitation":"(48)","plainTextFormattedCitation":"(48)","previouslyFormattedCitation":"(49)"},"properties":{"noteIndex":0},"schema":"https://github.com/citation-style-language/schema/raw/master/csl-citation.json"}</w:instrText>
            </w:r>
            <w:r w:rsidRPr="00762139">
              <w:rPr>
                <w:rFonts w:ascii="Arial" w:hAnsi="Arial" w:cs="Arial"/>
                <w:sz w:val="20"/>
                <w:szCs w:val="20"/>
              </w:rPr>
              <w:fldChar w:fldCharType="separate"/>
            </w:r>
            <w:r w:rsidR="00FD3DDA">
              <w:rPr>
                <w:rFonts w:ascii="Arial" w:hAnsi="Arial" w:cs="Arial"/>
                <w:sz w:val="20"/>
                <w:szCs w:val="20"/>
              </w:rPr>
              <w:t xml:space="preserve"> </w:t>
            </w:r>
            <w:r w:rsidR="00902B77" w:rsidRPr="00762139">
              <w:rPr>
                <w:rFonts w:ascii="Arial" w:eastAsia="Arial" w:hAnsi="Arial" w:cs="Arial"/>
                <w:noProof/>
                <w:sz w:val="20"/>
                <w:szCs w:val="20"/>
                <w:bdr w:val="nil"/>
                <w:lang w:val="fr-FR"/>
              </w:rPr>
              <w:t>(48)</w:t>
            </w:r>
            <w:r w:rsidRPr="00762139">
              <w:rPr>
                <w:rFonts w:ascii="Arial" w:hAnsi="Arial" w:cs="Arial"/>
                <w:sz w:val="20"/>
                <w:szCs w:val="20"/>
              </w:rPr>
              <w:fldChar w:fldCharType="end"/>
            </w:r>
            <w:r w:rsidRPr="00762139">
              <w:rPr>
                <w:rFonts w:ascii="Arial" w:eastAsia="Arial" w:hAnsi="Arial" w:cs="Arial"/>
                <w:sz w:val="20"/>
                <w:szCs w:val="20"/>
                <w:bdr w:val="nil"/>
                <w:lang w:val="fr-FR"/>
              </w:rPr>
              <w:t>, au niveau du groupe.</w:t>
            </w:r>
          </w:p>
        </w:tc>
      </w:tr>
      <w:tr w:rsidR="00762139" w:rsidRPr="002316CE" w:rsidTr="00857BE5">
        <w:trPr>
          <w:trHeight w:val="360"/>
        </w:trPr>
        <w:tc>
          <w:tcPr>
            <w:tcW w:w="615" w:type="pct"/>
            <w:vMerge/>
            <w:tcBorders>
              <w:bottom w:val="single" w:sz="4" w:space="0" w:color="auto"/>
            </w:tcBorders>
          </w:tcPr>
          <w:p w:rsidR="00895A37" w:rsidRPr="00762139" w:rsidRDefault="00895A37" w:rsidP="00AA5525">
            <w:pPr>
              <w:pStyle w:val="NoSpacing"/>
              <w:spacing w:line="240" w:lineRule="auto"/>
              <w:rPr>
                <w:rFonts w:ascii="Arial" w:hAnsi="Arial" w:cs="Arial"/>
                <w:sz w:val="20"/>
                <w:szCs w:val="20"/>
                <w:lang w:val="fr-FR"/>
              </w:rPr>
            </w:pPr>
          </w:p>
        </w:tc>
        <w:tc>
          <w:tcPr>
            <w:tcW w:w="801" w:type="pct"/>
            <w:vMerge/>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p>
        </w:tc>
        <w:tc>
          <w:tcPr>
            <w:tcW w:w="896" w:type="pct"/>
            <w:tcBorders>
              <w:bottom w:val="single" w:sz="4" w:space="0" w:color="auto"/>
            </w:tcBorders>
            <w:shd w:val="clear" w:color="auto" w:fill="auto"/>
          </w:tcPr>
          <w:p w:rsidR="00895A37" w:rsidRPr="00762139" w:rsidRDefault="00895A37" w:rsidP="00AA5525">
            <w:pPr>
              <w:pStyle w:val="NoSpacing"/>
              <w:spacing w:line="240" w:lineRule="auto"/>
              <w:rPr>
                <w:rFonts w:ascii="Arial" w:eastAsia="Arial" w:hAnsi="Arial" w:cs="Arial"/>
                <w:sz w:val="20"/>
                <w:szCs w:val="20"/>
                <w:bdr w:val="nil"/>
                <w:lang w:val="fr-FR"/>
              </w:rPr>
            </w:pPr>
            <w:r w:rsidRPr="00762139">
              <w:rPr>
                <w:rFonts w:ascii="Arial" w:eastAsia="Arial" w:hAnsi="Arial" w:cs="Arial"/>
                <w:sz w:val="20"/>
                <w:szCs w:val="20"/>
                <w:bdr w:val="nil"/>
                <w:lang w:val="fr-FR"/>
              </w:rPr>
              <w:t>Retour sur investissement</w:t>
            </w:r>
          </w:p>
        </w:tc>
        <w:tc>
          <w:tcPr>
            <w:tcW w:w="896" w:type="pct"/>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rPr>
            </w:pPr>
            <w:r w:rsidRPr="00762139">
              <w:rPr>
                <w:rFonts w:ascii="Arial" w:eastAsia="Arial" w:hAnsi="Arial" w:cs="Arial"/>
                <w:sz w:val="20"/>
                <w:szCs w:val="20"/>
                <w:bdr w:val="nil"/>
                <w:lang w:val="fr-FR"/>
              </w:rPr>
              <w:t>Enquêtes sur les coûts</w:t>
            </w:r>
          </w:p>
        </w:tc>
        <w:tc>
          <w:tcPr>
            <w:tcW w:w="1792" w:type="pct"/>
            <w:tcBorders>
              <w:bottom w:val="single" w:sz="4" w:space="0" w:color="auto"/>
            </w:tcBorders>
            <w:shd w:val="clear" w:color="auto" w:fill="auto"/>
          </w:tcPr>
          <w:p w:rsidR="00895A37" w:rsidRPr="00762139" w:rsidRDefault="00895A37" w:rsidP="00AA5525">
            <w:pPr>
              <w:pStyle w:val="NoSpacing"/>
              <w:spacing w:line="240" w:lineRule="auto"/>
              <w:rPr>
                <w:rFonts w:ascii="Arial" w:hAnsi="Arial" w:cs="Arial"/>
                <w:sz w:val="20"/>
                <w:szCs w:val="20"/>
                <w:lang w:val="fr-FR"/>
              </w:rPr>
            </w:pPr>
            <w:r w:rsidRPr="00762139">
              <w:rPr>
                <w:rFonts w:ascii="Arial" w:eastAsia="Arial" w:hAnsi="Arial" w:cs="Arial"/>
                <w:sz w:val="20"/>
                <w:szCs w:val="20"/>
                <w:bdr w:val="nil"/>
                <w:lang w:val="fr-FR"/>
              </w:rPr>
              <w:t>Retour sur investissement calculé à l’aide de l’Outil de planification de la santé communautaire et de calcul des coûts</w:t>
            </w:r>
            <w:r w:rsidRPr="00762139">
              <w:rPr>
                <w:rFonts w:ascii="Arial" w:hAnsi="Arial" w:cs="Arial"/>
                <w:sz w:val="20"/>
                <w:szCs w:val="20"/>
              </w:rPr>
              <w:fldChar w:fldCharType="begin" w:fldLock="1"/>
            </w:r>
            <w:r w:rsidR="00902B77" w:rsidRPr="00762139">
              <w:rPr>
                <w:rFonts w:ascii="Arial" w:hAnsi="Arial" w:cs="Arial"/>
                <w:sz w:val="20"/>
                <w:szCs w:val="20"/>
                <w:lang w:val="fr-FR"/>
              </w:rPr>
              <w:instrText>ADDIN CSL_CITATION {"citationItems":[{"id":"ITEM-1","itemData":{"author":[{"dropping-particle":"","family":"Collins","given":"David","non-dropping-particle":"","parse-names":false,"suffix":""},{"dropping-particle":"","family":"Jarrah","given":"Zina","non-dropping-particle":"","parse-names":false,"suffix":""}],"id":"ITEM-1","issued":{"date-parts":[["2016"]]},"publisher":"Management Sciences for Health","title":"Community Health Planning and Costing Tool","type":"article"},"uris":["http://www.mendeley.com/documents/?uuid=84217aad-3b27-3c9f-a70c-3f2cd91e1a56"]}],"mendeley":{"formattedCitation":"(48)","plainTextFormattedCitation":"(48)","previouslyFormattedCitation":"(49)"},"properties":{"noteIndex":0},"schema":"https://github.com/citation-style-language/schema/raw/master/csl-citation.json"}</w:instrText>
            </w:r>
            <w:r w:rsidRPr="00762139">
              <w:rPr>
                <w:rFonts w:ascii="Arial" w:hAnsi="Arial" w:cs="Arial"/>
                <w:sz w:val="20"/>
                <w:szCs w:val="20"/>
              </w:rPr>
              <w:fldChar w:fldCharType="separate"/>
            </w:r>
            <w:r w:rsidR="00FD3DDA">
              <w:rPr>
                <w:rFonts w:ascii="Arial" w:hAnsi="Arial" w:cs="Arial"/>
                <w:sz w:val="20"/>
                <w:szCs w:val="20"/>
              </w:rPr>
              <w:t xml:space="preserve"> </w:t>
            </w:r>
            <w:r w:rsidR="00902B77" w:rsidRPr="00762139">
              <w:rPr>
                <w:rFonts w:ascii="Arial" w:eastAsia="Arial" w:hAnsi="Arial" w:cs="Arial"/>
                <w:noProof/>
                <w:sz w:val="20"/>
                <w:szCs w:val="20"/>
                <w:bdr w:val="nil"/>
                <w:lang w:val="fr-FR"/>
              </w:rPr>
              <w:t>(48)</w:t>
            </w:r>
            <w:r w:rsidRPr="00762139">
              <w:rPr>
                <w:rFonts w:ascii="Arial" w:hAnsi="Arial" w:cs="Arial"/>
                <w:sz w:val="20"/>
                <w:szCs w:val="20"/>
              </w:rPr>
              <w:fldChar w:fldCharType="end"/>
            </w:r>
            <w:r w:rsidRPr="00762139">
              <w:rPr>
                <w:rFonts w:ascii="Arial" w:eastAsia="Arial" w:hAnsi="Arial" w:cs="Arial"/>
                <w:sz w:val="20"/>
                <w:szCs w:val="20"/>
                <w:bdr w:val="nil"/>
                <w:lang w:val="fr-FR"/>
              </w:rPr>
              <w:t xml:space="preserve"> et de l’Outil de calcul des vies sauvées</w:t>
            </w:r>
            <w:r w:rsidRPr="00762139">
              <w:rPr>
                <w:rFonts w:ascii="Arial" w:hAnsi="Arial" w:cs="Arial"/>
                <w:sz w:val="20"/>
                <w:szCs w:val="20"/>
              </w:rPr>
              <w:fldChar w:fldCharType="begin" w:fldLock="1"/>
            </w:r>
            <w:r w:rsidR="00902B77" w:rsidRPr="00762139">
              <w:rPr>
                <w:rFonts w:ascii="Arial" w:hAnsi="Arial" w:cs="Arial"/>
                <w:sz w:val="20"/>
                <w:szCs w:val="20"/>
                <w:lang w:val="fr-FR"/>
              </w:rPr>
              <w:instrText>ADDIN CSL_CITATION {"citationItems":[{"id":"ITEM-1","itemData":{"DOI":"10.1186/s12889-017-4735-4","ISSN":"1471-2458","author":[{"dropping-particle":"","family":"Walker","given":"Neff","non-dropping-particle":"","parse-names":false,"suffix":""},{"dropping-particle":"","family":"Friberg","given":"Ingrid K.","non-dropping-particle":"","parse-names":false,"suffix":""}],"container-title":"BMC Public Health","id":"ITEM-1","issue":"S4","issued":{"date-parts":[["2017","11","7"]]},"page":"774","publisher":"BioMed Central","title":"Introduction: reporting on updates in the scientific basis for the Lives Saved Tool (LiST)","type":"article-journal","volume":"17"},"uris":["http://www.mendeley.com/documents/?uuid=e6aac1cf-5473-3fad-84a6-33f7555e6edf"]}],"mendeley":{"formattedCitation":"(49)","plainTextFormattedCitation":"(49)","previouslyFormattedCitation":"(50)"},"properties":{"noteIndex":0},"schema":"https://github.com/citation-style-language/schema/raw/master/csl-citation.json"}</w:instrText>
            </w:r>
            <w:r w:rsidRPr="00762139">
              <w:rPr>
                <w:rFonts w:ascii="Arial" w:hAnsi="Arial" w:cs="Arial"/>
                <w:sz w:val="20"/>
                <w:szCs w:val="20"/>
              </w:rPr>
              <w:fldChar w:fldCharType="separate"/>
            </w:r>
            <w:r w:rsidR="00FD3DDA">
              <w:rPr>
                <w:rFonts w:ascii="Arial" w:hAnsi="Arial" w:cs="Arial"/>
                <w:sz w:val="20"/>
                <w:szCs w:val="20"/>
              </w:rPr>
              <w:t xml:space="preserve"> </w:t>
            </w:r>
            <w:r w:rsidR="00902B77" w:rsidRPr="00762139">
              <w:rPr>
                <w:rFonts w:ascii="Arial" w:eastAsia="Arial" w:hAnsi="Arial" w:cs="Arial"/>
                <w:noProof/>
                <w:sz w:val="20"/>
                <w:szCs w:val="20"/>
                <w:bdr w:val="nil"/>
                <w:lang w:val="fr-FR"/>
              </w:rPr>
              <w:t>(49)</w:t>
            </w:r>
            <w:r w:rsidRPr="00762139">
              <w:rPr>
                <w:rFonts w:ascii="Arial" w:hAnsi="Arial" w:cs="Arial"/>
                <w:sz w:val="20"/>
                <w:szCs w:val="20"/>
              </w:rPr>
              <w:fldChar w:fldCharType="end"/>
            </w:r>
            <w:r w:rsidRPr="00762139">
              <w:rPr>
                <w:rFonts w:ascii="Arial" w:eastAsia="Arial" w:hAnsi="Arial" w:cs="Arial"/>
                <w:sz w:val="20"/>
                <w:szCs w:val="20"/>
                <w:bdr w:val="nil"/>
                <w:lang w:val="fr-FR"/>
              </w:rPr>
              <w:t>, avec le résultat principal au niveau du groupe.</w:t>
            </w:r>
          </w:p>
        </w:tc>
      </w:tr>
    </w:tbl>
    <w:p w:rsidR="001C0DEE" w:rsidRDefault="001C0DEE">
      <w:pPr>
        <w:pStyle w:val="NoSpacing"/>
        <w:rPr>
          <w:rFonts w:ascii="Arial" w:hAnsi="Arial" w:cs="Arial"/>
          <w:sz w:val="22"/>
          <w:szCs w:val="22"/>
          <w:lang w:val="fr-FR"/>
        </w:rPr>
      </w:pPr>
    </w:p>
    <w:p w:rsidR="001C0DEE" w:rsidRDefault="00767532">
      <w:pPr>
        <w:pStyle w:val="NoSpacing"/>
        <w:outlineLvl w:val="0"/>
        <w:rPr>
          <w:rFonts w:ascii="Arial" w:hAnsi="Arial" w:cs="Arial"/>
          <w:i/>
          <w:iCs/>
          <w:sz w:val="22"/>
          <w:szCs w:val="22"/>
          <w:lang w:val="fr-FR"/>
        </w:rPr>
      </w:pPr>
      <w:r>
        <w:rPr>
          <w:rFonts w:ascii="Arial" w:eastAsia="Arial" w:hAnsi="Arial" w:cs="Arial"/>
          <w:i/>
          <w:iCs/>
          <w:sz w:val="22"/>
          <w:szCs w:val="22"/>
          <w:bdr w:val="nil"/>
          <w:lang w:val="fr-FR"/>
        </w:rPr>
        <w:t>Objectif principal 1 : efficacité</w:t>
      </w:r>
    </w:p>
    <w:p w:rsidR="001C0DEE" w:rsidRDefault="00767532">
      <w:pPr>
        <w:pStyle w:val="NoSpacing"/>
        <w:rPr>
          <w:rFonts w:ascii="Arial" w:hAnsi="Arial" w:cs="Arial"/>
          <w:sz w:val="22"/>
          <w:szCs w:val="22"/>
          <w:lang w:val="fr-FR"/>
        </w:rPr>
      </w:pPr>
      <w:r>
        <w:rPr>
          <w:rFonts w:ascii="Arial" w:eastAsia="Arial" w:hAnsi="Arial" w:cs="Arial"/>
          <w:i/>
          <w:iCs/>
          <w:sz w:val="22"/>
          <w:szCs w:val="22"/>
          <w:bdr w:val="nil"/>
          <w:lang w:val="fr-FR"/>
        </w:rPr>
        <w:t>Efficacité</w:t>
      </w:r>
      <w:r>
        <w:rPr>
          <w:rFonts w:ascii="Arial" w:eastAsia="Arial" w:hAnsi="Arial" w:cs="Arial"/>
          <w:sz w:val="22"/>
          <w:szCs w:val="22"/>
          <w:bdr w:val="nil"/>
          <w:lang w:val="fr-FR"/>
        </w:rPr>
        <w:t> : Nous définissons les mesures d’</w:t>
      </w:r>
      <w:r>
        <w:rPr>
          <w:rFonts w:ascii="Arial" w:eastAsia="Arial" w:hAnsi="Arial" w:cs="Arial"/>
          <w:i/>
          <w:iCs/>
          <w:sz w:val="22"/>
          <w:szCs w:val="22"/>
          <w:bdr w:val="nil"/>
          <w:lang w:val="fr-FR"/>
        </w:rPr>
        <w:t xml:space="preserve">efficacité </w:t>
      </w:r>
      <w:r>
        <w:rPr>
          <w:rFonts w:ascii="Arial" w:eastAsia="Arial" w:hAnsi="Arial" w:cs="Arial"/>
          <w:sz w:val="22"/>
          <w:szCs w:val="22"/>
          <w:bdr w:val="nil"/>
          <w:lang w:val="fr-FR"/>
        </w:rPr>
        <w:t xml:space="preserve">comme celles évaluant l’impact de l’initiative de </w:t>
      </w:r>
      <w:r w:rsidR="00B004A9">
        <w:rPr>
          <w:rFonts w:ascii="Arial" w:eastAsia="Arial" w:hAnsi="Arial" w:cs="Arial"/>
          <w:sz w:val="22"/>
          <w:szCs w:val="22"/>
          <w:bdr w:val="nil"/>
          <w:lang w:val="fr-FR"/>
        </w:rPr>
        <w:t>RSSBC</w:t>
      </w:r>
      <w:r w:rsidR="00B004A9" w:rsidDel="00B004A9">
        <w:rPr>
          <w:rFonts w:ascii="Arial" w:eastAsia="Arial" w:hAnsi="Arial" w:cs="Arial"/>
          <w:sz w:val="22"/>
          <w:szCs w:val="22"/>
          <w:bdr w:val="nil"/>
          <w:lang w:val="fr-FR"/>
        </w:rPr>
        <w:t xml:space="preserve"> </w:t>
      </w:r>
      <w:r>
        <w:rPr>
          <w:rFonts w:ascii="Arial" w:eastAsia="Arial" w:hAnsi="Arial" w:cs="Arial"/>
          <w:sz w:val="22"/>
          <w:szCs w:val="22"/>
          <w:bdr w:val="nil"/>
          <w:lang w:val="fr-FR"/>
        </w:rPr>
        <w:t xml:space="preserve">à l’aide d’enquêtes communautaires annuelles auprès des ménages, des données de programmation régulières et des évaluations des </w:t>
      </w:r>
      <w:r w:rsidR="00563657">
        <w:rPr>
          <w:rFonts w:ascii="Arial" w:eastAsia="Arial" w:hAnsi="Arial" w:cs="Arial"/>
          <w:sz w:val="22"/>
          <w:szCs w:val="22"/>
          <w:bdr w:val="nil"/>
          <w:lang w:val="fr-FR"/>
        </w:rPr>
        <w:t xml:space="preserve">formations </w:t>
      </w:r>
      <w:r>
        <w:rPr>
          <w:rFonts w:ascii="Arial" w:eastAsia="Arial" w:hAnsi="Arial" w:cs="Arial"/>
          <w:sz w:val="22"/>
          <w:szCs w:val="22"/>
          <w:bdr w:val="nil"/>
          <w:lang w:val="fr-FR"/>
        </w:rPr>
        <w:t xml:space="preserve">sanitaires. Le résultat primaire au niveau communautaire par préfecture utilise les taux de mortalité chez les enfants âgés de moins de cinq ans, ainsi que les résultats secondaires concernant les taux de mortalité chez la mère et chez les nouveau-nés, les nourrissons âgés de moins d’un an ou de moins de deux ans. Nous évaluerons en outre la qualité des paramètres de soin en nous focalisant sur la rapidité des soins prodigués aux enfants via la promptitude de l’administration du traitement après le diagnostic d’une </w:t>
      </w:r>
      <w:r w:rsidRPr="00B469A5">
        <w:rPr>
          <w:rFonts w:ascii="Arial" w:eastAsia="Arial" w:hAnsi="Arial" w:cs="Arial"/>
          <w:sz w:val="22"/>
          <w:szCs w:val="22"/>
          <w:bdr w:val="nil"/>
          <w:lang w:val="fr-FR"/>
        </w:rPr>
        <w:t xml:space="preserve">maladie et via les scores de préparation de </w:t>
      </w:r>
      <w:r w:rsidR="00B773FF" w:rsidRPr="00B469A5">
        <w:rPr>
          <w:rFonts w:ascii="Arial" w:eastAsia="Arial" w:hAnsi="Arial" w:cs="Arial"/>
          <w:sz w:val="22"/>
          <w:szCs w:val="22"/>
          <w:bdr w:val="nil"/>
          <w:lang w:val="fr-FR"/>
        </w:rPr>
        <w:t>formation</w:t>
      </w:r>
      <w:r w:rsidRPr="00B469A5">
        <w:rPr>
          <w:rFonts w:ascii="Arial" w:eastAsia="Arial" w:hAnsi="Arial" w:cs="Arial"/>
          <w:sz w:val="22"/>
          <w:szCs w:val="22"/>
          <w:bdr w:val="nil"/>
          <w:lang w:val="fr-FR"/>
        </w:rPr>
        <w:t xml:space="preserve"> sanitaire. Enfin</w:t>
      </w:r>
      <w:r>
        <w:rPr>
          <w:rFonts w:ascii="Arial" w:eastAsia="Arial" w:hAnsi="Arial" w:cs="Arial"/>
          <w:sz w:val="22"/>
          <w:szCs w:val="22"/>
          <w:bdr w:val="nil"/>
          <w:lang w:val="fr-FR"/>
        </w:rPr>
        <w:t>, nous évaluerons l’équité à l’aide d’analyses secondaires de la mortalité chez les enfants âgés de moins de cinq ans par quintiles de richesse des ménages, niveaux d’éducation maternelle et distance jusqu’à l</w:t>
      </w:r>
      <w:r w:rsidR="005042F6">
        <w:rPr>
          <w:rFonts w:ascii="Arial" w:eastAsia="Arial" w:hAnsi="Arial" w:cs="Arial"/>
          <w:sz w:val="22"/>
          <w:szCs w:val="22"/>
          <w:bdr w:val="nil"/>
          <w:lang w:val="fr-FR"/>
        </w:rPr>
        <w:t>a</w:t>
      </w:r>
      <w:r w:rsidR="00B773FF">
        <w:rPr>
          <w:rFonts w:ascii="Arial" w:eastAsia="Arial" w:hAnsi="Arial" w:cs="Arial"/>
          <w:sz w:val="22"/>
          <w:szCs w:val="22"/>
          <w:bdr w:val="nil"/>
          <w:lang w:val="fr-FR"/>
        </w:rPr>
        <w:t xml:space="preserve"> formation </w:t>
      </w:r>
      <w:r w:rsidR="005042F6">
        <w:rPr>
          <w:rFonts w:ascii="Arial" w:eastAsia="Arial" w:hAnsi="Arial" w:cs="Arial"/>
          <w:sz w:val="22"/>
          <w:szCs w:val="22"/>
          <w:bdr w:val="nil"/>
          <w:lang w:val="fr-FR"/>
        </w:rPr>
        <w:t>sanitaire la</w:t>
      </w:r>
      <w:r>
        <w:rPr>
          <w:rFonts w:ascii="Arial" w:eastAsia="Arial" w:hAnsi="Arial" w:cs="Arial"/>
          <w:sz w:val="22"/>
          <w:szCs w:val="22"/>
          <w:bdr w:val="nil"/>
          <w:lang w:val="fr-FR"/>
        </w:rPr>
        <w:t xml:space="preserve"> plus proche. </w:t>
      </w:r>
    </w:p>
    <w:p w:rsidR="001C0DEE" w:rsidRDefault="00767532">
      <w:pPr>
        <w:pStyle w:val="NoSpacing"/>
        <w:ind w:left="720"/>
        <w:rPr>
          <w:rFonts w:ascii="Arial" w:hAnsi="Arial" w:cs="Arial"/>
          <w:sz w:val="22"/>
          <w:szCs w:val="22"/>
          <w:lang w:val="es-US"/>
        </w:rPr>
      </w:pPr>
      <w:r>
        <w:rPr>
          <w:rFonts w:ascii="Arial" w:eastAsia="Arial" w:hAnsi="Arial" w:cs="Arial"/>
          <w:sz w:val="22"/>
          <w:szCs w:val="22"/>
          <w:u w:val="single"/>
          <w:bdr w:val="nil"/>
          <w:lang w:val="fr-FR"/>
        </w:rPr>
        <w:t>Résultat primaire : taux de mortalité chez les enfants âgés de moins de cinq ans</w:t>
      </w:r>
      <w:r>
        <w:rPr>
          <w:rFonts w:ascii="Arial" w:eastAsia="Arial" w:hAnsi="Arial" w:cs="Arial"/>
          <w:sz w:val="22"/>
          <w:szCs w:val="22"/>
          <w:bdr w:val="nil"/>
          <w:lang w:val="fr-FR"/>
        </w:rPr>
        <w:t xml:space="preserve"> : nous calculerons les taux de mortalité chez les enfants âgés de moins de cinq ans en fonction de toutes les naissances rapportées par les répondantes à l’aide d’un tableau standard </w:t>
      </w:r>
      <w:r>
        <w:rPr>
          <w:rFonts w:ascii="Arial" w:eastAsia="Arial" w:hAnsi="Arial" w:cs="Arial"/>
          <w:sz w:val="22"/>
          <w:szCs w:val="22"/>
          <w:bdr w:val="nil"/>
          <w:lang w:val="fr-FR"/>
        </w:rPr>
        <w:lastRenderedPageBreak/>
        <w:t xml:space="preserve">rapportant les antécédents de naissance/décès. Nous calculerons les taux de mortalité chez les enfants âgés de moins de cinq ans et comparerons le risque de décès avant l’âge de cinq ans sur l’ensemble des enquêtes à l’aide du modèle de régression à risque proportionnel de Cox en prenant l’exposition à l’intervention comme variable explicative. Les enfants encore en vie et âgés de moins de cinq ans au moment de l’enquête seront censurés à droite. </w:t>
      </w:r>
    </w:p>
    <w:p w:rsidR="001C0DEE" w:rsidRDefault="00767532">
      <w:pPr>
        <w:pStyle w:val="NoSpacing"/>
        <w:ind w:left="720"/>
        <w:rPr>
          <w:rFonts w:ascii="Arial" w:hAnsi="Arial" w:cs="Arial"/>
          <w:sz w:val="22"/>
          <w:szCs w:val="22"/>
          <w:lang w:val="es-US"/>
        </w:rPr>
      </w:pPr>
      <w:r>
        <w:rPr>
          <w:rFonts w:ascii="Arial" w:eastAsia="Arial" w:hAnsi="Arial" w:cs="Arial"/>
          <w:sz w:val="22"/>
          <w:szCs w:val="22"/>
          <w:u w:val="single"/>
          <w:bdr w:val="nil"/>
          <w:lang w:val="fr-FR"/>
        </w:rPr>
        <w:t>Résultats secondaires : taux de mortalité chez les nouveau-nés, les nourrissons âgés de moins d’un an et de moins de deux ans</w:t>
      </w:r>
      <w:r>
        <w:rPr>
          <w:rFonts w:ascii="Arial" w:eastAsia="Arial" w:hAnsi="Arial" w:cs="Arial"/>
          <w:sz w:val="22"/>
          <w:szCs w:val="22"/>
          <w:bdr w:val="nil"/>
          <w:lang w:val="fr-FR"/>
        </w:rPr>
        <w:t xml:space="preserve"> : nous calculerons les taux de mortalité chez les nouveau-nés, les nourrissons âgés de moins d’un an et de moins de deux ans en fonction de toutes les naissances rapportées par les répondantes en utilisant les mêmes méthodes que celles décrites ci-dessus, ajustées pour 28 jours, 1 an et 2 ans. </w:t>
      </w:r>
    </w:p>
    <w:p w:rsidR="001C0DEE" w:rsidRDefault="00767532">
      <w:pPr>
        <w:pStyle w:val="NoSpacing"/>
        <w:ind w:left="720"/>
        <w:rPr>
          <w:rFonts w:ascii="Arial" w:hAnsi="Arial" w:cs="Arial"/>
          <w:sz w:val="22"/>
          <w:szCs w:val="22"/>
          <w:lang w:val="es-US"/>
        </w:rPr>
      </w:pPr>
      <w:r>
        <w:rPr>
          <w:rFonts w:ascii="Arial" w:eastAsia="Arial" w:hAnsi="Arial" w:cs="Arial"/>
          <w:sz w:val="22"/>
          <w:szCs w:val="22"/>
          <w:u w:val="single"/>
          <w:bdr w:val="nil"/>
          <w:lang w:val="fr-FR"/>
        </w:rPr>
        <w:t>Résultat secondaire : mortalité maternelle</w:t>
      </w:r>
      <w:r>
        <w:rPr>
          <w:rFonts w:ascii="Arial" w:eastAsia="Arial" w:hAnsi="Arial" w:cs="Arial"/>
          <w:sz w:val="22"/>
          <w:szCs w:val="22"/>
          <w:bdr w:val="nil"/>
          <w:lang w:val="fr-FR"/>
        </w:rPr>
        <w:t> : nous élaborerons une analyse de la mortalité maternelle exploratoire basée sur les rapports de la sororité</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10.2307/1966567","ISSN":"00393665","author":[{"dropping-particle":"","family":"Graham","given":"Wendy","non-dropping-particle":"","parse-names":false,"suffix":""},{"dropping-particle":"","family":"Brass","given":"William","non-dropping-particle":"","parse-names":false,"suffix":""},{"dropping-particle":"","family":"Snow","given":"Robert W.","non-dropping-particle":"","parse-names":false,"suffix":""}],"container-title":"Studies in Family Planning","id":"ITEM-1","issue":"3","issued":{"date-parts":[["1989","5"]]},"page":"125","publisher":"Population Council","title":"Estimating Maternal Mortality: The Sisterhood Method","type":"article-journal","volume":"20"},"uris":["http://www.mendeley.com/documents/?uuid=0709a8a5-3fd5-30c9-a5f8-ad2d52f01b39"]},{"id":"ITEM-2","itemData":{"author":[{"dropping-particle":"","family":"World Health Organization","given":"","non-dropping-particle":"","parse-names":false,"suffix":""},{"dropping-particle":"","family":"Division of Reproductive Health","given":"","non-dropping-particle":"","parse-names":false,"suffix":""}],"id":"ITEM-2","issued":{"date-parts":[["1997"]]},"publisher-place":"Geneva","title":"The Sisterhood Method for Estimating Maternal Mortality: Guidance notes for potential users","type":"report"},"uris":["http://www.mendeley.com/documents/?uuid=f739a3d1-9786-46e7-a848-bca3086eaf95"]}],"mendeley":{"formattedCitation":"(57,58)","plainTextFormattedCitation":"(57,58)","previouslyFormattedCitation":"(58,59)"},"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(57,58)</w:t>
      </w:r>
      <w:r>
        <w:rPr>
          <w:rFonts w:ascii="Arial" w:hAnsi="Arial" w:cs="Arial"/>
          <w:sz w:val="22"/>
          <w:szCs w:val="22"/>
        </w:rPr>
        <w:fldChar w:fldCharType="end"/>
      </w:r>
      <w:r>
        <w:rPr>
          <w:rFonts w:ascii="Arial" w:eastAsia="Arial" w:hAnsi="Arial" w:cs="Arial"/>
          <w:sz w:val="22"/>
          <w:szCs w:val="22"/>
          <w:bdr w:val="nil"/>
          <w:lang w:val="fr-FR"/>
        </w:rPr>
        <w:t>.</w:t>
      </w:r>
    </w:p>
    <w:p w:rsidR="001C0DEE" w:rsidRDefault="001C0DEE">
      <w:pPr>
        <w:pStyle w:val="NoSpacing"/>
        <w:rPr>
          <w:rFonts w:ascii="Arial" w:hAnsi="Arial" w:cs="Arial"/>
          <w:i/>
          <w:sz w:val="22"/>
          <w:szCs w:val="22"/>
          <w:lang w:val="es-US"/>
        </w:rPr>
      </w:pPr>
    </w:p>
    <w:p w:rsidR="001C0DEE" w:rsidRDefault="00767532">
      <w:pPr>
        <w:pStyle w:val="NoSpacing"/>
        <w:rPr>
          <w:rFonts w:ascii="Arial" w:hAnsi="Arial" w:cs="Arial"/>
          <w:i/>
          <w:sz w:val="22"/>
          <w:szCs w:val="22"/>
          <w:lang w:val="es-US"/>
        </w:rPr>
      </w:pPr>
      <w:r>
        <w:rPr>
          <w:rFonts w:ascii="Arial" w:eastAsia="Arial" w:hAnsi="Arial" w:cs="Arial"/>
          <w:i/>
          <w:iCs/>
          <w:sz w:val="22"/>
          <w:szCs w:val="22"/>
          <w:bdr w:val="nil"/>
          <w:lang w:val="fr-FR"/>
        </w:rPr>
        <w:t>Objectif principal 2 : stratégie de mise en œuvre</w:t>
      </w:r>
      <w:r>
        <w:rPr>
          <w:rFonts w:ascii="Arial" w:eastAsia="Arial" w:hAnsi="Arial" w:cs="Arial"/>
          <w:sz w:val="22"/>
          <w:szCs w:val="22"/>
          <w:bdr w:val="nil"/>
          <w:lang w:val="fr-FR"/>
        </w:rPr>
        <w:t> :</w:t>
      </w:r>
    </w:p>
    <w:p w:rsidR="001C0DEE" w:rsidRDefault="00767532">
      <w:pPr>
        <w:pStyle w:val="NoSpacing"/>
        <w:rPr>
          <w:rFonts w:ascii="Arial" w:hAnsi="Arial" w:cs="Arial"/>
          <w:sz w:val="22"/>
          <w:szCs w:val="22"/>
          <w:lang w:val="es-US"/>
        </w:rPr>
      </w:pPr>
      <w:r>
        <w:rPr>
          <w:rFonts w:ascii="Arial" w:eastAsia="Arial" w:hAnsi="Arial" w:cs="Arial"/>
          <w:i/>
          <w:iCs/>
          <w:sz w:val="22"/>
          <w:szCs w:val="22"/>
          <w:bdr w:val="nil"/>
          <w:lang w:val="fr-FR"/>
        </w:rPr>
        <w:t>Portée</w:t>
      </w:r>
      <w:r>
        <w:rPr>
          <w:rFonts w:ascii="Arial" w:eastAsia="Arial" w:hAnsi="Arial" w:cs="Arial"/>
          <w:sz w:val="22"/>
          <w:szCs w:val="22"/>
          <w:bdr w:val="nil"/>
          <w:lang w:val="fr-FR"/>
        </w:rPr>
        <w:t xml:space="preserve"> : nous définissons les mesures de </w:t>
      </w:r>
      <w:r>
        <w:rPr>
          <w:rFonts w:ascii="Arial" w:eastAsia="Arial" w:hAnsi="Arial" w:cs="Arial"/>
          <w:i/>
          <w:iCs/>
          <w:sz w:val="22"/>
          <w:szCs w:val="22"/>
          <w:bdr w:val="nil"/>
          <w:lang w:val="fr-FR"/>
        </w:rPr>
        <w:t>portée</w:t>
      </w:r>
      <w:r>
        <w:rPr>
          <w:rFonts w:ascii="Arial" w:eastAsia="Arial" w:hAnsi="Arial" w:cs="Arial"/>
          <w:sz w:val="22"/>
          <w:szCs w:val="22"/>
          <w:bdr w:val="nil"/>
          <w:lang w:val="fr-FR"/>
        </w:rPr>
        <w:t xml:space="preserve"> comme la proportion de population cible ayant obtenu l’accès aux services de l’initiative de </w:t>
      </w:r>
      <w:r w:rsidR="00B004A9">
        <w:rPr>
          <w:rFonts w:ascii="Arial" w:eastAsia="Arial" w:hAnsi="Arial" w:cs="Arial"/>
          <w:sz w:val="22"/>
          <w:szCs w:val="22"/>
          <w:bdr w:val="nil"/>
          <w:lang w:val="fr-FR"/>
        </w:rPr>
        <w:t>RSSBC</w:t>
      </w:r>
      <w:r w:rsidR="00B004A9" w:rsidDel="00B004A9">
        <w:rPr>
          <w:rFonts w:ascii="Arial" w:eastAsia="Arial" w:hAnsi="Arial" w:cs="Arial"/>
          <w:sz w:val="22"/>
          <w:szCs w:val="22"/>
          <w:bdr w:val="nil"/>
          <w:lang w:val="fr-FR"/>
        </w:rPr>
        <w:t xml:space="preserve"> </w:t>
      </w:r>
      <w:r>
        <w:rPr>
          <w:rFonts w:ascii="Arial" w:eastAsia="Arial" w:hAnsi="Arial" w:cs="Arial"/>
          <w:sz w:val="22"/>
          <w:szCs w:val="22"/>
          <w:bdr w:val="nil"/>
          <w:lang w:val="fr-FR"/>
        </w:rPr>
        <w:t xml:space="preserve">à l’aide des enquêtes communautaires annuelles menées auprès des ménages. Nous évaluerons la stratégie de mise en œuvre via la participation individuelle au </w:t>
      </w:r>
      <w:r w:rsidR="00B004A9">
        <w:rPr>
          <w:rFonts w:ascii="Arial" w:eastAsia="Arial" w:hAnsi="Arial" w:cs="Arial"/>
          <w:sz w:val="22"/>
          <w:szCs w:val="22"/>
          <w:bdr w:val="nil"/>
          <w:lang w:val="fr-FR"/>
        </w:rPr>
        <w:t>RSSBC</w:t>
      </w:r>
      <w:r w:rsidR="000D5A66">
        <w:rPr>
          <w:rFonts w:ascii="Arial" w:eastAsia="Arial" w:hAnsi="Arial" w:cs="Arial"/>
          <w:sz w:val="22"/>
          <w:szCs w:val="22"/>
          <w:bdr w:val="nil"/>
          <w:lang w:val="fr-FR"/>
        </w:rPr>
        <w:t xml:space="preserve"> grâce à </w:t>
      </w:r>
      <w:r>
        <w:rPr>
          <w:rFonts w:ascii="Arial" w:eastAsia="Arial" w:hAnsi="Arial" w:cs="Arial"/>
          <w:sz w:val="22"/>
          <w:szCs w:val="22"/>
          <w:bdr w:val="nil"/>
          <w:lang w:val="fr-FR"/>
        </w:rPr>
        <w:t>l’utilisation des services sanitaires au niveau communautaire (vis-à-vis des ASC</w:t>
      </w:r>
      <w:r w:rsidR="000D5A66">
        <w:rPr>
          <w:rFonts w:ascii="Arial" w:eastAsia="Arial" w:hAnsi="Arial" w:cs="Arial"/>
          <w:sz w:val="22"/>
          <w:szCs w:val="22"/>
          <w:bdr w:val="nil"/>
          <w:lang w:val="fr-FR"/>
        </w:rPr>
        <w:t>s</w:t>
      </w:r>
      <w:r>
        <w:rPr>
          <w:rFonts w:ascii="Arial" w:eastAsia="Arial" w:hAnsi="Arial" w:cs="Arial"/>
          <w:sz w:val="22"/>
          <w:szCs w:val="22"/>
          <w:bdr w:val="nil"/>
          <w:lang w:val="fr-FR"/>
        </w:rPr>
        <w:t xml:space="preserve">) et au niveau de </w:t>
      </w:r>
      <w:r w:rsidR="000D5A66">
        <w:rPr>
          <w:rFonts w:ascii="Arial" w:eastAsia="Arial" w:hAnsi="Arial" w:cs="Arial"/>
          <w:sz w:val="22"/>
          <w:szCs w:val="22"/>
          <w:bdr w:val="nil"/>
          <w:lang w:val="fr-FR"/>
        </w:rPr>
        <w:t xml:space="preserve">la </w:t>
      </w:r>
      <w:r w:rsidR="00B773FF">
        <w:rPr>
          <w:rFonts w:ascii="Arial" w:eastAsia="Arial" w:hAnsi="Arial" w:cs="Arial"/>
          <w:sz w:val="22"/>
          <w:szCs w:val="22"/>
          <w:bdr w:val="nil"/>
          <w:lang w:val="fr-FR"/>
        </w:rPr>
        <w:t>formation sanitaire</w:t>
      </w:r>
      <w:r>
        <w:rPr>
          <w:rFonts w:ascii="Arial" w:eastAsia="Arial" w:hAnsi="Arial" w:cs="Arial"/>
          <w:sz w:val="22"/>
          <w:szCs w:val="22"/>
          <w:bdr w:val="nil"/>
          <w:lang w:val="fr-FR"/>
        </w:rPr>
        <w:t>, en utilisant des estimations de couverture des service</w:t>
      </w:r>
      <w:r w:rsidR="000D5A66">
        <w:rPr>
          <w:rFonts w:ascii="Arial" w:eastAsia="Arial" w:hAnsi="Arial" w:cs="Arial"/>
          <w:sz w:val="22"/>
          <w:szCs w:val="22"/>
          <w:bdr w:val="nil"/>
          <w:lang w:val="fr-FR"/>
        </w:rPr>
        <w:t>s sanitaires et la promptitude de l’accès</w:t>
      </w:r>
      <w:r>
        <w:rPr>
          <w:rFonts w:ascii="Arial" w:eastAsia="Arial" w:hAnsi="Arial" w:cs="Arial"/>
          <w:sz w:val="22"/>
          <w:szCs w:val="22"/>
          <w:bdr w:val="nil"/>
          <w:lang w:val="fr-FR"/>
        </w:rPr>
        <w:t xml:space="preserve"> aux services pour la santé infantile. Nous utiliserons un modèle linéaire généralisé à effets mixtes pour comparer les proportions </w:t>
      </w:r>
      <w:r w:rsidR="00D97131">
        <w:rPr>
          <w:rFonts w:ascii="Arial" w:eastAsia="Arial" w:hAnsi="Arial" w:cs="Arial"/>
          <w:sz w:val="22"/>
          <w:szCs w:val="22"/>
          <w:bdr w:val="nil"/>
          <w:lang w:val="fr-FR"/>
        </w:rPr>
        <w:t>pré intervention</w:t>
      </w:r>
      <w:r>
        <w:rPr>
          <w:rFonts w:ascii="Arial" w:eastAsia="Arial" w:hAnsi="Arial" w:cs="Arial"/>
          <w:sz w:val="22"/>
          <w:szCs w:val="22"/>
          <w:bdr w:val="nil"/>
          <w:lang w:val="fr-FR"/>
        </w:rPr>
        <w:t xml:space="preserve"> et </w:t>
      </w:r>
      <w:r w:rsidR="00D97131">
        <w:rPr>
          <w:rFonts w:ascii="Arial" w:eastAsia="Arial" w:hAnsi="Arial" w:cs="Arial"/>
          <w:sz w:val="22"/>
          <w:szCs w:val="22"/>
          <w:bdr w:val="nil"/>
          <w:lang w:val="fr-FR"/>
        </w:rPr>
        <w:t>post intervention</w:t>
      </w:r>
      <w:r>
        <w:rPr>
          <w:rFonts w:ascii="Arial" w:eastAsia="Arial" w:hAnsi="Arial" w:cs="Arial"/>
          <w:sz w:val="22"/>
          <w:szCs w:val="22"/>
          <w:bdr w:val="nil"/>
          <w:lang w:val="fr-FR"/>
        </w:rPr>
        <w:t xml:space="preserve"> pour chaque indicateur de </w:t>
      </w:r>
      <w:r>
        <w:rPr>
          <w:rFonts w:ascii="Arial" w:eastAsia="Arial" w:hAnsi="Arial" w:cs="Arial"/>
          <w:i/>
          <w:iCs/>
          <w:sz w:val="22"/>
          <w:szCs w:val="22"/>
          <w:bdr w:val="nil"/>
          <w:lang w:val="fr-FR"/>
        </w:rPr>
        <w:t>portée</w:t>
      </w:r>
      <w:r>
        <w:rPr>
          <w:rFonts w:ascii="Arial" w:eastAsia="Arial" w:hAnsi="Arial" w:cs="Arial"/>
          <w:sz w:val="22"/>
          <w:szCs w:val="22"/>
          <w:bdr w:val="nil"/>
          <w:lang w:val="fr-FR"/>
        </w:rPr>
        <w:t xml:space="preserve"> tout en ajustant en </w:t>
      </w:r>
      <w:r w:rsidR="00D97131">
        <w:rPr>
          <w:rFonts w:ascii="Arial" w:eastAsia="Arial" w:hAnsi="Arial" w:cs="Arial"/>
          <w:sz w:val="22"/>
          <w:szCs w:val="22"/>
          <w:bdr w:val="nil"/>
          <w:lang w:val="fr-FR"/>
        </w:rPr>
        <w:t>fonction du groupe au niveau de</w:t>
      </w:r>
      <w:r w:rsidR="00B773FF">
        <w:rPr>
          <w:rFonts w:ascii="Arial" w:eastAsia="Arial" w:hAnsi="Arial" w:cs="Arial"/>
          <w:sz w:val="22"/>
          <w:szCs w:val="22"/>
          <w:bdr w:val="nil"/>
          <w:lang w:val="fr-FR"/>
        </w:rPr>
        <w:t xml:space="preserve"> la formation</w:t>
      </w:r>
      <w:r w:rsidR="00931D06">
        <w:rPr>
          <w:rFonts w:ascii="Arial" w:eastAsia="Arial" w:hAnsi="Arial" w:cs="Arial"/>
          <w:sz w:val="22"/>
          <w:szCs w:val="22"/>
          <w:bdr w:val="nil"/>
          <w:lang w:val="fr-FR"/>
        </w:rPr>
        <w:t xml:space="preserve"> sanitaire</w:t>
      </w:r>
      <w:r w:rsidR="00B773FF">
        <w:rPr>
          <w:rFonts w:ascii="Arial" w:eastAsia="Arial" w:hAnsi="Arial" w:cs="Arial"/>
          <w:sz w:val="22"/>
          <w:szCs w:val="22"/>
          <w:bdr w:val="nil"/>
          <w:lang w:val="fr-FR"/>
        </w:rPr>
        <w:t xml:space="preserve"> </w:t>
      </w:r>
      <w:r>
        <w:rPr>
          <w:rFonts w:ascii="Arial" w:eastAsia="Arial" w:hAnsi="Arial" w:cs="Arial"/>
          <w:sz w:val="22"/>
          <w:szCs w:val="22"/>
          <w:bdr w:val="nil"/>
          <w:lang w:val="fr-FR"/>
        </w:rPr>
        <w:t xml:space="preserve">et </w:t>
      </w:r>
      <w:r w:rsidR="00827C06">
        <w:rPr>
          <w:rFonts w:ascii="Arial" w:eastAsia="Arial" w:hAnsi="Arial" w:cs="Arial"/>
          <w:sz w:val="22"/>
          <w:szCs w:val="22"/>
          <w:bdr w:val="nil"/>
          <w:lang w:val="fr-FR"/>
        </w:rPr>
        <w:t>du district</w:t>
      </w:r>
      <w:r>
        <w:rPr>
          <w:rFonts w:ascii="Arial" w:eastAsia="Arial" w:hAnsi="Arial" w:cs="Arial"/>
          <w:sz w:val="22"/>
          <w:szCs w:val="22"/>
          <w:bdr w:val="nil"/>
          <w:lang w:val="fr-FR"/>
        </w:rPr>
        <w:t>, en fonction du temps, e</w:t>
      </w:r>
      <w:r w:rsidRPr="00B469A5">
        <w:rPr>
          <w:rFonts w:ascii="Arial" w:eastAsia="Arial" w:hAnsi="Arial" w:cs="Arial"/>
          <w:sz w:val="22"/>
          <w:szCs w:val="22"/>
          <w:bdr w:val="nil"/>
          <w:lang w:val="fr-FR"/>
        </w:rPr>
        <w:t xml:space="preserve">t en permettant que les estimations au niveau </w:t>
      </w:r>
      <w:r w:rsidR="00827C06" w:rsidRPr="00B469A5">
        <w:rPr>
          <w:rFonts w:ascii="Arial" w:eastAsia="Arial" w:hAnsi="Arial" w:cs="Arial"/>
          <w:sz w:val="22"/>
          <w:szCs w:val="22"/>
          <w:bdr w:val="nil"/>
          <w:lang w:val="fr-FR"/>
        </w:rPr>
        <w:t>du district</w:t>
      </w:r>
      <w:r w:rsidRPr="00B469A5">
        <w:rPr>
          <w:rFonts w:ascii="Arial" w:eastAsia="Arial" w:hAnsi="Arial" w:cs="Arial"/>
          <w:sz w:val="22"/>
          <w:szCs w:val="22"/>
          <w:bdr w:val="nil"/>
          <w:lang w:val="fr-FR"/>
        </w:rPr>
        <w:t xml:space="preserve"> soient des effets aléatoires</w:t>
      </w:r>
      <w:r>
        <w:rPr>
          <w:rFonts w:ascii="Arial" w:eastAsia="Arial" w:hAnsi="Arial" w:cs="Arial"/>
          <w:sz w:val="22"/>
          <w:szCs w:val="22"/>
          <w:bdr w:val="nil"/>
          <w:lang w:val="fr-FR"/>
        </w:rPr>
        <w:t xml:space="preserve">. </w:t>
      </w:r>
      <w:r>
        <w:rPr>
          <w:rFonts w:ascii="Arial" w:eastAsia="Arial" w:hAnsi="Arial" w:cs="Arial"/>
          <w:sz w:val="22"/>
          <w:szCs w:val="22"/>
          <w:bdr w:val="nil"/>
          <w:lang w:val="fr-FR"/>
        </w:rPr>
        <w:lastRenderedPageBreak/>
        <w:t xml:space="preserve">Notre analyse primaire n’inclura pas un ajustement en fonction des caractéristiques individuelles, puisque chaque préfecture sera son propre témoin. </w:t>
      </w:r>
    </w:p>
    <w:p w:rsidR="001C0DEE" w:rsidRDefault="001C0DEE">
      <w:pPr>
        <w:pStyle w:val="NoSpacing"/>
        <w:rPr>
          <w:rFonts w:ascii="Arial" w:hAnsi="Arial" w:cs="Arial"/>
          <w:i/>
          <w:sz w:val="22"/>
          <w:szCs w:val="22"/>
          <w:lang w:val="es-US"/>
        </w:rPr>
      </w:pPr>
    </w:p>
    <w:p w:rsidR="001C0DEE" w:rsidRDefault="00767532">
      <w:pPr>
        <w:pStyle w:val="NoSpacing"/>
        <w:rPr>
          <w:rFonts w:ascii="Arial" w:hAnsi="Arial" w:cs="Arial"/>
          <w:sz w:val="22"/>
          <w:szCs w:val="22"/>
          <w:lang w:val="fr-FR"/>
        </w:rPr>
      </w:pPr>
      <w:r>
        <w:rPr>
          <w:rFonts w:ascii="Arial" w:eastAsia="Arial" w:hAnsi="Arial" w:cs="Arial"/>
          <w:i/>
          <w:iCs/>
          <w:sz w:val="22"/>
          <w:szCs w:val="22"/>
          <w:bdr w:val="nil"/>
          <w:lang w:val="fr-FR"/>
        </w:rPr>
        <w:t>Adoption</w:t>
      </w:r>
      <w:r>
        <w:rPr>
          <w:rFonts w:ascii="Arial" w:eastAsia="Arial" w:hAnsi="Arial" w:cs="Arial"/>
          <w:sz w:val="22"/>
          <w:szCs w:val="22"/>
          <w:bdr w:val="nil"/>
          <w:lang w:val="fr-FR"/>
        </w:rPr>
        <w:t> : nous définissons les mesures d’</w:t>
      </w:r>
      <w:r>
        <w:rPr>
          <w:rFonts w:ascii="Arial" w:eastAsia="Arial" w:hAnsi="Arial" w:cs="Arial"/>
          <w:i/>
          <w:iCs/>
          <w:sz w:val="22"/>
          <w:szCs w:val="22"/>
          <w:bdr w:val="nil"/>
          <w:lang w:val="fr-FR"/>
        </w:rPr>
        <w:t xml:space="preserve">adoption </w:t>
      </w:r>
      <w:r>
        <w:rPr>
          <w:rFonts w:ascii="Arial" w:eastAsia="Arial" w:hAnsi="Arial" w:cs="Arial"/>
          <w:sz w:val="22"/>
          <w:szCs w:val="22"/>
          <w:bdr w:val="nil"/>
          <w:lang w:val="fr-FR"/>
        </w:rPr>
        <w:t>pour cette étude comme la proportion de la communau</w:t>
      </w:r>
      <w:r w:rsidR="00DD41E6">
        <w:rPr>
          <w:rFonts w:ascii="Arial" w:eastAsia="Arial" w:hAnsi="Arial" w:cs="Arial"/>
          <w:sz w:val="22"/>
          <w:szCs w:val="22"/>
          <w:bdr w:val="nil"/>
          <w:lang w:val="fr-FR"/>
        </w:rPr>
        <w:t xml:space="preserve">té et de prestataires </w:t>
      </w:r>
      <w:r>
        <w:rPr>
          <w:rFonts w:ascii="Arial" w:eastAsia="Arial" w:hAnsi="Arial" w:cs="Arial"/>
          <w:sz w:val="22"/>
          <w:szCs w:val="22"/>
          <w:bdr w:val="nil"/>
          <w:lang w:val="fr-FR"/>
        </w:rPr>
        <w:t>transformant les comportements liés à la recherche ou à l’administration de soins de santé. Notre évaluation de l’</w:t>
      </w:r>
      <w:r>
        <w:rPr>
          <w:rFonts w:ascii="Arial" w:eastAsia="Arial" w:hAnsi="Arial" w:cs="Arial"/>
          <w:i/>
          <w:iCs/>
          <w:sz w:val="22"/>
          <w:szCs w:val="22"/>
          <w:bdr w:val="nil"/>
          <w:lang w:val="fr-FR"/>
        </w:rPr>
        <w:t>adoption</w:t>
      </w:r>
      <w:r>
        <w:rPr>
          <w:rFonts w:ascii="Arial" w:eastAsia="Arial" w:hAnsi="Arial" w:cs="Arial"/>
          <w:sz w:val="22"/>
          <w:szCs w:val="22"/>
          <w:bdr w:val="nil"/>
          <w:lang w:val="fr-FR"/>
        </w:rPr>
        <w:t xml:space="preserve"> sera réalisée à l’aide des données de programmation régulières et des enquêtes communautaires annuelles menées auprès des ménages. Via ce domaine, nous évaluerons les mesures de la stratégie de mise en œuvre en utilisant l’engagement au niveau communautaire et le changement comportemental par l’adoption au niveau individuel de l’intervention de </w:t>
      </w:r>
      <w:r w:rsidR="00B004A9">
        <w:rPr>
          <w:rFonts w:ascii="Arial" w:eastAsia="Arial" w:hAnsi="Arial" w:cs="Arial"/>
          <w:sz w:val="22"/>
          <w:szCs w:val="22"/>
          <w:bdr w:val="nil"/>
          <w:lang w:val="fr-FR"/>
        </w:rPr>
        <w:t>RSSBC</w:t>
      </w:r>
      <w:r>
        <w:rPr>
          <w:rFonts w:ascii="Arial" w:eastAsia="Arial" w:hAnsi="Arial" w:cs="Arial"/>
          <w:sz w:val="22"/>
          <w:szCs w:val="22"/>
          <w:bdr w:val="nil"/>
          <w:lang w:val="fr-FR"/>
        </w:rPr>
        <w:t xml:space="preserve">. Nous évaluerons si ces proportions augmentent, en appliquant la même approche que celle décrite dans les mesures d’évaluation de la </w:t>
      </w:r>
      <w:r>
        <w:rPr>
          <w:rFonts w:ascii="Arial" w:eastAsia="Arial" w:hAnsi="Arial" w:cs="Arial"/>
          <w:i/>
          <w:iCs/>
          <w:sz w:val="22"/>
          <w:szCs w:val="22"/>
          <w:bdr w:val="nil"/>
          <w:lang w:val="fr-FR"/>
        </w:rPr>
        <w:t>portée</w:t>
      </w:r>
      <w:r>
        <w:rPr>
          <w:rFonts w:ascii="Arial" w:eastAsia="Arial" w:hAnsi="Arial" w:cs="Arial"/>
          <w:sz w:val="22"/>
          <w:szCs w:val="22"/>
          <w:bdr w:val="nil"/>
          <w:lang w:val="fr-FR"/>
        </w:rPr>
        <w:t xml:space="preserve"> via des modèles </w:t>
      </w:r>
      <w:r w:rsidR="008D2544">
        <w:rPr>
          <w:rFonts w:ascii="Arial" w:eastAsia="Arial" w:hAnsi="Arial" w:cs="Arial"/>
          <w:sz w:val="22"/>
          <w:szCs w:val="22"/>
          <w:bdr w:val="nil"/>
          <w:lang w:val="fr-FR"/>
        </w:rPr>
        <w:t>lin</w:t>
      </w:r>
      <w:r w:rsidR="00D46728">
        <w:rPr>
          <w:rFonts w:ascii="Arial" w:eastAsia="Arial" w:hAnsi="Arial" w:cs="Arial"/>
          <w:sz w:val="22"/>
          <w:szCs w:val="22"/>
          <w:bdr w:val="nil"/>
          <w:lang w:val="fr-FR"/>
        </w:rPr>
        <w:t>éaires généralisé</w:t>
      </w:r>
      <w:r w:rsidR="008D2544">
        <w:rPr>
          <w:rFonts w:ascii="Arial" w:eastAsia="Arial" w:hAnsi="Arial" w:cs="Arial"/>
          <w:sz w:val="22"/>
          <w:szCs w:val="22"/>
          <w:bdr w:val="nil"/>
          <w:lang w:val="fr-FR"/>
        </w:rPr>
        <w:t>s</w:t>
      </w:r>
      <w:r>
        <w:rPr>
          <w:rFonts w:ascii="Arial" w:eastAsia="Arial" w:hAnsi="Arial" w:cs="Arial"/>
          <w:sz w:val="22"/>
          <w:szCs w:val="22"/>
          <w:bdr w:val="nil"/>
          <w:lang w:val="fr-FR"/>
        </w:rPr>
        <w:t xml:space="preserve"> à effets mixtes.</w:t>
      </w:r>
    </w:p>
    <w:p w:rsidR="001C0DEE" w:rsidRDefault="001C0DEE">
      <w:pPr>
        <w:pStyle w:val="NoSpacing"/>
        <w:rPr>
          <w:rFonts w:ascii="Arial" w:hAnsi="Arial" w:cs="Arial"/>
          <w:sz w:val="22"/>
          <w:szCs w:val="22"/>
          <w:lang w:val="fr-FR"/>
        </w:rPr>
      </w:pPr>
    </w:p>
    <w:p w:rsidR="001C0DEE" w:rsidRDefault="00767532">
      <w:pPr>
        <w:pStyle w:val="NoSpacing"/>
        <w:rPr>
          <w:rFonts w:ascii="Arial" w:hAnsi="Arial" w:cs="Arial"/>
          <w:sz w:val="22"/>
          <w:szCs w:val="22"/>
          <w:lang w:val="es-US"/>
        </w:rPr>
      </w:pPr>
      <w:r>
        <w:rPr>
          <w:rFonts w:ascii="Arial" w:eastAsia="Arial" w:hAnsi="Arial" w:cs="Arial"/>
          <w:i/>
          <w:iCs/>
          <w:sz w:val="22"/>
          <w:szCs w:val="22"/>
          <w:bdr w:val="nil"/>
          <w:lang w:val="fr-FR"/>
        </w:rPr>
        <w:t>Mise en œuvre</w:t>
      </w:r>
      <w:r>
        <w:rPr>
          <w:rFonts w:ascii="Arial" w:eastAsia="Arial" w:hAnsi="Arial" w:cs="Arial"/>
          <w:sz w:val="22"/>
          <w:szCs w:val="22"/>
          <w:bdr w:val="nil"/>
          <w:lang w:val="fr-FR"/>
        </w:rPr>
        <w:t xml:space="preserve"> : les mesures de la </w:t>
      </w:r>
      <w:r>
        <w:rPr>
          <w:rFonts w:ascii="Arial" w:eastAsia="Arial" w:hAnsi="Arial" w:cs="Arial"/>
          <w:i/>
          <w:iCs/>
          <w:sz w:val="22"/>
          <w:szCs w:val="22"/>
          <w:bdr w:val="nil"/>
          <w:lang w:val="fr-FR"/>
        </w:rPr>
        <w:t>mise en œuvre</w:t>
      </w:r>
      <w:r>
        <w:rPr>
          <w:rFonts w:ascii="Arial" w:eastAsia="Arial" w:hAnsi="Arial" w:cs="Arial"/>
          <w:sz w:val="22"/>
          <w:szCs w:val="22"/>
          <w:bdr w:val="nil"/>
          <w:lang w:val="fr-FR"/>
        </w:rPr>
        <w:t xml:space="preserve"> sont exprimées en fidélité et faisabilité ainsi qu’en documentant les facteurs contextuels. L’évaluation de la </w:t>
      </w:r>
      <w:r>
        <w:rPr>
          <w:rFonts w:ascii="Arial" w:eastAsia="Arial" w:hAnsi="Arial" w:cs="Arial"/>
          <w:i/>
          <w:iCs/>
          <w:sz w:val="22"/>
          <w:szCs w:val="22"/>
          <w:bdr w:val="nil"/>
          <w:lang w:val="fr-FR"/>
        </w:rPr>
        <w:t>mise en œuvre</w:t>
      </w:r>
      <w:r>
        <w:rPr>
          <w:rFonts w:ascii="Arial" w:eastAsia="Arial" w:hAnsi="Arial" w:cs="Arial"/>
          <w:sz w:val="22"/>
          <w:szCs w:val="22"/>
          <w:bdr w:val="nil"/>
          <w:lang w:val="fr-FR"/>
        </w:rPr>
        <w:t xml:space="preserve"> sera réalisée à l’aide des évaluations qualitatives des informateurs clés (lors des entretiens approfondis avec les partenaires de mise en œuvre et le personnel de </w:t>
      </w:r>
      <w:r w:rsidR="00433A32">
        <w:rPr>
          <w:rFonts w:ascii="Arial" w:eastAsia="Arial" w:hAnsi="Arial" w:cs="Arial"/>
          <w:sz w:val="22"/>
          <w:szCs w:val="22"/>
          <w:bdr w:val="nil"/>
          <w:lang w:val="fr-FR"/>
        </w:rPr>
        <w:t>la formation</w:t>
      </w:r>
      <w:r>
        <w:rPr>
          <w:rFonts w:ascii="Arial" w:eastAsia="Arial" w:hAnsi="Arial" w:cs="Arial"/>
          <w:sz w:val="22"/>
          <w:szCs w:val="22"/>
          <w:bdr w:val="nil"/>
          <w:lang w:val="fr-FR"/>
        </w:rPr>
        <w:t xml:space="preserve"> sanitaire) qui seront menées 1 an après l’intervention au niveau du groupe (préfecture). Cela complètera les données quantitatives recueillies afin d’évaluer la stratégie de mise en œuvre et permettra d’évaluer </w:t>
      </w:r>
      <w:r w:rsidR="006622E9">
        <w:rPr>
          <w:rFonts w:ascii="Arial" w:eastAsia="Arial" w:hAnsi="Arial" w:cs="Arial"/>
          <w:sz w:val="22"/>
          <w:szCs w:val="22"/>
          <w:bdr w:val="nil"/>
          <w:lang w:val="fr-FR"/>
        </w:rPr>
        <w:t>les thèmes émergeants</w:t>
      </w:r>
      <w:r>
        <w:rPr>
          <w:rFonts w:ascii="Arial" w:eastAsia="Arial" w:hAnsi="Arial" w:cs="Arial"/>
          <w:sz w:val="22"/>
          <w:szCs w:val="22"/>
          <w:bdr w:val="nil"/>
          <w:lang w:val="fr-FR"/>
        </w:rPr>
        <w:t xml:space="preserve">. </w:t>
      </w:r>
    </w:p>
    <w:p w:rsidR="001C0DEE" w:rsidRDefault="001C0DEE">
      <w:pPr>
        <w:pStyle w:val="NoSpacing"/>
        <w:rPr>
          <w:rFonts w:ascii="Arial" w:hAnsi="Arial" w:cs="Arial"/>
          <w:sz w:val="22"/>
          <w:szCs w:val="22"/>
          <w:lang w:val="es-US"/>
        </w:rPr>
      </w:pPr>
    </w:p>
    <w:p w:rsidR="001C0DEE" w:rsidRDefault="00767532">
      <w:pPr>
        <w:pStyle w:val="NoSpacing"/>
        <w:rPr>
          <w:rFonts w:ascii="Arial" w:hAnsi="Arial" w:cs="Arial"/>
          <w:b/>
          <w:sz w:val="22"/>
          <w:szCs w:val="22"/>
          <w:lang w:val="es-US"/>
        </w:rPr>
      </w:pPr>
      <w:r>
        <w:rPr>
          <w:rFonts w:ascii="Arial" w:eastAsia="Arial" w:hAnsi="Arial" w:cs="Arial"/>
          <w:i/>
          <w:iCs/>
          <w:sz w:val="22"/>
          <w:szCs w:val="22"/>
          <w:bdr w:val="nil"/>
          <w:lang w:val="fr-FR"/>
        </w:rPr>
        <w:t xml:space="preserve">Maintien : </w:t>
      </w:r>
      <w:r>
        <w:rPr>
          <w:rFonts w:ascii="Arial" w:eastAsia="Arial" w:hAnsi="Arial" w:cs="Arial"/>
          <w:sz w:val="22"/>
          <w:szCs w:val="22"/>
          <w:bdr w:val="nil"/>
          <w:lang w:val="fr-FR"/>
        </w:rPr>
        <w:t xml:space="preserve">notre étude définit les mesures de </w:t>
      </w:r>
      <w:r>
        <w:rPr>
          <w:rFonts w:ascii="Arial" w:eastAsia="Arial" w:hAnsi="Arial" w:cs="Arial"/>
          <w:i/>
          <w:iCs/>
          <w:sz w:val="22"/>
          <w:szCs w:val="22"/>
          <w:bdr w:val="nil"/>
          <w:lang w:val="fr-FR"/>
        </w:rPr>
        <w:t xml:space="preserve">maintien </w:t>
      </w:r>
      <w:r>
        <w:rPr>
          <w:rFonts w:ascii="Arial" w:eastAsia="Arial" w:hAnsi="Arial" w:cs="Arial"/>
          <w:sz w:val="22"/>
          <w:szCs w:val="22"/>
          <w:bdr w:val="nil"/>
          <w:lang w:val="fr-FR"/>
        </w:rPr>
        <w:t xml:space="preserve">comme les coûts requis pour fournir et maintenir le modèle de </w:t>
      </w:r>
      <w:r w:rsidR="00B004A9">
        <w:rPr>
          <w:rFonts w:ascii="Arial" w:eastAsia="Arial" w:hAnsi="Arial" w:cs="Arial"/>
          <w:sz w:val="22"/>
          <w:szCs w:val="22"/>
          <w:bdr w:val="nil"/>
          <w:lang w:val="fr-FR"/>
        </w:rPr>
        <w:t>RSSBC</w:t>
      </w:r>
      <w:r>
        <w:rPr>
          <w:rFonts w:ascii="Arial" w:eastAsia="Arial" w:hAnsi="Arial" w:cs="Arial"/>
          <w:sz w:val="22"/>
          <w:szCs w:val="22"/>
          <w:bdr w:val="nil"/>
          <w:lang w:val="fr-FR"/>
        </w:rPr>
        <w:t xml:space="preserve">. L’évaluation du </w:t>
      </w:r>
      <w:r>
        <w:rPr>
          <w:rFonts w:ascii="Arial" w:eastAsia="Arial" w:hAnsi="Arial" w:cs="Arial"/>
          <w:i/>
          <w:iCs/>
          <w:sz w:val="22"/>
          <w:szCs w:val="22"/>
          <w:bdr w:val="nil"/>
          <w:lang w:val="fr-FR"/>
        </w:rPr>
        <w:t xml:space="preserve">maintien </w:t>
      </w:r>
      <w:r>
        <w:rPr>
          <w:rFonts w:ascii="Arial" w:eastAsia="Arial" w:hAnsi="Arial" w:cs="Arial"/>
          <w:sz w:val="22"/>
          <w:szCs w:val="22"/>
          <w:bdr w:val="nil"/>
          <w:lang w:val="fr-FR"/>
        </w:rPr>
        <w:t xml:space="preserve">sera réalisée au moyen de l’Analyse du coût et du retour sur investissement, qui sera menée chaque année de la mise en œuvre au niveau du groupe (préfecture). Cette analyse évaluera les coûts de mise en œuvre du programme en fonction de la conception de la stratégie en utilisant rétrospectivement l’Outil de </w:t>
      </w:r>
      <w:r>
        <w:rPr>
          <w:rFonts w:ascii="Arial" w:eastAsia="Arial" w:hAnsi="Arial" w:cs="Arial"/>
          <w:sz w:val="22"/>
          <w:szCs w:val="22"/>
          <w:bdr w:val="nil"/>
          <w:lang w:val="fr-FR"/>
        </w:rPr>
        <w:lastRenderedPageBreak/>
        <w:t>planification de la santé communautaire et de calcul des coûts</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author":[{"dropping-particle":"","family":"Collins","given":"David","non-dropping-particle":"","parse-names":false,"suffix":""},{"dropping-particle":"","family":"Jarrah","given":"Zina","non-dropping-particle":"","parse-names":false,"suffix":""}],"id":"ITEM-1","issued":{"date-parts":[["2016"]]},"publisher":"Management Sciences for Health","title":"Community Health Planning and Costing Tool","type":"article"},"uris":["http://www.mendeley.com/documents/?uuid=84217aad-3b27-3c9f-a70c-3f2cd91e1a56"]}],"mendeley":{"formattedCitation":"(48)","plainTextFormattedCitation":"(48)","previouslyFormattedCitation":"(49)"},"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(48)</w:t>
      </w:r>
      <w:r>
        <w:rPr>
          <w:rFonts w:ascii="Arial" w:hAnsi="Arial" w:cs="Arial"/>
          <w:sz w:val="22"/>
          <w:szCs w:val="22"/>
        </w:rPr>
        <w:fldChar w:fldCharType="end"/>
      </w:r>
      <w:r>
        <w:rPr>
          <w:rFonts w:ascii="Arial" w:eastAsia="Arial" w:hAnsi="Arial" w:cs="Arial"/>
          <w:sz w:val="22"/>
          <w:szCs w:val="22"/>
          <w:bdr w:val="nil"/>
          <w:lang w:val="fr-FR"/>
        </w:rPr>
        <w:t xml:space="preserve"> et l’Outil de calcul des vies sauvées</w:t>
      </w:r>
      <w:r>
        <w:rPr>
          <w:rFonts w:ascii="Arial" w:hAnsi="Arial" w:cs="Arial"/>
          <w:sz w:val="22"/>
          <w:szCs w:val="22"/>
        </w:rPr>
        <w:fldChar w:fldCharType="begin" w:fldLock="1"/>
      </w:r>
      <w:r w:rsidR="00902B77">
        <w:rPr>
          <w:rFonts w:ascii="Arial" w:hAnsi="Arial" w:cs="Arial"/>
          <w:sz w:val="22"/>
          <w:szCs w:val="22"/>
          <w:lang w:val="es-US"/>
        </w:rPr>
        <w:instrText>ADDIN CSL_CITATION {"citationItems":[{"id":"ITEM-1","itemData":{"DOI":"10.1186/s12889-017-4735-4","ISSN":"1471-2458","author":[{"dropping-particle":"","family":"Walker","given":"Neff","non-dropping-particle":"","parse-names":false,"suffix":""},{"dropping-particle":"","family":"Friberg","given":"Ingrid K.","non-dropping-particle":"","parse-names":false,"suffix":""}],"container-title":"BMC Public Health","id":"ITEM-1","issue":"S4","issued":{"date-parts":[["2017","11","7"]]},"page":"774","publisher":"BioMed Central","title":"Introduction: reporting on updates in the scientific basis for the Lives Saved Tool (LiST)","type":"article-journal","volume":"17"},"uris":["http://www.mendeley.com/documents/?uuid=e6aac1cf-5473-3fad-84a6-33f7555e6edf"]}],"mendeley":{"formattedCitation":"(49)","plainTextFormattedCitation":"(49)","previouslyFormattedCitation":"(50)"},"properties":{"noteIndex":0},"schema":"https://github.com/citation-style-language/schema/raw/master/csl-citation.json"}</w:instrText>
      </w:r>
      <w:r>
        <w:rPr>
          <w:rFonts w:ascii="Arial" w:hAnsi="Arial" w:cs="Arial"/>
          <w:sz w:val="22"/>
          <w:szCs w:val="22"/>
        </w:rPr>
        <w:fldChar w:fldCharType="separate"/>
      </w:r>
      <w:r w:rsidR="00FD3DDA">
        <w:rPr>
          <w:rFonts w:ascii="Arial" w:hAnsi="Arial" w:cs="Arial"/>
          <w:sz w:val="22"/>
          <w:szCs w:val="22"/>
        </w:rPr>
        <w:t xml:space="preserve"> </w:t>
      </w:r>
      <w:r w:rsidR="00902B77" w:rsidRPr="00902B77">
        <w:rPr>
          <w:rFonts w:ascii="Arial" w:eastAsia="Arial" w:hAnsi="Arial" w:cs="Arial"/>
          <w:noProof/>
          <w:sz w:val="22"/>
          <w:szCs w:val="22"/>
          <w:bdr w:val="nil"/>
          <w:lang w:val="fr-FR"/>
        </w:rPr>
        <w:t>(49)</w:t>
      </w:r>
      <w:r>
        <w:rPr>
          <w:rFonts w:ascii="Arial" w:hAnsi="Arial" w:cs="Arial"/>
          <w:sz w:val="22"/>
          <w:szCs w:val="22"/>
        </w:rPr>
        <w:fldChar w:fldCharType="end"/>
      </w:r>
      <w:r>
        <w:rPr>
          <w:rFonts w:ascii="Arial" w:eastAsia="Arial" w:hAnsi="Arial" w:cs="Arial"/>
          <w:sz w:val="22"/>
          <w:szCs w:val="22"/>
          <w:bdr w:val="nil"/>
          <w:lang w:val="fr-FR"/>
        </w:rPr>
        <w:t>. Ces résultats seront utilisés pour soutenir les décisions et processus politiques et de planification.</w:t>
      </w:r>
    </w:p>
    <w:p w:rsidR="001C0DEE" w:rsidRDefault="00767532" w:rsidP="0074757D">
      <w:pPr>
        <w:pStyle w:val="NoSpacing"/>
        <w:spacing w:before="240"/>
        <w:rPr>
          <w:rFonts w:ascii="Arial" w:hAnsi="Arial" w:cs="Arial"/>
          <w:sz w:val="22"/>
          <w:szCs w:val="22"/>
          <w:lang w:val="es-US"/>
        </w:rPr>
      </w:pPr>
      <w:r>
        <w:rPr>
          <w:rFonts w:ascii="Arial" w:eastAsia="Arial" w:hAnsi="Arial" w:cs="Arial"/>
          <w:sz w:val="22"/>
          <w:szCs w:val="22"/>
          <w:bdr w:val="nil"/>
          <w:lang w:val="fr-FR"/>
        </w:rPr>
        <w:t xml:space="preserve">Enfin, pour trianguler plus avant la validité de nos conclusions, nous comparerons nos estimations de référence et à 36 mois pour les domaines de la </w:t>
      </w:r>
      <w:r>
        <w:rPr>
          <w:rFonts w:ascii="Arial" w:eastAsia="Arial" w:hAnsi="Arial" w:cs="Arial"/>
          <w:i/>
          <w:iCs/>
          <w:sz w:val="22"/>
          <w:szCs w:val="22"/>
          <w:bdr w:val="nil"/>
          <w:lang w:val="fr-FR"/>
        </w:rPr>
        <w:t>portée</w:t>
      </w:r>
      <w:r>
        <w:rPr>
          <w:rFonts w:ascii="Arial" w:eastAsia="Arial" w:hAnsi="Arial" w:cs="Arial"/>
          <w:sz w:val="22"/>
          <w:szCs w:val="22"/>
          <w:bdr w:val="nil"/>
          <w:lang w:val="fr-FR"/>
        </w:rPr>
        <w:t>, de l’</w:t>
      </w:r>
      <w:r>
        <w:rPr>
          <w:rFonts w:ascii="Arial" w:eastAsia="Arial" w:hAnsi="Arial" w:cs="Arial"/>
          <w:i/>
          <w:iCs/>
          <w:sz w:val="22"/>
          <w:szCs w:val="22"/>
          <w:bdr w:val="nil"/>
          <w:lang w:val="fr-FR"/>
        </w:rPr>
        <w:t>efficacité</w:t>
      </w:r>
      <w:r>
        <w:rPr>
          <w:rFonts w:ascii="Arial" w:eastAsia="Arial" w:hAnsi="Arial" w:cs="Arial"/>
          <w:sz w:val="22"/>
          <w:szCs w:val="22"/>
          <w:bdr w:val="nil"/>
          <w:lang w:val="fr-FR"/>
        </w:rPr>
        <w:t xml:space="preserve"> et de l’</w:t>
      </w:r>
      <w:r>
        <w:rPr>
          <w:rFonts w:ascii="Arial" w:eastAsia="Arial" w:hAnsi="Arial" w:cs="Arial"/>
          <w:i/>
          <w:iCs/>
          <w:sz w:val="22"/>
          <w:szCs w:val="22"/>
          <w:bdr w:val="nil"/>
          <w:lang w:val="fr-FR"/>
        </w:rPr>
        <w:t>adoption</w:t>
      </w:r>
      <w:r>
        <w:rPr>
          <w:rFonts w:ascii="Arial" w:eastAsia="Arial" w:hAnsi="Arial" w:cs="Arial"/>
          <w:sz w:val="22"/>
          <w:szCs w:val="22"/>
          <w:bdr w:val="nil"/>
          <w:lang w:val="fr-FR"/>
        </w:rPr>
        <w:t xml:space="preserve"> aux </w:t>
      </w:r>
      <w:r w:rsidRPr="0074757D">
        <w:rPr>
          <w:rFonts w:ascii="Arial" w:eastAsia="Arial" w:hAnsi="Arial" w:cs="Arial"/>
          <w:sz w:val="22"/>
          <w:szCs w:val="22"/>
          <w:bdr w:val="nil"/>
          <w:lang w:val="fr-FR"/>
        </w:rPr>
        <w:t>EDS du Togo les plus récentes ou aux données de l’</w:t>
      </w:r>
      <w:r w:rsidR="003279EC" w:rsidRPr="00E82DA7">
        <w:rPr>
          <w:rFonts w:ascii="Arial" w:eastAsia="Arial" w:hAnsi="Arial" w:cs="Arial"/>
          <w:sz w:val="22"/>
          <w:szCs w:val="22"/>
          <w:bdr w:val="nil"/>
          <w:lang w:val="fr-FR"/>
        </w:rPr>
        <w:t>Enquête par grappe a indicateur multiple (MICS)</w:t>
      </w:r>
      <w:r w:rsidRPr="00E82DA7">
        <w:rPr>
          <w:rFonts w:ascii="Arial" w:eastAsia="Arial" w:hAnsi="Arial" w:cs="Arial"/>
          <w:sz w:val="22"/>
          <w:szCs w:val="22"/>
          <w:bdr w:val="nil"/>
          <w:lang w:val="fr-FR"/>
        </w:rPr>
        <w:t>.</w:t>
      </w:r>
      <w:r>
        <w:rPr>
          <w:rFonts w:ascii="Arial" w:eastAsia="Arial" w:hAnsi="Arial" w:cs="Arial"/>
          <w:sz w:val="22"/>
          <w:szCs w:val="22"/>
          <w:bdr w:val="nil"/>
          <w:lang w:val="fr-FR"/>
        </w:rPr>
        <w:t xml:space="preserve"> Nous comparerons également les domaines de la </w:t>
      </w:r>
      <w:r>
        <w:rPr>
          <w:rFonts w:ascii="Arial" w:eastAsia="Arial" w:hAnsi="Arial" w:cs="Arial"/>
          <w:i/>
          <w:iCs/>
          <w:sz w:val="22"/>
          <w:szCs w:val="22"/>
          <w:bdr w:val="nil"/>
          <w:lang w:val="fr-FR"/>
        </w:rPr>
        <w:t xml:space="preserve">portée </w:t>
      </w:r>
      <w:r>
        <w:rPr>
          <w:rFonts w:ascii="Arial" w:eastAsia="Arial" w:hAnsi="Arial" w:cs="Arial"/>
          <w:sz w:val="22"/>
          <w:szCs w:val="22"/>
          <w:bdr w:val="nil"/>
          <w:lang w:val="fr-FR"/>
        </w:rPr>
        <w:t>et de l’</w:t>
      </w:r>
      <w:r>
        <w:rPr>
          <w:rFonts w:ascii="Arial" w:eastAsia="Arial" w:hAnsi="Arial" w:cs="Arial"/>
          <w:i/>
          <w:iCs/>
          <w:sz w:val="22"/>
          <w:szCs w:val="22"/>
          <w:bdr w:val="nil"/>
          <w:lang w:val="fr-FR"/>
        </w:rPr>
        <w:t xml:space="preserve">adoption </w:t>
      </w:r>
      <w:r>
        <w:rPr>
          <w:rFonts w:ascii="Arial" w:eastAsia="Arial" w:hAnsi="Arial" w:cs="Arial"/>
          <w:sz w:val="22"/>
          <w:szCs w:val="22"/>
          <w:bdr w:val="nil"/>
          <w:lang w:val="fr-FR"/>
        </w:rPr>
        <w:t xml:space="preserve">au </w:t>
      </w:r>
      <w:r w:rsidR="00B004A9">
        <w:rPr>
          <w:rFonts w:ascii="Arial" w:eastAsia="Arial" w:hAnsi="Arial" w:cs="Arial"/>
          <w:sz w:val="22"/>
          <w:szCs w:val="22"/>
          <w:bdr w:val="nil"/>
          <w:lang w:val="fr-FR"/>
        </w:rPr>
        <w:t>RSSBC</w:t>
      </w:r>
      <w:r w:rsidR="00B004A9" w:rsidDel="00B004A9">
        <w:rPr>
          <w:rFonts w:ascii="Arial" w:eastAsia="Arial" w:hAnsi="Arial" w:cs="Arial"/>
          <w:sz w:val="22"/>
          <w:szCs w:val="22"/>
          <w:bdr w:val="nil"/>
          <w:lang w:val="fr-FR"/>
        </w:rPr>
        <w:t xml:space="preserve"> </w:t>
      </w:r>
      <w:r>
        <w:rPr>
          <w:rFonts w:ascii="Arial" w:eastAsia="Arial" w:hAnsi="Arial" w:cs="Arial"/>
          <w:sz w:val="22"/>
          <w:szCs w:val="22"/>
          <w:bdr w:val="nil"/>
          <w:lang w:val="fr-FR"/>
        </w:rPr>
        <w:t>via les données de programmation recueillies au niveau de la communauté et de l</w:t>
      </w:r>
      <w:r w:rsidR="00842A51">
        <w:rPr>
          <w:rFonts w:ascii="Arial" w:eastAsia="Arial" w:hAnsi="Arial" w:cs="Arial"/>
          <w:sz w:val="22"/>
          <w:szCs w:val="22"/>
          <w:bdr w:val="nil"/>
          <w:lang w:val="fr-FR"/>
        </w:rPr>
        <w:t>a formation sanitaire</w:t>
      </w:r>
      <w:r>
        <w:rPr>
          <w:rFonts w:ascii="Arial" w:eastAsia="Arial" w:hAnsi="Arial" w:cs="Arial"/>
          <w:sz w:val="22"/>
          <w:szCs w:val="22"/>
          <w:bdr w:val="nil"/>
          <w:lang w:val="fr-FR"/>
        </w:rPr>
        <w:t xml:space="preserve">. </w:t>
      </w:r>
    </w:p>
    <w:p w:rsidR="001C0DEE" w:rsidRDefault="001C0DEE">
      <w:pPr>
        <w:pStyle w:val="NoSpacing"/>
        <w:rPr>
          <w:rFonts w:ascii="Arial" w:hAnsi="Arial" w:cs="Arial"/>
          <w:sz w:val="22"/>
          <w:szCs w:val="22"/>
          <w:lang w:val="es-US"/>
        </w:rPr>
      </w:pPr>
    </w:p>
    <w:p w:rsidR="001C0DEE" w:rsidRDefault="00767532">
      <w:pPr>
        <w:pStyle w:val="NoSpacing"/>
        <w:outlineLvl w:val="0"/>
        <w:rPr>
          <w:rFonts w:ascii="Arial" w:hAnsi="Arial" w:cs="Arial"/>
          <w:b/>
          <w:sz w:val="22"/>
          <w:szCs w:val="22"/>
          <w:lang w:val="es-US"/>
        </w:rPr>
      </w:pPr>
      <w:r>
        <w:rPr>
          <w:rFonts w:ascii="Arial" w:eastAsia="Arial" w:hAnsi="Arial" w:cs="Arial"/>
          <w:b/>
          <w:bCs/>
          <w:sz w:val="22"/>
          <w:szCs w:val="22"/>
          <w:bdr w:val="nil"/>
          <w:lang w:val="fr-FR"/>
        </w:rPr>
        <w:t>Plan de diffusion</w:t>
      </w:r>
    </w:p>
    <w:p w:rsidR="001C0DEE" w:rsidRDefault="00767532">
      <w:pPr>
        <w:pStyle w:val="NoSpacing"/>
        <w:rPr>
          <w:rFonts w:ascii="Arial" w:hAnsi="Arial" w:cs="Arial"/>
          <w:sz w:val="22"/>
          <w:szCs w:val="22"/>
          <w:lang w:val="fr-FR"/>
        </w:rPr>
      </w:pPr>
      <w:r>
        <w:rPr>
          <w:rFonts w:ascii="Arial" w:eastAsia="Arial" w:hAnsi="Arial" w:cs="Arial"/>
          <w:sz w:val="22"/>
          <w:szCs w:val="22"/>
          <w:bdr w:val="nil"/>
          <w:lang w:val="fr-FR"/>
        </w:rPr>
        <w:t xml:space="preserve">Nous diffuserons de manière régulière les données de l’étude auprès des parties prenantes au Togo au niveau national, </w:t>
      </w:r>
      <w:r w:rsidR="00CD615C">
        <w:rPr>
          <w:rFonts w:ascii="Arial" w:eastAsia="Arial" w:hAnsi="Arial" w:cs="Arial"/>
          <w:sz w:val="22"/>
          <w:szCs w:val="22"/>
          <w:bdr w:val="nil"/>
          <w:lang w:val="fr-FR"/>
        </w:rPr>
        <w:t xml:space="preserve">régional </w:t>
      </w:r>
      <w:r>
        <w:rPr>
          <w:rFonts w:ascii="Arial" w:eastAsia="Arial" w:hAnsi="Arial" w:cs="Arial"/>
          <w:sz w:val="22"/>
          <w:szCs w:val="22"/>
          <w:bdr w:val="nil"/>
          <w:lang w:val="fr-FR"/>
        </w:rPr>
        <w:t xml:space="preserve">et communautaire, ainsi qu’auprès de la communauté internationale des professionnels de la santé publique, chercheurs et décideurs politiques. Le personnel de SI organise des forums semestriels avec les dirigeants locaux, le personnel des </w:t>
      </w:r>
      <w:r w:rsidR="00563657">
        <w:rPr>
          <w:rFonts w:ascii="Arial" w:eastAsia="Arial" w:hAnsi="Arial" w:cs="Arial"/>
          <w:sz w:val="22"/>
          <w:szCs w:val="22"/>
          <w:bdr w:val="nil"/>
          <w:lang w:val="fr-FR"/>
        </w:rPr>
        <w:t xml:space="preserve">formations </w:t>
      </w:r>
      <w:r>
        <w:rPr>
          <w:rFonts w:ascii="Arial" w:eastAsia="Arial" w:hAnsi="Arial" w:cs="Arial"/>
          <w:sz w:val="22"/>
          <w:szCs w:val="22"/>
          <w:bdr w:val="nil"/>
          <w:lang w:val="fr-FR"/>
        </w:rPr>
        <w:t xml:space="preserve">sanitaires du secteur public et les membres de la communauté afin de discuter de la mise en œuvre du </w:t>
      </w:r>
      <w:r w:rsidR="00B004A9">
        <w:rPr>
          <w:rFonts w:ascii="Arial" w:eastAsia="Arial" w:hAnsi="Arial" w:cs="Arial"/>
          <w:sz w:val="22"/>
          <w:szCs w:val="22"/>
          <w:bdr w:val="nil"/>
          <w:lang w:val="fr-FR"/>
        </w:rPr>
        <w:t>RSSBC</w:t>
      </w:r>
      <w:r w:rsidR="00B004A9" w:rsidDel="00B004A9">
        <w:rPr>
          <w:rFonts w:ascii="Arial" w:eastAsia="Arial" w:hAnsi="Arial" w:cs="Arial"/>
          <w:sz w:val="22"/>
          <w:szCs w:val="22"/>
          <w:bdr w:val="nil"/>
          <w:lang w:val="fr-FR"/>
        </w:rPr>
        <w:t xml:space="preserve"> </w:t>
      </w:r>
      <w:r>
        <w:rPr>
          <w:rFonts w:ascii="Arial" w:eastAsia="Arial" w:hAnsi="Arial" w:cs="Arial"/>
          <w:sz w:val="22"/>
          <w:szCs w:val="22"/>
          <w:bdr w:val="nil"/>
          <w:lang w:val="fr-FR"/>
        </w:rPr>
        <w:t>et de partager se</w:t>
      </w:r>
      <w:r w:rsidR="00D46728">
        <w:rPr>
          <w:rFonts w:ascii="Arial" w:eastAsia="Arial" w:hAnsi="Arial" w:cs="Arial"/>
          <w:sz w:val="22"/>
          <w:szCs w:val="22"/>
          <w:bdr w:val="nil"/>
          <w:lang w:val="fr-FR"/>
        </w:rPr>
        <w:t>s résultats. Sur la base d</w:t>
      </w:r>
      <w:r>
        <w:rPr>
          <w:rFonts w:ascii="Arial" w:eastAsia="Arial" w:hAnsi="Arial" w:cs="Arial"/>
          <w:sz w:val="22"/>
          <w:szCs w:val="22"/>
          <w:bdr w:val="nil"/>
          <w:lang w:val="fr-FR"/>
        </w:rPr>
        <w:t>e</w:t>
      </w:r>
      <w:r w:rsidR="00D46728">
        <w:rPr>
          <w:rFonts w:ascii="Arial" w:eastAsia="Arial" w:hAnsi="Arial" w:cs="Arial"/>
          <w:sz w:val="22"/>
          <w:szCs w:val="22"/>
          <w:bdr w:val="nil"/>
          <w:lang w:val="fr-FR"/>
        </w:rPr>
        <w:t xml:space="preserve"> ce</w:t>
      </w:r>
      <w:r>
        <w:rPr>
          <w:rFonts w:ascii="Arial" w:eastAsia="Arial" w:hAnsi="Arial" w:cs="Arial"/>
          <w:sz w:val="22"/>
          <w:szCs w:val="22"/>
          <w:bdr w:val="nil"/>
          <w:lang w:val="fr-FR"/>
        </w:rPr>
        <w:t xml:space="preserve">s forums, SI et les partenaires du MS décideront ensemble d’adapter la stratégie de mise en œuvre et, si jugé nécessaire, l’intervention. Le personnel de SI participera également aux réunions mensuelles du MS au niveau </w:t>
      </w:r>
      <w:r w:rsidR="00827C06">
        <w:rPr>
          <w:rFonts w:ascii="Arial" w:eastAsia="Arial" w:hAnsi="Arial" w:cs="Arial"/>
          <w:sz w:val="22"/>
          <w:szCs w:val="22"/>
          <w:bdr w:val="nil"/>
          <w:lang w:val="fr-FR"/>
        </w:rPr>
        <w:t>du district</w:t>
      </w:r>
      <w:r>
        <w:rPr>
          <w:rFonts w:ascii="Arial" w:eastAsia="Arial" w:hAnsi="Arial" w:cs="Arial"/>
          <w:sz w:val="22"/>
          <w:szCs w:val="22"/>
          <w:bdr w:val="nil"/>
          <w:lang w:val="fr-FR"/>
        </w:rPr>
        <w:t xml:space="preserve"> afin de rester à jour dans les plans du MS et de partager ses résultats d’initiatives de </w:t>
      </w:r>
      <w:r w:rsidR="00B004A9">
        <w:rPr>
          <w:rFonts w:ascii="Arial" w:eastAsia="Arial" w:hAnsi="Arial" w:cs="Arial"/>
          <w:sz w:val="22"/>
          <w:szCs w:val="22"/>
          <w:bdr w:val="nil"/>
          <w:lang w:val="fr-FR"/>
        </w:rPr>
        <w:t>RSSBC</w:t>
      </w:r>
      <w:r>
        <w:rPr>
          <w:rFonts w:ascii="Arial" w:eastAsia="Arial" w:hAnsi="Arial" w:cs="Arial"/>
          <w:sz w:val="22"/>
          <w:szCs w:val="22"/>
          <w:bdr w:val="nil"/>
          <w:lang w:val="fr-FR"/>
        </w:rPr>
        <w:t>. Les résultats seront publiés dans des résumés de conférence et dans des revues évaluées par des pairs avec une préférence pour les publications disponibles publiquement en collaboration avec les partenaires du MS togolais.</w:t>
      </w:r>
    </w:p>
    <w:p w:rsidR="001C0DEE" w:rsidRDefault="001C0DEE">
      <w:pPr>
        <w:pStyle w:val="NoSpacing"/>
        <w:rPr>
          <w:rFonts w:ascii="Arial" w:hAnsi="Arial" w:cs="Arial"/>
          <w:b/>
          <w:sz w:val="22"/>
          <w:szCs w:val="22"/>
          <w:lang w:val="fr-FR"/>
        </w:rPr>
      </w:pPr>
    </w:p>
    <w:p w:rsidR="001C0DEE" w:rsidRDefault="00767532">
      <w:pPr>
        <w:pStyle w:val="NoSpacing"/>
        <w:outlineLvl w:val="0"/>
        <w:rPr>
          <w:rFonts w:ascii="Arial" w:hAnsi="Arial" w:cs="Arial"/>
          <w:b/>
          <w:sz w:val="22"/>
          <w:szCs w:val="22"/>
          <w:lang w:val="es-US"/>
        </w:rPr>
      </w:pPr>
      <w:r>
        <w:rPr>
          <w:rFonts w:ascii="Arial" w:eastAsia="Arial" w:hAnsi="Arial" w:cs="Arial"/>
          <w:b/>
          <w:bCs/>
          <w:sz w:val="22"/>
          <w:szCs w:val="22"/>
          <w:bdr w:val="nil"/>
          <w:lang w:val="fr-FR"/>
        </w:rPr>
        <w:t>Discussion</w:t>
      </w:r>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lastRenderedPageBreak/>
        <w:t xml:space="preserve">Nous avons décrit notre justification, la conception de l’étude et les détails de la stratégie de mise en œuvre en ce qui concerne cette conception hybride pragmatique de type II visant à servir de modèle pour les personnes intéressées par les études de mise en œuvre pragmatiques qui permettent une amélioration continue de l’intervention. </w:t>
      </w:r>
    </w:p>
    <w:p w:rsidR="001C0DEE" w:rsidRDefault="00767532">
      <w:pPr>
        <w:pStyle w:val="NoSpacing"/>
        <w:rPr>
          <w:rFonts w:ascii="Arial" w:hAnsi="Arial" w:cs="Arial"/>
          <w:sz w:val="22"/>
          <w:szCs w:val="22"/>
          <w:lang w:val="es-US"/>
        </w:rPr>
      </w:pPr>
      <w:r>
        <w:rPr>
          <w:rFonts w:ascii="Arial" w:hAnsi="Arial" w:cs="Arial"/>
          <w:sz w:val="22"/>
          <w:szCs w:val="22"/>
          <w:lang w:val="es-US"/>
        </w:rPr>
        <w:tab/>
      </w:r>
    </w:p>
    <w:p w:rsidR="001C0DEE" w:rsidRDefault="00767532" w:rsidP="00247D77">
      <w:pPr>
        <w:pStyle w:val="NoSpacing"/>
        <w:rPr>
          <w:rFonts w:ascii="Arial" w:hAnsi="Arial" w:cs="Arial"/>
          <w:sz w:val="22"/>
          <w:szCs w:val="22"/>
          <w:lang w:val="es-US"/>
        </w:rPr>
      </w:pPr>
      <w:r>
        <w:rPr>
          <w:rFonts w:ascii="Arial" w:eastAsia="Arial" w:hAnsi="Arial" w:cs="Arial"/>
          <w:sz w:val="22"/>
          <w:szCs w:val="22"/>
          <w:bdr w:val="nil"/>
          <w:lang w:val="fr-FR"/>
        </w:rPr>
        <w:t xml:space="preserve">La conception de l’étude présente plusieurs restrictions, y compris des restrictions liées aux </w:t>
      </w:r>
      <w:r w:rsidR="00827C06" w:rsidRPr="00827C06">
        <w:rPr>
          <w:rFonts w:ascii="Arial" w:eastAsia="Arial" w:hAnsi="Arial" w:cs="Arial"/>
          <w:color w:val="000000"/>
          <w:sz w:val="22"/>
          <w:szCs w:val="22"/>
          <w:bdr w:val="nil"/>
        </w:rPr>
        <w:t xml:space="preserve">Etudes </w:t>
      </w:r>
      <w:r w:rsidR="00827C06">
        <w:rPr>
          <w:rFonts w:ascii="Arial" w:eastAsia="Arial" w:hAnsi="Arial" w:cs="Arial"/>
          <w:color w:val="000000"/>
          <w:sz w:val="22"/>
          <w:szCs w:val="22"/>
          <w:bdr w:val="nil"/>
        </w:rPr>
        <w:t xml:space="preserve">randomisées en grappes </w:t>
      </w:r>
      <w:r w:rsidR="00827C06" w:rsidRPr="00827C06">
        <w:rPr>
          <w:rFonts w:ascii="Arial" w:eastAsia="Arial" w:hAnsi="Arial" w:cs="Arial"/>
          <w:color w:val="000000"/>
          <w:sz w:val="22"/>
          <w:szCs w:val="22"/>
          <w:bdr w:val="nil"/>
        </w:rPr>
        <w:t>avec permutation</w:t>
      </w:r>
      <w:r w:rsidR="00827C06">
        <w:rPr>
          <w:rFonts w:ascii="Arial" w:eastAsia="Arial" w:hAnsi="Arial" w:cs="Arial"/>
          <w:color w:val="000000"/>
          <w:sz w:val="22"/>
          <w:szCs w:val="22"/>
          <w:bdr w:val="nil"/>
        </w:rPr>
        <w:t xml:space="preserve"> </w:t>
      </w:r>
      <w:r w:rsidR="00827C06" w:rsidRPr="00827C06">
        <w:rPr>
          <w:rFonts w:ascii="Arial" w:eastAsia="Arial" w:hAnsi="Arial" w:cs="Arial"/>
          <w:color w:val="000000"/>
          <w:sz w:val="22"/>
          <w:szCs w:val="22"/>
          <w:bdr w:val="nil"/>
        </w:rPr>
        <w:t xml:space="preserve">séquentielle </w:t>
      </w:r>
      <w:r w:rsidR="00247D77" w:rsidRPr="00247D77">
        <w:rPr>
          <w:rFonts w:ascii="Arial" w:eastAsia="Arial" w:hAnsi="Arial" w:cs="Arial"/>
          <w:sz w:val="22"/>
          <w:szCs w:val="22"/>
          <w:bdr w:val="nil"/>
          <w:lang w:val="fr-FR"/>
        </w:rPr>
        <w:t>(</w:t>
      </w:r>
      <w:r w:rsidR="00247D77">
        <w:rPr>
          <w:rFonts w:ascii="Arial" w:eastAsia="Arial" w:hAnsi="Arial" w:cs="Arial"/>
          <w:sz w:val="22"/>
          <w:szCs w:val="22"/>
          <w:bdr w:val="nil"/>
          <w:lang w:val="fr-FR"/>
        </w:rPr>
        <w:t xml:space="preserve">ou </w:t>
      </w:r>
      <w:r w:rsidR="00247D77" w:rsidRPr="00247D77">
        <w:rPr>
          <w:rFonts w:ascii="Arial" w:hAnsi="Arial" w:cs="Arial"/>
          <w:color w:val="000000" w:themeColor="text1"/>
          <w:sz w:val="22"/>
          <w:szCs w:val="22"/>
          <w:lang w:val="fr-FR"/>
        </w:rPr>
        <w:t>Stepped-wedge cluster randomized trials)</w:t>
      </w:r>
      <w:r w:rsidRPr="00247D77">
        <w:rPr>
          <w:rFonts w:ascii="Arial" w:eastAsia="Arial" w:hAnsi="Arial" w:cs="Arial"/>
          <w:sz w:val="22"/>
          <w:szCs w:val="22"/>
          <w:bdr w:val="nil"/>
          <w:lang w:val="fr-FR"/>
        </w:rPr>
        <w:t>.</w:t>
      </w:r>
      <w:r>
        <w:rPr>
          <w:rFonts w:ascii="Arial" w:eastAsia="Arial" w:hAnsi="Arial" w:cs="Arial"/>
          <w:sz w:val="22"/>
          <w:szCs w:val="22"/>
          <w:bdr w:val="nil"/>
          <w:lang w:val="fr-FR"/>
        </w:rPr>
        <w:t xml:space="preserve"> Il existe des inquiétudes liées à la confusion, au biais et aux tendances temporelles qui peuvent limiter la validité des résultats. Nous avons utilisé une </w:t>
      </w:r>
      <w:r w:rsidRPr="00B469A5">
        <w:rPr>
          <w:rFonts w:ascii="Arial" w:eastAsia="Arial" w:hAnsi="Arial" w:cs="Arial"/>
          <w:sz w:val="22"/>
          <w:szCs w:val="22"/>
          <w:bdr w:val="nil"/>
          <w:lang w:val="fr-FR"/>
        </w:rPr>
        <w:t>ampleur d’effet modeste, une randomisation des groupes et un plan d’analyse pour atténuer ces limitations</w:t>
      </w:r>
      <w:r>
        <w:rPr>
          <w:rFonts w:ascii="Arial" w:eastAsia="Arial" w:hAnsi="Arial" w:cs="Arial"/>
          <w:sz w:val="22"/>
          <w:szCs w:val="22"/>
          <w:bdr w:val="nil"/>
          <w:lang w:val="fr-FR"/>
        </w:rPr>
        <w:t>. Il existe des facteurs contextuels qui peuvent se révéler complexes à délimiter et qui peuvent influencer nos résultats primaires. No</w:t>
      </w:r>
      <w:r w:rsidR="00827C06">
        <w:rPr>
          <w:rFonts w:ascii="Arial" w:eastAsia="Arial" w:hAnsi="Arial" w:cs="Arial"/>
          <w:sz w:val="22"/>
          <w:szCs w:val="22"/>
          <w:bdr w:val="nil"/>
          <w:lang w:val="fr-FR"/>
        </w:rPr>
        <w:t>us avons tenté de les minimiser</w:t>
      </w:r>
      <w:r>
        <w:rPr>
          <w:rFonts w:ascii="Arial" w:eastAsia="Arial" w:hAnsi="Arial" w:cs="Arial"/>
          <w:sz w:val="22"/>
          <w:szCs w:val="22"/>
          <w:bdr w:val="nil"/>
          <w:lang w:val="fr-FR"/>
        </w:rPr>
        <w:t xml:space="preserve"> au début de l’étude via la sélection des </w:t>
      </w:r>
      <w:r w:rsidR="00247D77">
        <w:rPr>
          <w:rFonts w:ascii="Arial" w:eastAsia="Arial" w:hAnsi="Arial" w:cs="Arial"/>
          <w:sz w:val="22"/>
          <w:szCs w:val="22"/>
          <w:bdr w:val="nil"/>
          <w:lang w:val="fr-FR"/>
        </w:rPr>
        <w:t>formations sanitaires</w:t>
      </w:r>
      <w:r>
        <w:rPr>
          <w:rFonts w:ascii="Arial" w:eastAsia="Arial" w:hAnsi="Arial" w:cs="Arial"/>
          <w:sz w:val="22"/>
          <w:szCs w:val="22"/>
          <w:bdr w:val="nil"/>
          <w:lang w:val="fr-FR"/>
        </w:rPr>
        <w:t xml:space="preserve">. </w:t>
      </w:r>
    </w:p>
    <w:p w:rsidR="001C0DEE" w:rsidRDefault="001C0DEE">
      <w:pPr>
        <w:pStyle w:val="NoSpacing"/>
        <w:rPr>
          <w:rFonts w:ascii="Arial" w:hAnsi="Arial" w:cs="Arial"/>
          <w:sz w:val="22"/>
          <w:szCs w:val="22"/>
          <w:lang w:val="es-US"/>
        </w:rPr>
      </w:pPr>
    </w:p>
    <w:p w:rsidR="001C0DEE" w:rsidRDefault="00767532">
      <w:pPr>
        <w:pStyle w:val="NoSpacing"/>
        <w:rPr>
          <w:rFonts w:ascii="Arial" w:hAnsi="Arial" w:cs="Arial"/>
          <w:sz w:val="22"/>
          <w:szCs w:val="22"/>
          <w:lang w:val="fr-FR"/>
        </w:rPr>
      </w:pPr>
      <w:r>
        <w:rPr>
          <w:rFonts w:ascii="Arial" w:eastAsia="Arial" w:hAnsi="Arial" w:cs="Arial"/>
          <w:sz w:val="22"/>
          <w:szCs w:val="22"/>
          <w:bdr w:val="nil"/>
          <w:lang w:val="fr-FR"/>
        </w:rPr>
        <w:t xml:space="preserve">Malgré ces limitations, cette étude permettra une évaluation rigoureuse, en situation réelle, à l’aide des mesures de l’efficacité et de la stratégie de mise en œuvre, tout en contribuant également à la création de connaissances visant à informer et à soutenir les stratégies sanitaires nationales. Une approche uniforme dans l’évaluation ne fonctionne pas pour la mise en œuvre d’interventions multiples et de leurs stratégies correspondantes, en particulier en situation réelle. Nous avons pour objectif de fournir une intervention efficace accompagnée d’une stratégie de mise en œuvre qui inclut des facteurs favorables et défavorables. Via cette requête scientifique dirigée et une évaluation combinant différentes méthodes, nous nous efforçons de contribuer à la création de connaissances et encourageons les partenariats afin d’améliorer la qualité et l’accès aux systèmes communautaires de santé au Togo et au-delà. </w:t>
      </w:r>
    </w:p>
    <w:p w:rsidR="001C0DEE" w:rsidRDefault="001C0DEE">
      <w:pPr>
        <w:pStyle w:val="NoSpacing"/>
        <w:rPr>
          <w:rFonts w:ascii="Arial" w:hAnsi="Arial" w:cs="Arial"/>
          <w:sz w:val="22"/>
          <w:szCs w:val="22"/>
          <w:lang w:val="fr-FR"/>
        </w:rPr>
      </w:pPr>
    </w:p>
    <w:p w:rsidR="001C0DEE" w:rsidRPr="008A74FB" w:rsidRDefault="00767532">
      <w:pPr>
        <w:pStyle w:val="NoSpacing"/>
        <w:outlineLvl w:val="0"/>
        <w:rPr>
          <w:rFonts w:ascii="Arial" w:hAnsi="Arial" w:cs="Arial"/>
          <w:b/>
          <w:sz w:val="22"/>
          <w:szCs w:val="22"/>
          <w:lang w:val="fr-FR"/>
        </w:rPr>
      </w:pPr>
      <w:r w:rsidRPr="008A74FB">
        <w:rPr>
          <w:rFonts w:ascii="Arial" w:eastAsia="Arial" w:hAnsi="Arial" w:cs="Arial"/>
          <w:b/>
          <w:bCs/>
          <w:sz w:val="22"/>
          <w:szCs w:val="22"/>
          <w:bdr w:val="nil"/>
          <w:lang w:val="fr-FR"/>
        </w:rPr>
        <w:t xml:space="preserve">Abréviation </w:t>
      </w:r>
    </w:p>
    <w:p w:rsidR="001C0DEE" w:rsidRPr="008A74FB" w:rsidRDefault="00D36F82">
      <w:pPr>
        <w:pStyle w:val="NoSpacing"/>
        <w:rPr>
          <w:rFonts w:ascii="Arial" w:eastAsia="Arial" w:hAnsi="Arial" w:cs="Arial"/>
          <w:sz w:val="22"/>
          <w:szCs w:val="22"/>
          <w:bdr w:val="nil"/>
          <w:lang w:val="fr-FR"/>
        </w:rPr>
      </w:pPr>
      <w:r>
        <w:rPr>
          <w:rFonts w:ascii="Arial" w:eastAsia="Arial" w:hAnsi="Arial" w:cs="Arial"/>
          <w:sz w:val="22"/>
          <w:szCs w:val="22"/>
          <w:bdr w:val="nil"/>
          <w:lang w:val="fr-FR"/>
        </w:rPr>
        <w:lastRenderedPageBreak/>
        <w:t>OC: Organisation C</w:t>
      </w:r>
      <w:r w:rsidR="00767532" w:rsidRPr="008A74FB">
        <w:rPr>
          <w:rFonts w:ascii="Arial" w:eastAsia="Arial" w:hAnsi="Arial" w:cs="Arial"/>
          <w:sz w:val="22"/>
          <w:szCs w:val="22"/>
          <w:bdr w:val="nil"/>
          <w:lang w:val="fr-FR"/>
        </w:rPr>
        <w:t>ommunautaire</w:t>
      </w:r>
      <w:r w:rsidR="00FD3DDA">
        <w:rPr>
          <w:rFonts w:ascii="Arial" w:eastAsia="Arial" w:hAnsi="Arial" w:cs="Arial"/>
          <w:sz w:val="22"/>
          <w:szCs w:val="22"/>
          <w:bdr w:val="nil"/>
          <w:lang w:val="fr-FR"/>
        </w:rPr>
        <w:t> </w:t>
      </w:r>
      <w:r w:rsidR="00767532" w:rsidRPr="008A74FB">
        <w:rPr>
          <w:rFonts w:ascii="Arial" w:eastAsia="Arial" w:hAnsi="Arial" w:cs="Arial"/>
          <w:sz w:val="22"/>
          <w:szCs w:val="22"/>
          <w:bdr w:val="nil"/>
          <w:lang w:val="fr-FR"/>
        </w:rPr>
        <w:t xml:space="preserve">; CHSL : </w:t>
      </w:r>
      <w:proofErr w:type="spellStart"/>
      <w:r w:rsidR="00767532" w:rsidRPr="008A74FB">
        <w:rPr>
          <w:rFonts w:ascii="Arial" w:eastAsia="Arial" w:hAnsi="Arial" w:cs="Arial"/>
          <w:sz w:val="22"/>
          <w:szCs w:val="22"/>
          <w:bdr w:val="nil"/>
          <w:lang w:val="fr-FR"/>
        </w:rPr>
        <w:t>Community</w:t>
      </w:r>
      <w:proofErr w:type="spellEnd"/>
      <w:r w:rsidR="00767532" w:rsidRPr="008A74FB">
        <w:rPr>
          <w:rFonts w:ascii="Arial" w:eastAsia="Arial" w:hAnsi="Arial" w:cs="Arial"/>
          <w:sz w:val="22"/>
          <w:szCs w:val="22"/>
          <w:bdr w:val="nil"/>
          <w:lang w:val="fr-FR"/>
        </w:rPr>
        <w:t xml:space="preserve"> Health </w:t>
      </w:r>
      <w:proofErr w:type="spellStart"/>
      <w:r w:rsidR="00767532" w:rsidRPr="008A74FB">
        <w:rPr>
          <w:rFonts w:ascii="Arial" w:eastAsia="Arial" w:hAnsi="Arial" w:cs="Arial"/>
          <w:sz w:val="22"/>
          <w:szCs w:val="22"/>
          <w:bdr w:val="nil"/>
          <w:lang w:val="fr-FR"/>
        </w:rPr>
        <w:t>Systems</w:t>
      </w:r>
      <w:proofErr w:type="spellEnd"/>
      <w:r w:rsidR="00767532" w:rsidRPr="008A74FB">
        <w:rPr>
          <w:rFonts w:ascii="Arial" w:eastAsia="Arial" w:hAnsi="Arial" w:cs="Arial"/>
          <w:sz w:val="22"/>
          <w:szCs w:val="22"/>
          <w:bdr w:val="nil"/>
          <w:lang w:val="fr-FR"/>
        </w:rPr>
        <w:t xml:space="preserve"> </w:t>
      </w:r>
      <w:proofErr w:type="spellStart"/>
      <w:r w:rsidR="00767532" w:rsidRPr="008A74FB">
        <w:rPr>
          <w:rFonts w:ascii="Arial" w:eastAsia="Arial" w:hAnsi="Arial" w:cs="Arial"/>
          <w:sz w:val="22"/>
          <w:szCs w:val="22"/>
          <w:bdr w:val="nil"/>
          <w:lang w:val="fr-FR"/>
        </w:rPr>
        <w:t>Lab</w:t>
      </w:r>
      <w:proofErr w:type="spellEnd"/>
      <w:r w:rsidR="00767532" w:rsidRPr="008A74FB">
        <w:rPr>
          <w:rFonts w:ascii="Arial" w:eastAsia="Arial" w:hAnsi="Arial" w:cs="Arial"/>
          <w:sz w:val="22"/>
          <w:szCs w:val="22"/>
          <w:bdr w:val="nil"/>
          <w:lang w:val="fr-FR"/>
        </w:rPr>
        <w:t xml:space="preserve"> (ou Laboratoire des systèmes communauta</w:t>
      </w:r>
      <w:r>
        <w:rPr>
          <w:rFonts w:ascii="Arial" w:eastAsia="Arial" w:hAnsi="Arial" w:cs="Arial"/>
          <w:sz w:val="22"/>
          <w:szCs w:val="22"/>
          <w:bdr w:val="nil"/>
          <w:lang w:val="fr-FR"/>
        </w:rPr>
        <w:t>ires de santé</w:t>
      </w:r>
      <w:r w:rsidR="00FD3DDA">
        <w:rPr>
          <w:rFonts w:ascii="Arial" w:eastAsia="Arial" w:hAnsi="Arial" w:cs="Arial"/>
          <w:sz w:val="22"/>
          <w:szCs w:val="22"/>
          <w:bdr w:val="nil"/>
          <w:lang w:val="fr-FR"/>
        </w:rPr>
        <w:t> </w:t>
      </w:r>
      <w:r>
        <w:rPr>
          <w:rFonts w:ascii="Arial" w:eastAsia="Arial" w:hAnsi="Arial" w:cs="Arial"/>
          <w:sz w:val="22"/>
          <w:szCs w:val="22"/>
          <w:bdr w:val="nil"/>
          <w:lang w:val="fr-FR"/>
        </w:rPr>
        <w:t>; ASC : Agent de Santé C</w:t>
      </w:r>
      <w:r w:rsidR="00767532" w:rsidRPr="008A74FB">
        <w:rPr>
          <w:rFonts w:ascii="Arial" w:eastAsia="Arial" w:hAnsi="Arial" w:cs="Arial"/>
          <w:sz w:val="22"/>
          <w:szCs w:val="22"/>
          <w:bdr w:val="nil"/>
          <w:lang w:val="fr-FR"/>
        </w:rPr>
        <w:t>ommunautaire</w:t>
      </w:r>
      <w:r w:rsidR="00FD3DDA">
        <w:rPr>
          <w:rFonts w:ascii="Arial" w:eastAsia="Arial" w:hAnsi="Arial" w:cs="Arial"/>
          <w:sz w:val="22"/>
          <w:szCs w:val="22"/>
          <w:bdr w:val="nil"/>
          <w:lang w:val="fr-FR"/>
        </w:rPr>
        <w:t> </w:t>
      </w:r>
      <w:r w:rsidR="00767532" w:rsidRPr="008A74FB">
        <w:rPr>
          <w:rFonts w:ascii="Arial" w:eastAsia="Arial" w:hAnsi="Arial" w:cs="Arial"/>
          <w:sz w:val="22"/>
          <w:szCs w:val="22"/>
          <w:bdr w:val="nil"/>
          <w:lang w:val="fr-FR"/>
        </w:rPr>
        <w:t xml:space="preserve">; </w:t>
      </w:r>
      <w:r>
        <w:rPr>
          <w:rFonts w:ascii="Arial" w:eastAsia="Arial" w:hAnsi="Arial" w:cs="Arial"/>
          <w:sz w:val="22"/>
          <w:szCs w:val="22"/>
          <w:bdr w:val="nil"/>
          <w:lang w:val="fr-FR"/>
        </w:rPr>
        <w:t>EDS: Enquête Démographique et de S</w:t>
      </w:r>
      <w:r w:rsidR="00576419" w:rsidRPr="008A74FB">
        <w:rPr>
          <w:rFonts w:ascii="Arial" w:eastAsia="Arial" w:hAnsi="Arial" w:cs="Arial"/>
          <w:sz w:val="22"/>
          <w:szCs w:val="22"/>
          <w:bdr w:val="nil"/>
          <w:lang w:val="fr-FR"/>
        </w:rPr>
        <w:t>ante</w:t>
      </w:r>
      <w:r w:rsidR="00FD3DDA">
        <w:rPr>
          <w:rFonts w:ascii="Arial" w:eastAsia="Arial" w:hAnsi="Arial" w:cs="Arial"/>
          <w:sz w:val="22"/>
          <w:szCs w:val="22"/>
          <w:bdr w:val="nil"/>
          <w:lang w:val="fr-FR"/>
        </w:rPr>
        <w:t> </w:t>
      </w:r>
      <w:r w:rsidR="00576419" w:rsidRPr="008A74FB">
        <w:rPr>
          <w:rFonts w:ascii="Arial" w:eastAsia="Arial" w:hAnsi="Arial" w:cs="Arial"/>
          <w:sz w:val="22"/>
          <w:szCs w:val="22"/>
          <w:bdr w:val="nil"/>
          <w:lang w:val="fr-FR"/>
        </w:rPr>
        <w:t xml:space="preserve">; </w:t>
      </w:r>
      <w:r>
        <w:rPr>
          <w:rFonts w:ascii="Arial" w:eastAsia="Arial" w:hAnsi="Arial" w:cs="Arial"/>
          <w:sz w:val="22"/>
          <w:szCs w:val="22"/>
          <w:bdr w:val="nil"/>
          <w:lang w:val="fr-FR"/>
        </w:rPr>
        <w:t>PEV: Programme Elargi</w:t>
      </w:r>
      <w:r w:rsidR="00767532" w:rsidRPr="008A74FB">
        <w:rPr>
          <w:rFonts w:ascii="Arial" w:eastAsia="Arial" w:hAnsi="Arial" w:cs="Arial"/>
          <w:sz w:val="22"/>
          <w:szCs w:val="22"/>
          <w:bdr w:val="nil"/>
          <w:lang w:val="fr-FR"/>
        </w:rPr>
        <w:t xml:space="preserve"> de vaccination</w:t>
      </w:r>
      <w:r w:rsidR="00FD3DDA">
        <w:rPr>
          <w:rFonts w:ascii="Arial" w:eastAsia="Arial" w:hAnsi="Arial" w:cs="Arial"/>
          <w:sz w:val="22"/>
          <w:szCs w:val="22"/>
          <w:bdr w:val="nil"/>
          <w:lang w:val="fr-FR"/>
        </w:rPr>
        <w:t> </w:t>
      </w:r>
      <w:r w:rsidR="00767532" w:rsidRPr="008A74FB">
        <w:rPr>
          <w:rFonts w:ascii="Arial" w:eastAsia="Arial" w:hAnsi="Arial" w:cs="Arial"/>
          <w:sz w:val="22"/>
          <w:szCs w:val="22"/>
          <w:bdr w:val="nil"/>
          <w:lang w:val="fr-FR"/>
        </w:rPr>
        <w:t xml:space="preserve">; </w:t>
      </w:r>
      <w:r w:rsidR="00B004A9" w:rsidRPr="008A74FB">
        <w:rPr>
          <w:rFonts w:ascii="Arial" w:eastAsia="Arial" w:hAnsi="Arial" w:cs="Arial"/>
          <w:sz w:val="22"/>
          <w:szCs w:val="22"/>
          <w:bdr w:val="nil"/>
          <w:lang w:val="fr-FR"/>
        </w:rPr>
        <w:t>RSSBC</w:t>
      </w:r>
      <w:r w:rsidR="00767532" w:rsidRPr="008A74FB">
        <w:rPr>
          <w:rFonts w:ascii="Arial" w:eastAsia="Arial" w:hAnsi="Arial" w:cs="Arial"/>
          <w:sz w:val="22"/>
          <w:szCs w:val="22"/>
          <w:bdr w:val="nil"/>
          <w:lang w:val="fr-FR"/>
        </w:rPr>
        <w:t xml:space="preserve"> : </w:t>
      </w:r>
      <w:r w:rsidR="00B004A9" w:rsidRPr="008A74FB">
        <w:rPr>
          <w:rFonts w:ascii="Arial" w:eastAsia="Arial" w:hAnsi="Arial" w:cs="Arial"/>
          <w:sz w:val="22"/>
          <w:szCs w:val="22"/>
          <w:bdr w:val="nil"/>
          <w:lang w:val="fr-FR"/>
        </w:rPr>
        <w:t>Renforcement des systèmes de santé et à base communautaire</w:t>
      </w:r>
      <w:r w:rsidR="00FD3DDA">
        <w:rPr>
          <w:rFonts w:ascii="Arial" w:eastAsia="Arial" w:hAnsi="Arial" w:cs="Arial"/>
          <w:sz w:val="22"/>
          <w:szCs w:val="22"/>
          <w:bdr w:val="nil"/>
          <w:lang w:val="fr-FR"/>
        </w:rPr>
        <w:t> </w:t>
      </w:r>
      <w:r w:rsidR="00767532" w:rsidRPr="008A74FB">
        <w:rPr>
          <w:rFonts w:ascii="Arial" w:eastAsia="Arial" w:hAnsi="Arial" w:cs="Arial"/>
          <w:sz w:val="22"/>
          <w:szCs w:val="22"/>
          <w:bdr w:val="nil"/>
          <w:lang w:val="fr-FR"/>
        </w:rPr>
        <w:t>;</w:t>
      </w:r>
      <w:r w:rsidR="00DF666E">
        <w:rPr>
          <w:rFonts w:ascii="Arial" w:eastAsia="Arial" w:hAnsi="Arial" w:cs="Arial"/>
          <w:sz w:val="22"/>
          <w:szCs w:val="22"/>
          <w:bdr w:val="nil"/>
          <w:lang w:val="fr-FR"/>
        </w:rPr>
        <w:t xml:space="preserve"> PCIME : Prise en Charge Intégrée des M</w:t>
      </w:r>
      <w:r w:rsidR="001C6F86" w:rsidRPr="008A74FB">
        <w:rPr>
          <w:rFonts w:ascii="Arial" w:eastAsia="Arial" w:hAnsi="Arial" w:cs="Arial"/>
          <w:sz w:val="22"/>
          <w:szCs w:val="22"/>
          <w:bdr w:val="nil"/>
          <w:lang w:val="fr-FR"/>
        </w:rPr>
        <w:t>aladie</w:t>
      </w:r>
      <w:r w:rsidR="00DF666E">
        <w:rPr>
          <w:rFonts w:ascii="Arial" w:eastAsia="Arial" w:hAnsi="Arial" w:cs="Arial"/>
          <w:sz w:val="22"/>
          <w:szCs w:val="22"/>
          <w:bdr w:val="nil"/>
          <w:lang w:val="fr-FR"/>
        </w:rPr>
        <w:t>s</w:t>
      </w:r>
      <w:r w:rsidR="001C6F86" w:rsidRPr="008A74FB">
        <w:rPr>
          <w:rFonts w:ascii="Arial" w:eastAsia="Arial" w:hAnsi="Arial" w:cs="Arial"/>
          <w:sz w:val="22"/>
          <w:szCs w:val="22"/>
          <w:bdr w:val="nil"/>
          <w:lang w:val="fr-FR"/>
        </w:rPr>
        <w:t xml:space="preserve"> d</w:t>
      </w:r>
      <w:r w:rsidR="00DF666E">
        <w:rPr>
          <w:rFonts w:ascii="Arial" w:eastAsia="Arial" w:hAnsi="Arial" w:cs="Arial"/>
          <w:sz w:val="22"/>
          <w:szCs w:val="22"/>
          <w:bdr w:val="nil"/>
          <w:lang w:val="fr-FR"/>
        </w:rPr>
        <w:t>e l</w:t>
      </w:r>
      <w:r w:rsidR="00FD3DDA">
        <w:rPr>
          <w:rFonts w:ascii="Arial" w:eastAsia="Arial" w:hAnsi="Arial" w:cs="Arial"/>
          <w:sz w:val="22"/>
          <w:szCs w:val="22"/>
          <w:bdr w:val="nil"/>
          <w:lang w:val="fr-FR"/>
        </w:rPr>
        <w:t>’</w:t>
      </w:r>
      <w:r w:rsidR="00DF666E">
        <w:rPr>
          <w:rFonts w:ascii="Arial" w:eastAsia="Arial" w:hAnsi="Arial" w:cs="Arial"/>
          <w:sz w:val="22"/>
          <w:szCs w:val="22"/>
          <w:bdr w:val="nil"/>
          <w:lang w:val="fr-FR"/>
        </w:rPr>
        <w:t>Enfant</w:t>
      </w:r>
      <w:r w:rsidR="00FD3DDA">
        <w:rPr>
          <w:rFonts w:ascii="Arial" w:eastAsia="Arial" w:hAnsi="Arial" w:cs="Arial"/>
          <w:sz w:val="22"/>
          <w:szCs w:val="22"/>
          <w:bdr w:val="nil"/>
          <w:lang w:val="fr-FR"/>
        </w:rPr>
        <w:t> </w:t>
      </w:r>
      <w:r w:rsidR="001C6F86" w:rsidRPr="008A74FB">
        <w:rPr>
          <w:rFonts w:ascii="Arial" w:eastAsia="Arial" w:hAnsi="Arial" w:cs="Arial"/>
          <w:sz w:val="22"/>
          <w:szCs w:val="22"/>
          <w:bdr w:val="nil"/>
          <w:lang w:val="fr-FR"/>
        </w:rPr>
        <w:t>;</w:t>
      </w:r>
      <w:r w:rsidR="00767532" w:rsidRPr="008A74FB">
        <w:rPr>
          <w:rFonts w:ascii="Arial" w:eastAsia="Arial" w:hAnsi="Arial" w:cs="Arial"/>
          <w:sz w:val="22"/>
          <w:szCs w:val="22"/>
          <w:bdr w:val="nil"/>
          <w:lang w:val="fr-FR"/>
        </w:rPr>
        <w:t xml:space="preserve"> </w:t>
      </w:r>
      <w:r w:rsidR="001C6F86" w:rsidRPr="008A74FB">
        <w:rPr>
          <w:rFonts w:ascii="Arial" w:hAnsi="Arial" w:cs="Arial"/>
          <w:sz w:val="22"/>
          <w:szCs w:val="22"/>
          <w:lang w:val="fr-FR"/>
        </w:rPr>
        <w:t>PCIME-C</w:t>
      </w:r>
      <w:r w:rsidR="00DF666E">
        <w:rPr>
          <w:rFonts w:ascii="Arial" w:eastAsia="Arial" w:hAnsi="Arial" w:cs="Arial"/>
          <w:sz w:val="22"/>
          <w:szCs w:val="22"/>
          <w:bdr w:val="nil"/>
          <w:lang w:val="fr-FR"/>
        </w:rPr>
        <w:t> :</w:t>
      </w:r>
      <w:r w:rsidR="00DF666E">
        <w:rPr>
          <w:rFonts w:ascii="Arial" w:hAnsi="Arial" w:cs="Arial"/>
          <w:sz w:val="22"/>
          <w:szCs w:val="22"/>
          <w:lang w:val="fr-FR"/>
        </w:rPr>
        <w:t xml:space="preserve"> </w:t>
      </w:r>
      <w:r w:rsidR="00DF666E">
        <w:rPr>
          <w:rFonts w:ascii="Arial" w:eastAsia="Arial" w:hAnsi="Arial" w:cs="Arial"/>
          <w:sz w:val="22"/>
          <w:szCs w:val="22"/>
          <w:bdr w:val="nil"/>
          <w:lang w:val="fr-FR"/>
        </w:rPr>
        <w:t>Prise en Charge Intégrée des M</w:t>
      </w:r>
      <w:r w:rsidR="00DF666E" w:rsidRPr="008A74FB">
        <w:rPr>
          <w:rFonts w:ascii="Arial" w:eastAsia="Arial" w:hAnsi="Arial" w:cs="Arial"/>
          <w:sz w:val="22"/>
          <w:szCs w:val="22"/>
          <w:bdr w:val="nil"/>
          <w:lang w:val="fr-FR"/>
        </w:rPr>
        <w:t>aladie</w:t>
      </w:r>
      <w:r w:rsidR="00DF666E">
        <w:rPr>
          <w:rFonts w:ascii="Arial" w:eastAsia="Arial" w:hAnsi="Arial" w:cs="Arial"/>
          <w:sz w:val="22"/>
          <w:szCs w:val="22"/>
          <w:bdr w:val="nil"/>
          <w:lang w:val="fr-FR"/>
        </w:rPr>
        <w:t>s</w:t>
      </w:r>
      <w:r w:rsidR="00DF666E" w:rsidRPr="008A74FB">
        <w:rPr>
          <w:rFonts w:ascii="Arial" w:eastAsia="Arial" w:hAnsi="Arial" w:cs="Arial"/>
          <w:sz w:val="22"/>
          <w:szCs w:val="22"/>
          <w:bdr w:val="nil"/>
          <w:lang w:val="fr-FR"/>
        </w:rPr>
        <w:t xml:space="preserve"> d</w:t>
      </w:r>
      <w:r w:rsidR="00DF666E">
        <w:rPr>
          <w:rFonts w:ascii="Arial" w:eastAsia="Arial" w:hAnsi="Arial" w:cs="Arial"/>
          <w:sz w:val="22"/>
          <w:szCs w:val="22"/>
          <w:bdr w:val="nil"/>
          <w:lang w:val="fr-FR"/>
        </w:rPr>
        <w:t>e l</w:t>
      </w:r>
      <w:r w:rsidR="00FD3DDA">
        <w:rPr>
          <w:rFonts w:ascii="Arial" w:eastAsia="Arial" w:hAnsi="Arial" w:cs="Arial"/>
          <w:sz w:val="22"/>
          <w:szCs w:val="22"/>
          <w:bdr w:val="nil"/>
          <w:lang w:val="fr-FR"/>
        </w:rPr>
        <w:t>’</w:t>
      </w:r>
      <w:r w:rsidR="00DF666E">
        <w:rPr>
          <w:rFonts w:ascii="Arial" w:eastAsia="Arial" w:hAnsi="Arial" w:cs="Arial"/>
          <w:sz w:val="22"/>
          <w:szCs w:val="22"/>
          <w:bdr w:val="nil"/>
          <w:lang w:val="fr-FR"/>
        </w:rPr>
        <w:t>Enfant au niveau Communautaire</w:t>
      </w:r>
      <w:r w:rsidR="00FD3DDA">
        <w:rPr>
          <w:rFonts w:ascii="Arial" w:hAnsi="Arial" w:cs="Arial"/>
          <w:sz w:val="22"/>
          <w:szCs w:val="22"/>
          <w:lang w:val="fr-FR"/>
        </w:rPr>
        <w:t> </w:t>
      </w:r>
      <w:r w:rsidR="00767532" w:rsidRPr="008A74FB">
        <w:rPr>
          <w:rFonts w:ascii="Arial" w:eastAsia="Arial" w:hAnsi="Arial" w:cs="Arial"/>
          <w:sz w:val="22"/>
          <w:szCs w:val="22"/>
          <w:bdr w:val="nil"/>
          <w:lang w:val="fr-FR"/>
        </w:rPr>
        <w:t>; SI : Santé Intégrée</w:t>
      </w:r>
      <w:r w:rsidR="00FD3DDA">
        <w:rPr>
          <w:rFonts w:ascii="Arial" w:eastAsia="Arial" w:hAnsi="Arial" w:cs="Arial"/>
          <w:sz w:val="22"/>
          <w:szCs w:val="22"/>
          <w:bdr w:val="nil"/>
          <w:lang w:val="fr-FR"/>
        </w:rPr>
        <w:t xml:space="preserve"> ; </w:t>
      </w:r>
      <w:r w:rsidR="00767532" w:rsidRPr="008A74FB">
        <w:rPr>
          <w:rFonts w:ascii="Arial" w:eastAsia="Arial" w:hAnsi="Arial" w:cs="Arial"/>
          <w:sz w:val="22"/>
          <w:szCs w:val="22"/>
          <w:bdr w:val="nil"/>
          <w:lang w:val="fr-FR"/>
        </w:rPr>
        <w:t xml:space="preserve">LiST: Lives Saved Tool (ou Outil de calcul des vies sauvées); </w:t>
      </w:r>
      <w:r w:rsidR="000609FF" w:rsidRPr="008A74FB">
        <w:rPr>
          <w:rFonts w:ascii="Arial" w:eastAsia="Arial" w:hAnsi="Arial" w:cs="Arial"/>
          <w:sz w:val="22"/>
          <w:szCs w:val="22"/>
          <w:bdr w:val="nil"/>
          <w:lang w:val="fr-FR"/>
        </w:rPr>
        <w:t>MICS</w:t>
      </w:r>
      <w:r w:rsidR="003279EC" w:rsidRPr="008A74FB">
        <w:rPr>
          <w:rFonts w:ascii="Arial" w:eastAsia="Arial" w:hAnsi="Arial" w:cs="Arial"/>
          <w:sz w:val="22"/>
          <w:szCs w:val="22"/>
          <w:bdr w:val="nil"/>
          <w:lang w:val="fr-FR"/>
        </w:rPr>
        <w:t>:</w:t>
      </w:r>
      <w:r w:rsidR="000609FF" w:rsidRPr="008A74FB">
        <w:rPr>
          <w:rFonts w:ascii="Arial" w:eastAsia="Arial" w:hAnsi="Arial" w:cs="Arial"/>
          <w:sz w:val="22"/>
          <w:szCs w:val="22"/>
          <w:bdr w:val="nil"/>
          <w:lang w:val="fr-FR"/>
        </w:rPr>
        <w:t xml:space="preserve"> </w:t>
      </w:r>
      <w:r w:rsidR="003279EC" w:rsidRPr="008A74FB">
        <w:rPr>
          <w:rFonts w:ascii="Arial" w:eastAsia="Arial" w:hAnsi="Arial" w:cs="Arial"/>
          <w:sz w:val="22"/>
          <w:szCs w:val="22"/>
          <w:bdr w:val="nil"/>
          <w:lang w:val="fr-FR"/>
        </w:rPr>
        <w:t>E</w:t>
      </w:r>
      <w:r w:rsidR="000609FF" w:rsidRPr="008A74FB">
        <w:rPr>
          <w:rFonts w:ascii="Arial" w:eastAsia="Arial" w:hAnsi="Arial" w:cs="Arial"/>
          <w:sz w:val="22"/>
          <w:szCs w:val="22"/>
          <w:bdr w:val="nil"/>
          <w:lang w:val="fr-FR"/>
        </w:rPr>
        <w:t xml:space="preserve">nquête par </w:t>
      </w:r>
      <w:r w:rsidR="003279EC" w:rsidRPr="008A74FB">
        <w:rPr>
          <w:rFonts w:ascii="Arial" w:eastAsia="Arial" w:hAnsi="Arial" w:cs="Arial"/>
          <w:sz w:val="22"/>
          <w:szCs w:val="22"/>
          <w:bdr w:val="nil"/>
          <w:lang w:val="fr-FR"/>
        </w:rPr>
        <w:t>g</w:t>
      </w:r>
      <w:r w:rsidR="000609FF" w:rsidRPr="008A74FB">
        <w:rPr>
          <w:rFonts w:ascii="Arial" w:eastAsia="Arial" w:hAnsi="Arial" w:cs="Arial"/>
          <w:sz w:val="22"/>
          <w:szCs w:val="22"/>
          <w:bdr w:val="nil"/>
          <w:lang w:val="fr-FR"/>
        </w:rPr>
        <w:t>rappe</w:t>
      </w:r>
      <w:r w:rsidR="00A860DF">
        <w:rPr>
          <w:rFonts w:ascii="Arial" w:eastAsia="Arial" w:hAnsi="Arial" w:cs="Arial"/>
          <w:sz w:val="22"/>
          <w:szCs w:val="22"/>
          <w:bdr w:val="nil"/>
          <w:lang w:val="fr-FR"/>
        </w:rPr>
        <w:t>s à</w:t>
      </w:r>
      <w:r w:rsidR="000609FF" w:rsidRPr="008A74FB">
        <w:rPr>
          <w:rFonts w:ascii="Arial" w:eastAsia="Arial" w:hAnsi="Arial" w:cs="Arial"/>
          <w:sz w:val="22"/>
          <w:szCs w:val="22"/>
          <w:bdr w:val="nil"/>
          <w:lang w:val="fr-FR"/>
        </w:rPr>
        <w:t xml:space="preserve"> </w:t>
      </w:r>
      <w:r w:rsidR="003279EC" w:rsidRPr="008A74FB">
        <w:rPr>
          <w:rFonts w:ascii="Arial" w:eastAsia="Arial" w:hAnsi="Arial" w:cs="Arial"/>
          <w:sz w:val="22"/>
          <w:szCs w:val="22"/>
          <w:bdr w:val="nil"/>
          <w:lang w:val="fr-FR"/>
        </w:rPr>
        <w:t>i</w:t>
      </w:r>
      <w:r w:rsidR="000609FF" w:rsidRPr="008A74FB">
        <w:rPr>
          <w:rFonts w:ascii="Arial" w:eastAsia="Arial" w:hAnsi="Arial" w:cs="Arial"/>
          <w:sz w:val="22"/>
          <w:szCs w:val="22"/>
          <w:bdr w:val="nil"/>
          <w:lang w:val="fr-FR"/>
        </w:rPr>
        <w:t>ndicateur</w:t>
      </w:r>
      <w:r w:rsidR="00A860DF">
        <w:rPr>
          <w:rFonts w:ascii="Arial" w:eastAsia="Arial" w:hAnsi="Arial" w:cs="Arial"/>
          <w:sz w:val="22"/>
          <w:szCs w:val="22"/>
          <w:bdr w:val="nil"/>
          <w:lang w:val="fr-FR"/>
        </w:rPr>
        <w:t>s</w:t>
      </w:r>
      <w:r w:rsidR="000609FF" w:rsidRPr="008A74FB">
        <w:rPr>
          <w:rFonts w:ascii="Arial" w:eastAsia="Arial" w:hAnsi="Arial" w:cs="Arial"/>
          <w:sz w:val="22"/>
          <w:szCs w:val="22"/>
          <w:bdr w:val="nil"/>
          <w:lang w:val="fr-FR"/>
        </w:rPr>
        <w:t xml:space="preserve"> </w:t>
      </w:r>
      <w:r w:rsidR="003279EC" w:rsidRPr="008A74FB">
        <w:rPr>
          <w:rFonts w:ascii="Arial" w:eastAsia="Arial" w:hAnsi="Arial" w:cs="Arial"/>
          <w:sz w:val="22"/>
          <w:szCs w:val="22"/>
          <w:bdr w:val="nil"/>
          <w:lang w:val="fr-FR"/>
        </w:rPr>
        <w:t>m</w:t>
      </w:r>
      <w:r w:rsidR="000609FF" w:rsidRPr="008A74FB">
        <w:rPr>
          <w:rFonts w:ascii="Arial" w:eastAsia="Arial" w:hAnsi="Arial" w:cs="Arial"/>
          <w:sz w:val="22"/>
          <w:szCs w:val="22"/>
          <w:bdr w:val="nil"/>
          <w:lang w:val="fr-FR"/>
        </w:rPr>
        <w:t>ultiple</w:t>
      </w:r>
      <w:r w:rsidR="00A860DF">
        <w:rPr>
          <w:rFonts w:ascii="Arial" w:eastAsia="Arial" w:hAnsi="Arial" w:cs="Arial"/>
          <w:sz w:val="22"/>
          <w:szCs w:val="22"/>
          <w:bdr w:val="nil"/>
          <w:lang w:val="fr-FR"/>
        </w:rPr>
        <w:t>s</w:t>
      </w:r>
      <w:r w:rsidR="00FD3DDA">
        <w:rPr>
          <w:rFonts w:ascii="Arial" w:eastAsia="Arial" w:hAnsi="Arial" w:cs="Arial"/>
          <w:sz w:val="22"/>
          <w:szCs w:val="22"/>
          <w:bdr w:val="nil"/>
          <w:lang w:val="fr-FR"/>
        </w:rPr>
        <w:t> </w:t>
      </w:r>
      <w:r w:rsidR="00767532" w:rsidRPr="008A74FB">
        <w:rPr>
          <w:rFonts w:ascii="Arial" w:eastAsia="Arial" w:hAnsi="Arial" w:cs="Arial"/>
          <w:sz w:val="22"/>
          <w:szCs w:val="22"/>
          <w:bdr w:val="nil"/>
          <w:lang w:val="fr-FR"/>
        </w:rPr>
        <w:t>; MS : Ministère de la Santé et de l’Hygiène publique</w:t>
      </w:r>
      <w:r w:rsidR="00FD3DDA">
        <w:rPr>
          <w:rFonts w:ascii="Arial" w:eastAsia="Arial" w:hAnsi="Arial" w:cs="Arial"/>
          <w:sz w:val="22"/>
          <w:szCs w:val="22"/>
          <w:bdr w:val="nil"/>
          <w:lang w:val="fr-FR"/>
        </w:rPr>
        <w:t> </w:t>
      </w:r>
      <w:r w:rsidR="00767532" w:rsidRPr="008A74FB">
        <w:rPr>
          <w:rFonts w:ascii="Arial" w:eastAsia="Arial" w:hAnsi="Arial" w:cs="Arial"/>
          <w:sz w:val="22"/>
          <w:szCs w:val="22"/>
          <w:bdr w:val="nil"/>
          <w:lang w:val="fr-FR"/>
        </w:rPr>
        <w:t>; ONG : Organisation non gouvernementale</w:t>
      </w:r>
      <w:r w:rsidR="00FD3DDA">
        <w:rPr>
          <w:rFonts w:ascii="Arial" w:eastAsia="Arial" w:hAnsi="Arial" w:cs="Arial"/>
          <w:sz w:val="22"/>
          <w:szCs w:val="22"/>
          <w:bdr w:val="nil"/>
          <w:lang w:val="fr-FR"/>
        </w:rPr>
        <w:t> </w:t>
      </w:r>
      <w:r w:rsidR="00767532" w:rsidRPr="008A74FB">
        <w:rPr>
          <w:rFonts w:ascii="Arial" w:eastAsia="Arial" w:hAnsi="Arial" w:cs="Arial"/>
          <w:sz w:val="22"/>
          <w:szCs w:val="22"/>
          <w:bdr w:val="nil"/>
          <w:lang w:val="fr-FR"/>
        </w:rPr>
        <w:t>;</w:t>
      </w:r>
      <w:r w:rsidR="001A44B9" w:rsidRPr="008A74FB">
        <w:rPr>
          <w:rFonts w:ascii="Arial" w:eastAsia="Arial" w:hAnsi="Arial" w:cs="Arial"/>
          <w:sz w:val="22"/>
          <w:szCs w:val="22"/>
          <w:bdr w:val="nil"/>
          <w:lang w:val="fr-FR"/>
        </w:rPr>
        <w:t xml:space="preserve"> RE-AIM: </w:t>
      </w:r>
      <w:proofErr w:type="spellStart"/>
      <w:r w:rsidR="001A44B9" w:rsidRPr="008A74FB">
        <w:rPr>
          <w:rFonts w:ascii="Arial" w:eastAsia="Arial" w:hAnsi="Arial" w:cs="Arial"/>
          <w:sz w:val="22"/>
          <w:szCs w:val="22"/>
          <w:bdr w:val="nil"/>
          <w:lang w:val="fr-FR"/>
        </w:rPr>
        <w:t>Reach</w:t>
      </w:r>
      <w:proofErr w:type="spellEnd"/>
      <w:r w:rsidR="001A44B9" w:rsidRPr="008A74FB">
        <w:rPr>
          <w:rFonts w:ascii="Arial" w:eastAsia="Arial" w:hAnsi="Arial" w:cs="Arial"/>
          <w:sz w:val="22"/>
          <w:szCs w:val="22"/>
          <w:bdr w:val="nil"/>
          <w:lang w:val="fr-FR"/>
        </w:rPr>
        <w:t xml:space="preserve">, </w:t>
      </w:r>
      <w:proofErr w:type="spellStart"/>
      <w:r w:rsidR="001A44B9" w:rsidRPr="008A74FB">
        <w:rPr>
          <w:rFonts w:ascii="Arial" w:eastAsia="Arial" w:hAnsi="Arial" w:cs="Arial"/>
          <w:sz w:val="22"/>
          <w:szCs w:val="22"/>
          <w:bdr w:val="nil"/>
          <w:lang w:val="fr-FR"/>
        </w:rPr>
        <w:t>effectiveness</w:t>
      </w:r>
      <w:proofErr w:type="spellEnd"/>
      <w:r w:rsidR="001A44B9" w:rsidRPr="008A74FB">
        <w:rPr>
          <w:rFonts w:ascii="Arial" w:eastAsia="Arial" w:hAnsi="Arial" w:cs="Arial"/>
          <w:sz w:val="22"/>
          <w:szCs w:val="22"/>
          <w:bdr w:val="nil"/>
          <w:lang w:val="fr-FR"/>
        </w:rPr>
        <w:t xml:space="preserve">, adoption, </w:t>
      </w:r>
      <w:proofErr w:type="spellStart"/>
      <w:r w:rsidR="001A44B9" w:rsidRPr="008A74FB">
        <w:rPr>
          <w:rFonts w:ascii="Arial" w:eastAsia="Arial" w:hAnsi="Arial" w:cs="Arial"/>
          <w:sz w:val="22"/>
          <w:szCs w:val="22"/>
          <w:bdr w:val="nil"/>
          <w:lang w:val="fr-FR"/>
        </w:rPr>
        <w:t>implementation</w:t>
      </w:r>
      <w:proofErr w:type="spellEnd"/>
      <w:r w:rsidR="001A44B9" w:rsidRPr="008A74FB">
        <w:rPr>
          <w:rFonts w:ascii="Arial" w:eastAsia="Arial" w:hAnsi="Arial" w:cs="Arial"/>
          <w:sz w:val="22"/>
          <w:szCs w:val="22"/>
          <w:bdr w:val="nil"/>
          <w:lang w:val="fr-FR"/>
        </w:rPr>
        <w:t>, maintenance</w:t>
      </w:r>
      <w:r w:rsidR="00767532" w:rsidRPr="008A74FB">
        <w:rPr>
          <w:rFonts w:ascii="Arial" w:eastAsia="Arial" w:hAnsi="Arial" w:cs="Arial"/>
          <w:sz w:val="22"/>
          <w:szCs w:val="22"/>
          <w:bdr w:val="nil"/>
          <w:lang w:val="fr-FR"/>
        </w:rPr>
        <w:t xml:space="preserve"> </w:t>
      </w:r>
      <w:r w:rsidR="001A44B9" w:rsidRPr="008A74FB">
        <w:rPr>
          <w:rFonts w:ascii="Arial" w:eastAsia="Arial" w:hAnsi="Arial" w:cs="Arial"/>
          <w:sz w:val="22"/>
          <w:szCs w:val="22"/>
          <w:bdr w:val="nil"/>
          <w:lang w:val="fr-FR"/>
        </w:rPr>
        <w:t>(ou</w:t>
      </w:r>
      <w:r w:rsidR="00767532" w:rsidRPr="008A74FB">
        <w:rPr>
          <w:rFonts w:ascii="Arial" w:eastAsia="Arial" w:hAnsi="Arial" w:cs="Arial"/>
          <w:sz w:val="22"/>
          <w:szCs w:val="22"/>
          <w:bdr w:val="nil"/>
          <w:lang w:val="fr-FR"/>
        </w:rPr>
        <w:t> : Portée, efficacité, adoption, mise en œuvre, maintien</w:t>
      </w:r>
      <w:r w:rsidR="001A44B9" w:rsidRPr="008A74FB">
        <w:rPr>
          <w:rFonts w:ascii="Arial" w:eastAsia="Arial" w:hAnsi="Arial" w:cs="Arial"/>
          <w:sz w:val="22"/>
          <w:szCs w:val="22"/>
          <w:bdr w:val="nil"/>
          <w:lang w:val="fr-FR"/>
        </w:rPr>
        <w:t>)</w:t>
      </w:r>
      <w:r w:rsidR="00767532" w:rsidRPr="008A74FB">
        <w:rPr>
          <w:rFonts w:ascii="Arial" w:eastAsia="Arial" w:hAnsi="Arial" w:cs="Arial"/>
          <w:sz w:val="22"/>
          <w:szCs w:val="22"/>
          <w:bdr w:val="nil"/>
          <w:lang w:val="fr-FR"/>
        </w:rPr>
        <w:t>; SARA: Service Availability and Readiness Assessment (ou Évaluation de la préparation et de la disponibilité des</w:t>
      </w:r>
      <w:r w:rsidR="00A860DF">
        <w:rPr>
          <w:rFonts w:ascii="Arial" w:eastAsia="Arial" w:hAnsi="Arial" w:cs="Arial"/>
          <w:sz w:val="22"/>
          <w:szCs w:val="22"/>
          <w:bdr w:val="nil"/>
          <w:lang w:val="fr-FR"/>
        </w:rPr>
        <w:t xml:space="preserve"> services); ODD: Objectif de Développement D</w:t>
      </w:r>
      <w:r w:rsidR="00767532" w:rsidRPr="008A74FB">
        <w:rPr>
          <w:rFonts w:ascii="Arial" w:eastAsia="Arial" w:hAnsi="Arial" w:cs="Arial"/>
          <w:sz w:val="22"/>
          <w:szCs w:val="22"/>
          <w:bdr w:val="nil"/>
          <w:lang w:val="fr-FR"/>
        </w:rPr>
        <w:t>urable</w:t>
      </w:r>
      <w:r w:rsidR="00FD3DDA">
        <w:rPr>
          <w:rFonts w:ascii="Arial" w:eastAsia="Arial" w:hAnsi="Arial" w:cs="Arial"/>
          <w:sz w:val="22"/>
          <w:szCs w:val="22"/>
          <w:bdr w:val="nil"/>
          <w:lang w:val="fr-FR"/>
        </w:rPr>
        <w:t> </w:t>
      </w:r>
      <w:r w:rsidR="00767532" w:rsidRPr="008A74FB">
        <w:rPr>
          <w:rFonts w:ascii="Arial" w:eastAsia="Arial" w:hAnsi="Arial" w:cs="Arial"/>
          <w:sz w:val="22"/>
          <w:szCs w:val="22"/>
          <w:bdr w:val="nil"/>
          <w:lang w:val="fr-FR"/>
        </w:rPr>
        <w:t xml:space="preserve">; </w:t>
      </w:r>
      <w:r w:rsidR="009B3204" w:rsidRPr="008A74FB">
        <w:rPr>
          <w:rFonts w:ascii="Arial" w:hAnsi="Arial" w:cs="Arial"/>
          <w:sz w:val="22"/>
          <w:szCs w:val="22"/>
          <w:lang w:val="fr-FR"/>
        </w:rPr>
        <w:t>SW-CRT: Stepped-wedge cluster randomized trial</w:t>
      </w:r>
      <w:r w:rsidR="009B3204" w:rsidRPr="008A74FB">
        <w:rPr>
          <w:rFonts w:ascii="Arial" w:eastAsia="Arial" w:hAnsi="Arial" w:cs="Arial"/>
          <w:sz w:val="22"/>
          <w:szCs w:val="22"/>
          <w:bdr w:val="nil"/>
          <w:lang w:val="fr-FR"/>
        </w:rPr>
        <w:t xml:space="preserve"> (ou </w:t>
      </w:r>
      <w:proofErr w:type="spellStart"/>
      <w:r w:rsidR="00FD3DDA">
        <w:rPr>
          <w:rFonts w:ascii="Arial" w:eastAsia="Arial" w:hAnsi="Arial" w:cs="Arial"/>
          <w:sz w:val="22"/>
          <w:szCs w:val="22"/>
          <w:bdr w:val="nil"/>
        </w:rPr>
        <w:t>étude</w:t>
      </w:r>
      <w:proofErr w:type="spellEnd"/>
      <w:r w:rsidR="00FD3DDA">
        <w:rPr>
          <w:rFonts w:ascii="Arial" w:eastAsia="Arial" w:hAnsi="Arial" w:cs="Arial"/>
          <w:sz w:val="22"/>
          <w:szCs w:val="22"/>
          <w:bdr w:val="nil"/>
        </w:rPr>
        <w:t xml:space="preserve"> </w:t>
      </w:r>
      <w:proofErr w:type="spellStart"/>
      <w:r w:rsidR="00FD3DDA">
        <w:rPr>
          <w:rFonts w:ascii="Arial" w:eastAsia="Arial" w:hAnsi="Arial" w:cs="Arial"/>
          <w:sz w:val="22"/>
          <w:szCs w:val="22"/>
          <w:bdr w:val="nil"/>
        </w:rPr>
        <w:t>randomisée</w:t>
      </w:r>
      <w:proofErr w:type="spellEnd"/>
      <w:r w:rsidR="00FD3DDA">
        <w:rPr>
          <w:rFonts w:ascii="Arial" w:eastAsia="Arial" w:hAnsi="Arial" w:cs="Arial"/>
          <w:sz w:val="22"/>
          <w:szCs w:val="22"/>
          <w:bdr w:val="nil"/>
        </w:rPr>
        <w:t xml:space="preserve"> </w:t>
      </w:r>
      <w:proofErr w:type="spellStart"/>
      <w:r w:rsidR="00FD3DDA">
        <w:rPr>
          <w:rFonts w:ascii="Arial" w:eastAsia="Arial" w:hAnsi="Arial" w:cs="Arial"/>
          <w:sz w:val="22"/>
          <w:szCs w:val="22"/>
          <w:bdr w:val="nil"/>
        </w:rPr>
        <w:t>en</w:t>
      </w:r>
      <w:proofErr w:type="spellEnd"/>
      <w:r w:rsidR="00FD3DDA">
        <w:rPr>
          <w:rFonts w:ascii="Arial" w:eastAsia="Arial" w:hAnsi="Arial" w:cs="Arial"/>
          <w:sz w:val="22"/>
          <w:szCs w:val="22"/>
          <w:bdr w:val="nil"/>
        </w:rPr>
        <w:t xml:space="preserve"> </w:t>
      </w:r>
      <w:proofErr w:type="spellStart"/>
      <w:r w:rsidR="00FD3DDA">
        <w:rPr>
          <w:rFonts w:ascii="Arial" w:eastAsia="Arial" w:hAnsi="Arial" w:cs="Arial"/>
          <w:sz w:val="22"/>
          <w:szCs w:val="22"/>
          <w:bdr w:val="nil"/>
        </w:rPr>
        <w:t>grappe</w:t>
      </w:r>
      <w:proofErr w:type="spellEnd"/>
      <w:r w:rsidR="00FD3DDA" w:rsidRPr="00FD3DDA">
        <w:rPr>
          <w:rFonts w:ascii="Arial" w:eastAsia="Arial" w:hAnsi="Arial" w:cs="Arial"/>
          <w:sz w:val="22"/>
          <w:szCs w:val="22"/>
          <w:bdr w:val="nil"/>
        </w:rPr>
        <w:t xml:space="preserve"> avec permutation </w:t>
      </w:r>
      <w:proofErr w:type="spellStart"/>
      <w:r w:rsidR="00FD3DDA" w:rsidRPr="00FD3DDA">
        <w:rPr>
          <w:rFonts w:ascii="Arial" w:eastAsia="Arial" w:hAnsi="Arial" w:cs="Arial"/>
          <w:sz w:val="22"/>
          <w:szCs w:val="22"/>
          <w:bdr w:val="nil"/>
        </w:rPr>
        <w:t>séquentielle</w:t>
      </w:r>
      <w:proofErr w:type="spellEnd"/>
      <w:r w:rsidR="009B3204" w:rsidRPr="008A74FB">
        <w:rPr>
          <w:rFonts w:ascii="Arial" w:eastAsia="Arial" w:hAnsi="Arial" w:cs="Arial"/>
          <w:sz w:val="22"/>
          <w:szCs w:val="22"/>
          <w:bdr w:val="nil"/>
          <w:lang w:val="fr-FR"/>
        </w:rPr>
        <w:t>)</w:t>
      </w:r>
      <w:r w:rsidR="00576419">
        <w:rPr>
          <w:rFonts w:ascii="Arial" w:eastAsia="Arial" w:hAnsi="Arial" w:cs="Arial"/>
          <w:sz w:val="22"/>
          <w:szCs w:val="22"/>
          <w:bdr w:val="nil"/>
          <w:lang w:val="fr-FR"/>
        </w:rPr>
        <w:t xml:space="preserve">; </w:t>
      </w:r>
      <w:r w:rsidR="00576419" w:rsidRPr="008A74FB">
        <w:rPr>
          <w:rFonts w:ascii="Arial" w:eastAsia="Arial" w:hAnsi="Arial" w:cs="Arial"/>
          <w:sz w:val="22"/>
          <w:szCs w:val="22"/>
          <w:bdr w:val="nil"/>
          <w:lang w:val="fr-FR"/>
        </w:rPr>
        <w:t>OMS : Organisation mondiale de la santé </w:t>
      </w:r>
    </w:p>
    <w:p w:rsidR="001C0DEE" w:rsidRDefault="001C0DEE">
      <w:pPr>
        <w:pStyle w:val="NoSpacing"/>
        <w:rPr>
          <w:rFonts w:ascii="Arial" w:hAnsi="Arial" w:cs="Arial"/>
          <w:sz w:val="22"/>
          <w:szCs w:val="22"/>
          <w:lang w:val="fr-FR"/>
        </w:rPr>
      </w:pPr>
    </w:p>
    <w:p w:rsidR="001C0DEE" w:rsidRDefault="00767532">
      <w:pPr>
        <w:pStyle w:val="NoSpacing"/>
        <w:outlineLvl w:val="0"/>
        <w:rPr>
          <w:rFonts w:ascii="Arial" w:hAnsi="Arial" w:cs="Arial"/>
          <w:sz w:val="22"/>
          <w:szCs w:val="22"/>
          <w:lang w:val="fr-FR"/>
        </w:rPr>
      </w:pPr>
      <w:r>
        <w:rPr>
          <w:rFonts w:ascii="Arial" w:eastAsia="Arial" w:hAnsi="Arial" w:cs="Arial"/>
          <w:b/>
          <w:bCs/>
          <w:iCs/>
          <w:sz w:val="22"/>
          <w:szCs w:val="22"/>
          <w:bdr w:val="nil"/>
          <w:lang w:val="fr-FR"/>
        </w:rPr>
        <w:t>Remerciements</w:t>
      </w:r>
    </w:p>
    <w:p w:rsidR="001C0DEE" w:rsidRDefault="00767532">
      <w:pPr>
        <w:pStyle w:val="NoSpacing"/>
        <w:rPr>
          <w:rFonts w:ascii="Arial" w:hAnsi="Arial" w:cs="Arial"/>
          <w:sz w:val="22"/>
          <w:szCs w:val="22"/>
          <w:lang w:val="fr-FR"/>
        </w:rPr>
      </w:pPr>
      <w:r>
        <w:rPr>
          <w:rFonts w:ascii="Arial" w:eastAsia="Arial" w:hAnsi="Arial" w:cs="Arial"/>
          <w:sz w:val="22"/>
          <w:szCs w:val="22"/>
          <w:bdr w:val="nil"/>
          <w:lang w:val="fr-FR"/>
        </w:rPr>
        <w:t>Nous exprimons notre reconnaissance aux partenaires et conseillers suivants pour leur soutien indéfectible dans le développement et la mise en œuvre de cette étude : les autorités sanitaires de la région de Kara et des préfectures de Bassar, Binah, Dankpen et Kéran</w:t>
      </w:r>
      <w:r w:rsidR="00FD3DDA">
        <w:rPr>
          <w:rFonts w:ascii="Arial" w:eastAsia="Arial" w:hAnsi="Arial" w:cs="Arial"/>
          <w:sz w:val="22"/>
          <w:szCs w:val="22"/>
          <w:bdr w:val="nil"/>
          <w:lang w:val="fr-FR"/>
        </w:rPr>
        <w:t> </w:t>
      </w:r>
      <w:r>
        <w:rPr>
          <w:rFonts w:ascii="Arial" w:eastAsia="Arial" w:hAnsi="Arial" w:cs="Arial"/>
          <w:sz w:val="22"/>
          <w:szCs w:val="22"/>
          <w:bdr w:val="nil"/>
          <w:lang w:val="fr-FR"/>
        </w:rPr>
        <w:t>; le personnel de SI au Togo et à New York</w:t>
      </w:r>
      <w:r w:rsidR="00FD3DDA">
        <w:rPr>
          <w:rFonts w:ascii="Arial" w:eastAsia="Arial" w:hAnsi="Arial" w:cs="Arial"/>
          <w:sz w:val="22"/>
          <w:szCs w:val="22"/>
          <w:bdr w:val="nil"/>
          <w:lang w:val="fr-FR"/>
        </w:rPr>
        <w:t> </w:t>
      </w:r>
      <w:r>
        <w:rPr>
          <w:rFonts w:ascii="Arial" w:eastAsia="Arial" w:hAnsi="Arial" w:cs="Arial"/>
          <w:sz w:val="22"/>
          <w:szCs w:val="22"/>
          <w:bdr w:val="nil"/>
          <w:lang w:val="fr-FR"/>
        </w:rPr>
        <w:t xml:space="preserve">; l’Albert Einstein </w:t>
      </w:r>
      <w:proofErr w:type="spellStart"/>
      <w:r>
        <w:rPr>
          <w:rFonts w:ascii="Arial" w:eastAsia="Arial" w:hAnsi="Arial" w:cs="Arial"/>
          <w:sz w:val="22"/>
          <w:szCs w:val="22"/>
          <w:bdr w:val="nil"/>
          <w:lang w:val="fr-FR"/>
        </w:rPr>
        <w:t>College</w:t>
      </w:r>
      <w:proofErr w:type="spellEnd"/>
      <w:r>
        <w:rPr>
          <w:rFonts w:ascii="Arial" w:eastAsia="Arial" w:hAnsi="Arial" w:cs="Arial"/>
          <w:sz w:val="22"/>
          <w:szCs w:val="22"/>
          <w:bdr w:val="nil"/>
          <w:lang w:val="fr-FR"/>
        </w:rPr>
        <w:t xml:space="preserve"> of Medicine et l’université de Washington.</w:t>
      </w:r>
    </w:p>
    <w:p w:rsidR="001C0DEE" w:rsidRDefault="001C0DEE">
      <w:pPr>
        <w:pStyle w:val="NoSpacing"/>
        <w:rPr>
          <w:rFonts w:ascii="Arial" w:hAnsi="Arial" w:cs="Arial"/>
          <w:b/>
          <w:iCs/>
          <w:sz w:val="22"/>
          <w:szCs w:val="22"/>
          <w:lang w:val="fr-FR"/>
        </w:rPr>
      </w:pPr>
    </w:p>
    <w:p w:rsidR="001C0DEE" w:rsidRDefault="00767532">
      <w:pPr>
        <w:pStyle w:val="NoSpacing"/>
        <w:outlineLvl w:val="0"/>
        <w:rPr>
          <w:rFonts w:ascii="Arial" w:hAnsi="Arial" w:cs="Arial"/>
          <w:sz w:val="22"/>
          <w:szCs w:val="22"/>
          <w:lang w:val="fr-FR"/>
        </w:rPr>
      </w:pPr>
      <w:r>
        <w:rPr>
          <w:rFonts w:ascii="Arial" w:eastAsia="Arial" w:hAnsi="Arial" w:cs="Arial"/>
          <w:b/>
          <w:bCs/>
          <w:iCs/>
          <w:sz w:val="22"/>
          <w:szCs w:val="22"/>
          <w:bdr w:val="nil"/>
          <w:lang w:val="fr-FR"/>
        </w:rPr>
        <w:t>Contributions des auteurs</w:t>
      </w:r>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t xml:space="preserve">Tous les auteurs ont contribué au développement de la conception de l’étude. MEL, KPF, HEJ, SCG, KDL, et LRH ont rédigé et revu le protocole de l’étude. MEL, KPF et HEJ ont développé le plan analytique et statistique. Tous les auteurs participeront à la mise en œuvre de l’étude et ont lu et approuvé le manuscrit final. </w:t>
      </w:r>
    </w:p>
    <w:p w:rsidR="001C0DEE" w:rsidRDefault="001C0DEE">
      <w:pPr>
        <w:pStyle w:val="NoSpacing"/>
        <w:rPr>
          <w:rFonts w:ascii="Arial" w:hAnsi="Arial" w:cs="Arial"/>
          <w:sz w:val="22"/>
          <w:szCs w:val="22"/>
          <w:lang w:val="es-US"/>
        </w:rPr>
      </w:pPr>
    </w:p>
    <w:p w:rsidR="001C0DEE" w:rsidRDefault="00767532">
      <w:pPr>
        <w:pStyle w:val="NoSpacing"/>
        <w:outlineLvl w:val="0"/>
        <w:rPr>
          <w:rFonts w:ascii="Arial" w:hAnsi="Arial" w:cs="Arial"/>
          <w:b/>
          <w:sz w:val="22"/>
          <w:szCs w:val="22"/>
          <w:lang w:val="es-US"/>
        </w:rPr>
      </w:pPr>
      <w:r>
        <w:rPr>
          <w:rFonts w:ascii="Arial" w:eastAsia="Arial" w:hAnsi="Arial" w:cs="Arial"/>
          <w:b/>
          <w:bCs/>
          <w:sz w:val="22"/>
          <w:szCs w:val="22"/>
          <w:bdr w:val="nil"/>
          <w:lang w:val="fr-FR"/>
        </w:rPr>
        <w:lastRenderedPageBreak/>
        <w:t>Financement</w:t>
      </w:r>
    </w:p>
    <w:p w:rsidR="001C0DEE" w:rsidRDefault="00767532">
      <w:pPr>
        <w:pStyle w:val="NoSpacing"/>
        <w:rPr>
          <w:rFonts w:ascii="Arial" w:hAnsi="Arial" w:cs="Arial"/>
          <w:b/>
          <w:iCs/>
          <w:sz w:val="22"/>
          <w:szCs w:val="22"/>
          <w:lang w:val="es-US"/>
        </w:rPr>
      </w:pPr>
      <w:r>
        <w:rPr>
          <w:rFonts w:ascii="Arial" w:eastAsia="Arial" w:hAnsi="Arial" w:cs="Arial"/>
          <w:sz w:val="22"/>
          <w:szCs w:val="22"/>
          <w:bdr w:val="nil"/>
          <w:lang w:val="fr-FR"/>
        </w:rPr>
        <w:t>L’étude a été financée par SI. Aucun bailleur de fonds n’a joué un rôle dans la conception de cette étude.</w:t>
      </w:r>
    </w:p>
    <w:p w:rsidR="001C0DEE" w:rsidRDefault="001C0DEE">
      <w:pPr>
        <w:pStyle w:val="NoSpacing"/>
        <w:rPr>
          <w:rFonts w:ascii="Arial" w:hAnsi="Arial" w:cs="Arial"/>
          <w:b/>
          <w:iCs/>
          <w:sz w:val="22"/>
          <w:szCs w:val="22"/>
          <w:lang w:val="es-US"/>
        </w:rPr>
      </w:pPr>
    </w:p>
    <w:p w:rsidR="001C0DEE" w:rsidRDefault="00767532">
      <w:pPr>
        <w:pStyle w:val="NoSpacing"/>
        <w:outlineLvl w:val="0"/>
        <w:rPr>
          <w:rFonts w:ascii="Arial" w:hAnsi="Arial" w:cs="Arial"/>
          <w:b/>
          <w:sz w:val="22"/>
          <w:szCs w:val="22"/>
          <w:lang w:val="es-US"/>
        </w:rPr>
      </w:pPr>
      <w:r>
        <w:rPr>
          <w:rFonts w:ascii="Arial" w:eastAsia="Arial" w:hAnsi="Arial" w:cs="Arial"/>
          <w:b/>
          <w:bCs/>
          <w:iCs/>
          <w:sz w:val="22"/>
          <w:szCs w:val="22"/>
          <w:bdr w:val="nil"/>
          <w:lang w:val="fr-FR"/>
        </w:rPr>
        <w:t xml:space="preserve">Disponibilité des données et du matériel </w:t>
      </w:r>
    </w:p>
    <w:p w:rsidR="001C0DEE" w:rsidRDefault="00767532">
      <w:pPr>
        <w:pStyle w:val="NoSpacing"/>
        <w:rPr>
          <w:rFonts w:ascii="Arial" w:hAnsi="Arial" w:cs="Arial"/>
          <w:sz w:val="22"/>
          <w:szCs w:val="22"/>
          <w:lang w:val="fr-FR"/>
        </w:rPr>
      </w:pPr>
      <w:r>
        <w:rPr>
          <w:rFonts w:ascii="Arial" w:eastAsia="Arial" w:hAnsi="Arial" w:cs="Arial"/>
          <w:iCs/>
          <w:sz w:val="22"/>
          <w:szCs w:val="22"/>
          <w:bdr w:val="nil"/>
          <w:lang w:val="fr-FR"/>
        </w:rPr>
        <w:t>Le protocole de l’étude associée et les outils de recueil des données seront disponibles sur demande auprès de l’</w:t>
      </w:r>
      <w:r>
        <w:rPr>
          <w:rFonts w:ascii="Arial" w:eastAsia="Arial" w:hAnsi="Arial" w:cs="Arial"/>
          <w:iCs/>
          <w:color w:val="000000"/>
          <w:sz w:val="22"/>
          <w:szCs w:val="22"/>
          <w:bdr w:val="nil"/>
          <w:lang w:val="fr-FR"/>
        </w:rPr>
        <w:t xml:space="preserve">auteur correspondant. Les jeux de données quantitatives sont disponibles auprès de l’auteur correspondant sur demande raisonnable après la réalisation des analyses primaires et la diffusion des résultats. Les ensembles de données qualitatives ne seront pas disponibles, puisqu’ils peuvent inclure des </w:t>
      </w:r>
      <w:r>
        <w:rPr>
          <w:rFonts w:ascii="Arial" w:eastAsia="Arial" w:hAnsi="Arial" w:cs="Arial"/>
          <w:iCs/>
          <w:sz w:val="22"/>
          <w:szCs w:val="22"/>
          <w:bdr w:val="nil"/>
          <w:lang w:val="fr-FR"/>
        </w:rPr>
        <w:t>informations personnelles pouvant comporter l’identité de la participante.</w:t>
      </w:r>
    </w:p>
    <w:p w:rsidR="001C0DEE" w:rsidRDefault="001C0DEE">
      <w:pPr>
        <w:pStyle w:val="NoSpacing"/>
        <w:rPr>
          <w:rFonts w:ascii="Arial" w:hAnsi="Arial" w:cs="Arial"/>
          <w:iCs/>
          <w:sz w:val="22"/>
          <w:szCs w:val="22"/>
          <w:lang w:val="fr-FR"/>
        </w:rPr>
      </w:pPr>
    </w:p>
    <w:p w:rsidR="001C0DEE" w:rsidRDefault="00767532">
      <w:pPr>
        <w:pStyle w:val="NoSpacing"/>
        <w:outlineLvl w:val="0"/>
        <w:rPr>
          <w:rFonts w:ascii="Arial" w:hAnsi="Arial" w:cs="Arial"/>
          <w:sz w:val="22"/>
          <w:szCs w:val="22"/>
          <w:lang w:val="fr-FR"/>
        </w:rPr>
      </w:pPr>
      <w:r>
        <w:rPr>
          <w:rFonts w:ascii="Arial" w:eastAsia="Arial" w:hAnsi="Arial" w:cs="Arial"/>
          <w:b/>
          <w:bCs/>
          <w:sz w:val="22"/>
          <w:szCs w:val="22"/>
          <w:bdr w:val="nil"/>
          <w:lang w:val="fr-FR"/>
        </w:rPr>
        <w:t>Approbation éthique et consentement à la participation</w:t>
      </w:r>
    </w:p>
    <w:p w:rsidR="001C0DEE" w:rsidRDefault="00767532">
      <w:pPr>
        <w:pStyle w:val="NoSpacing"/>
        <w:rPr>
          <w:rFonts w:ascii="Arial" w:hAnsi="Arial" w:cs="Arial"/>
          <w:sz w:val="22"/>
          <w:szCs w:val="22"/>
          <w:lang w:val="es-US"/>
        </w:rPr>
      </w:pPr>
      <w:r>
        <w:rPr>
          <w:rFonts w:ascii="Arial" w:eastAsia="Arial" w:hAnsi="Arial" w:cs="Arial"/>
          <w:sz w:val="22"/>
          <w:szCs w:val="22"/>
          <w:bdr w:val="nil"/>
          <w:lang w:val="fr-FR"/>
        </w:rPr>
        <w:t xml:space="preserve">Les approbations éthiques pour cette étude ont été obtenues auprès des comités d’évaluation institutionnels du ministère de la Santé togolais situé à Lomé, Togo (réf : CRBS/33/2017) et auprès de l’Albert Einstein </w:t>
      </w:r>
      <w:proofErr w:type="spellStart"/>
      <w:r>
        <w:rPr>
          <w:rFonts w:ascii="Arial" w:eastAsia="Arial" w:hAnsi="Arial" w:cs="Arial"/>
          <w:sz w:val="22"/>
          <w:szCs w:val="22"/>
          <w:bdr w:val="nil"/>
          <w:lang w:val="fr-FR"/>
        </w:rPr>
        <w:t>College</w:t>
      </w:r>
      <w:proofErr w:type="spellEnd"/>
      <w:r>
        <w:rPr>
          <w:rFonts w:ascii="Arial" w:eastAsia="Arial" w:hAnsi="Arial" w:cs="Arial"/>
          <w:sz w:val="22"/>
          <w:szCs w:val="22"/>
          <w:bdr w:val="nil"/>
          <w:lang w:val="fr-FR"/>
        </w:rPr>
        <w:t xml:space="preserve"> of Medicine de New York, aux États-Unis (réf : 039328). Le consentement éclairé sera obtenu auprès de toutes les participantes à l’étude âgées de plus de 18 ans et une autorisation parentale sera demandée aux participantes âgées de 15 à 17 ans. En cas de refus, ces personnes ne seront pas incluses dans l’étude.</w:t>
      </w:r>
    </w:p>
    <w:p w:rsidR="001C0DEE" w:rsidRDefault="001C0DEE">
      <w:pPr>
        <w:pStyle w:val="NoSpacing"/>
        <w:rPr>
          <w:rFonts w:ascii="Arial" w:hAnsi="Arial" w:cs="Arial"/>
          <w:b/>
          <w:sz w:val="22"/>
          <w:szCs w:val="22"/>
          <w:lang w:val="es-US"/>
        </w:rPr>
      </w:pPr>
    </w:p>
    <w:p w:rsidR="001C0DEE" w:rsidRDefault="00767532">
      <w:pPr>
        <w:pStyle w:val="NoSpacing"/>
        <w:outlineLvl w:val="0"/>
        <w:rPr>
          <w:rFonts w:ascii="Arial" w:hAnsi="Arial" w:cs="Arial"/>
          <w:b/>
          <w:iCs/>
          <w:sz w:val="22"/>
          <w:szCs w:val="22"/>
          <w:lang w:val="es-US"/>
        </w:rPr>
      </w:pPr>
      <w:r>
        <w:rPr>
          <w:rFonts w:ascii="Arial" w:eastAsia="Arial" w:hAnsi="Arial" w:cs="Arial"/>
          <w:b/>
          <w:bCs/>
          <w:iCs/>
          <w:sz w:val="22"/>
          <w:szCs w:val="22"/>
          <w:bdr w:val="nil"/>
          <w:lang w:val="fr-FR"/>
        </w:rPr>
        <w:t>Consentement à la publication</w:t>
      </w:r>
    </w:p>
    <w:p w:rsidR="001C0DEE" w:rsidRDefault="00767532">
      <w:pPr>
        <w:pStyle w:val="NoSpacing"/>
        <w:outlineLvl w:val="0"/>
        <w:rPr>
          <w:rFonts w:ascii="Arial" w:hAnsi="Arial" w:cs="Arial"/>
          <w:iCs/>
          <w:sz w:val="22"/>
          <w:szCs w:val="22"/>
          <w:lang w:val="es-US"/>
        </w:rPr>
      </w:pPr>
      <w:r>
        <w:rPr>
          <w:rFonts w:ascii="Arial" w:eastAsia="Arial" w:hAnsi="Arial" w:cs="Arial"/>
          <w:iCs/>
          <w:sz w:val="22"/>
          <w:szCs w:val="22"/>
          <w:bdr w:val="nil"/>
          <w:lang w:val="fr-FR"/>
        </w:rPr>
        <w:t>Sans objet.</w:t>
      </w:r>
    </w:p>
    <w:p w:rsidR="001C0DEE" w:rsidRDefault="001C0DEE">
      <w:pPr>
        <w:pStyle w:val="NoSpacing"/>
        <w:rPr>
          <w:rFonts w:ascii="Arial" w:hAnsi="Arial" w:cs="Arial"/>
          <w:b/>
          <w:sz w:val="22"/>
          <w:szCs w:val="22"/>
          <w:lang w:val="es-US"/>
        </w:rPr>
      </w:pPr>
    </w:p>
    <w:p w:rsidR="001C0DEE" w:rsidRDefault="00767532">
      <w:pPr>
        <w:pStyle w:val="NoSpacing"/>
        <w:outlineLvl w:val="0"/>
        <w:rPr>
          <w:rFonts w:ascii="Arial" w:hAnsi="Arial" w:cs="Arial"/>
          <w:b/>
          <w:sz w:val="22"/>
          <w:szCs w:val="22"/>
          <w:lang w:val="es-US"/>
        </w:rPr>
      </w:pPr>
      <w:r>
        <w:rPr>
          <w:rFonts w:ascii="Arial" w:eastAsia="Arial" w:hAnsi="Arial" w:cs="Arial"/>
          <w:b/>
          <w:bCs/>
          <w:sz w:val="22"/>
          <w:szCs w:val="22"/>
          <w:bdr w:val="nil"/>
          <w:lang w:val="fr-FR"/>
        </w:rPr>
        <w:t>Intérêts concurrents</w:t>
      </w:r>
    </w:p>
    <w:p w:rsidR="001C0DEE" w:rsidRDefault="00767532">
      <w:pPr>
        <w:pStyle w:val="NoSpacing"/>
        <w:outlineLvl w:val="0"/>
        <w:rPr>
          <w:rFonts w:ascii="Arial" w:hAnsi="Arial" w:cs="Arial"/>
          <w:sz w:val="22"/>
          <w:szCs w:val="22"/>
          <w:lang w:val="es-US"/>
        </w:rPr>
      </w:pPr>
      <w:r>
        <w:rPr>
          <w:rFonts w:ascii="Arial" w:eastAsia="Arial" w:hAnsi="Arial" w:cs="Arial"/>
          <w:sz w:val="22"/>
          <w:szCs w:val="22"/>
          <w:bdr w:val="nil"/>
          <w:lang w:val="fr-FR"/>
        </w:rPr>
        <w:t>Les auteurs déclarent ne pas avoir d’intérêts concurrents.</w:t>
      </w:r>
    </w:p>
    <w:p w:rsidR="001C0DEE" w:rsidRDefault="001C0DEE">
      <w:pPr>
        <w:pStyle w:val="NoSpacing"/>
        <w:rPr>
          <w:rFonts w:ascii="Arial" w:hAnsi="Arial" w:cs="Arial"/>
          <w:b/>
          <w:sz w:val="22"/>
          <w:szCs w:val="22"/>
          <w:lang w:val="es-US"/>
        </w:rPr>
      </w:pPr>
    </w:p>
    <w:p w:rsidR="001C0DEE" w:rsidRDefault="00767532">
      <w:pPr>
        <w:pStyle w:val="NoSpacing"/>
        <w:outlineLvl w:val="0"/>
        <w:rPr>
          <w:rFonts w:ascii="Arial" w:hAnsi="Arial" w:cs="Arial"/>
          <w:b/>
          <w:sz w:val="22"/>
          <w:szCs w:val="22"/>
          <w:lang w:val="es-US"/>
        </w:rPr>
      </w:pPr>
      <w:r w:rsidRPr="0074757D">
        <w:rPr>
          <w:rFonts w:ascii="Arial" w:eastAsia="Arial" w:hAnsi="Arial" w:cs="Arial"/>
          <w:b/>
          <w:bCs/>
          <w:sz w:val="22"/>
          <w:szCs w:val="22"/>
          <w:bdr w:val="nil"/>
          <w:lang w:val="es-US"/>
        </w:rPr>
        <w:lastRenderedPageBreak/>
        <w:t>Informations au sujet des auteurs</w:t>
      </w:r>
    </w:p>
    <w:p w:rsidR="00BA5C4B" w:rsidRPr="00F30604" w:rsidRDefault="00767532">
      <w:pPr>
        <w:pStyle w:val="NoSpacing"/>
        <w:rPr>
          <w:rFonts w:ascii="Arial" w:eastAsia="Arial" w:hAnsi="Arial" w:cs="Arial"/>
          <w:bCs/>
          <w:sz w:val="22"/>
          <w:szCs w:val="22"/>
          <w:bdr w:val="nil"/>
          <w:lang w:val="fr-FR"/>
        </w:rPr>
      </w:pPr>
      <w:r w:rsidRPr="0074757D">
        <w:rPr>
          <w:rFonts w:ascii="Arial" w:eastAsia="Arial" w:hAnsi="Arial" w:cs="Arial"/>
          <w:bCs/>
          <w:sz w:val="22"/>
          <w:szCs w:val="22"/>
          <w:bdr w:val="nil"/>
          <w:vertAlign w:val="superscript"/>
          <w:lang w:val="es-US"/>
        </w:rPr>
        <w:t>1</w:t>
      </w:r>
      <w:r w:rsidRPr="0074757D">
        <w:rPr>
          <w:rFonts w:ascii="Arial" w:eastAsia="Arial" w:hAnsi="Arial" w:cs="Arial"/>
          <w:bCs/>
          <w:sz w:val="22"/>
          <w:szCs w:val="22"/>
          <w:bdr w:val="nil"/>
          <w:lang w:val="es-US"/>
        </w:rPr>
        <w:t xml:space="preserve">Community Health Systems Lab, Integrate Health/Santé Intégrée, Kara, Togo. </w:t>
      </w:r>
      <w:r w:rsidRPr="0074757D">
        <w:rPr>
          <w:rFonts w:ascii="Arial" w:eastAsia="Arial" w:hAnsi="Arial" w:cs="Arial"/>
          <w:bCs/>
          <w:sz w:val="22"/>
          <w:szCs w:val="22"/>
          <w:bdr w:val="nil"/>
          <w:vertAlign w:val="superscript"/>
          <w:lang w:val="es-US"/>
        </w:rPr>
        <w:t>2</w:t>
      </w:r>
      <w:r w:rsidR="00FD3DDA">
        <w:rPr>
          <w:rFonts w:ascii="Arial" w:eastAsia="Arial" w:hAnsi="Arial" w:cs="Arial"/>
          <w:bCs/>
          <w:sz w:val="22"/>
          <w:szCs w:val="22"/>
          <w:bdr w:val="nil"/>
          <w:vertAlign w:val="superscript"/>
          <w:lang w:val="es-US"/>
        </w:rPr>
        <w:t xml:space="preserve"> </w:t>
      </w:r>
      <w:r w:rsidRPr="0074757D">
        <w:rPr>
          <w:rFonts w:ascii="Arial" w:eastAsia="Arial" w:hAnsi="Arial" w:cs="Arial"/>
          <w:bCs/>
          <w:sz w:val="22"/>
          <w:szCs w:val="22"/>
          <w:bdr w:val="nil"/>
          <w:lang w:val="es-US"/>
        </w:rPr>
        <w:t xml:space="preserve">Service de pédiatrie, Albert Einstein College of Medicine, Bronx, NY, États-Unis. </w:t>
      </w:r>
      <w:r>
        <w:rPr>
          <w:rFonts w:ascii="Arial" w:eastAsia="Arial" w:hAnsi="Arial" w:cs="Arial"/>
          <w:bCs/>
          <w:sz w:val="22"/>
          <w:szCs w:val="22"/>
          <w:bdr w:val="nil"/>
          <w:vertAlign w:val="superscript"/>
          <w:lang w:val="fr-FR"/>
        </w:rPr>
        <w:t>3</w:t>
      </w:r>
      <w:r w:rsidR="00FD3DDA">
        <w:rPr>
          <w:rFonts w:ascii="Arial" w:eastAsia="Arial" w:hAnsi="Arial" w:cs="Arial"/>
          <w:bCs/>
          <w:sz w:val="22"/>
          <w:szCs w:val="22"/>
          <w:bdr w:val="nil"/>
          <w:vertAlign w:val="superscript"/>
          <w:lang w:val="fr-FR"/>
        </w:rPr>
        <w:t xml:space="preserve"> </w:t>
      </w:r>
      <w:r>
        <w:rPr>
          <w:rFonts w:ascii="Arial" w:eastAsia="Arial" w:hAnsi="Arial" w:cs="Arial"/>
          <w:bCs/>
          <w:sz w:val="22"/>
          <w:szCs w:val="22"/>
          <w:bdr w:val="nil"/>
          <w:lang w:val="fr-FR"/>
        </w:rPr>
        <w:t xml:space="preserve">Service de médecine familiale et sociale, Albert Einstein </w:t>
      </w:r>
      <w:proofErr w:type="spellStart"/>
      <w:r>
        <w:rPr>
          <w:rFonts w:ascii="Arial" w:eastAsia="Arial" w:hAnsi="Arial" w:cs="Arial"/>
          <w:bCs/>
          <w:sz w:val="22"/>
          <w:szCs w:val="22"/>
          <w:bdr w:val="nil"/>
          <w:lang w:val="fr-FR"/>
        </w:rPr>
        <w:t>College</w:t>
      </w:r>
      <w:proofErr w:type="spellEnd"/>
      <w:r>
        <w:rPr>
          <w:rFonts w:ascii="Arial" w:eastAsia="Arial" w:hAnsi="Arial" w:cs="Arial"/>
          <w:bCs/>
          <w:sz w:val="22"/>
          <w:szCs w:val="22"/>
          <w:bdr w:val="nil"/>
          <w:lang w:val="fr-FR"/>
        </w:rPr>
        <w:t xml:space="preserve"> of Medicine, Bronx, NY, États-Unis. </w:t>
      </w:r>
      <w:r>
        <w:rPr>
          <w:rFonts w:ascii="Arial" w:eastAsia="Arial" w:hAnsi="Arial" w:cs="Arial"/>
          <w:bCs/>
          <w:sz w:val="22"/>
          <w:szCs w:val="22"/>
          <w:bdr w:val="nil"/>
          <w:vertAlign w:val="superscript"/>
          <w:lang w:val="fr-FR"/>
        </w:rPr>
        <w:t>5</w:t>
      </w:r>
      <w:r>
        <w:rPr>
          <w:rFonts w:ascii="Arial" w:eastAsia="Arial" w:hAnsi="Arial" w:cs="Arial"/>
          <w:bCs/>
          <w:sz w:val="22"/>
          <w:szCs w:val="22"/>
          <w:bdr w:val="nil"/>
          <w:lang w:val="fr-FR"/>
        </w:rPr>
        <w:t xml:space="preserve">Integrate Health/Santé Intégrée, Kara, Togo. </w:t>
      </w:r>
      <w:r>
        <w:rPr>
          <w:rFonts w:ascii="Arial" w:eastAsia="Arial" w:hAnsi="Arial" w:cs="Arial"/>
          <w:bCs/>
          <w:sz w:val="22"/>
          <w:szCs w:val="22"/>
          <w:bdr w:val="nil"/>
          <w:vertAlign w:val="superscript"/>
          <w:lang w:val="fr-FR"/>
        </w:rPr>
        <w:t>6</w:t>
      </w:r>
      <w:r w:rsidR="00FD3DDA">
        <w:rPr>
          <w:rFonts w:ascii="Arial" w:eastAsia="Arial" w:hAnsi="Arial" w:cs="Arial"/>
          <w:bCs/>
          <w:sz w:val="22"/>
          <w:szCs w:val="22"/>
          <w:bdr w:val="nil"/>
          <w:vertAlign w:val="superscript"/>
          <w:lang w:val="fr-FR"/>
        </w:rPr>
        <w:t xml:space="preserve"> </w:t>
      </w:r>
      <w:r>
        <w:rPr>
          <w:rFonts w:ascii="Arial" w:eastAsia="Arial" w:hAnsi="Arial" w:cs="Arial"/>
          <w:bCs/>
          <w:sz w:val="22"/>
          <w:szCs w:val="22"/>
          <w:bdr w:val="nil"/>
          <w:lang w:val="fr-FR"/>
        </w:rPr>
        <w:t xml:space="preserve">Service sanitaire régional de Kara, ministère de la Santé et de l’Hygiène publique, Kara, Togo. </w:t>
      </w:r>
      <w:r>
        <w:rPr>
          <w:rFonts w:ascii="Arial" w:eastAsia="Arial" w:hAnsi="Arial" w:cs="Arial"/>
          <w:bCs/>
          <w:sz w:val="22"/>
          <w:szCs w:val="22"/>
          <w:bdr w:val="nil"/>
          <w:vertAlign w:val="superscript"/>
          <w:lang w:val="fr-FR"/>
        </w:rPr>
        <w:t>7</w:t>
      </w:r>
      <w:r w:rsidR="00FD3DDA">
        <w:rPr>
          <w:rFonts w:ascii="Arial" w:eastAsia="Arial" w:hAnsi="Arial" w:cs="Arial"/>
          <w:bCs/>
          <w:sz w:val="22"/>
          <w:szCs w:val="22"/>
          <w:bdr w:val="nil"/>
          <w:vertAlign w:val="superscript"/>
          <w:lang w:val="fr-FR"/>
        </w:rPr>
        <w:t xml:space="preserve"> </w:t>
      </w:r>
      <w:r>
        <w:rPr>
          <w:rFonts w:ascii="Arial" w:eastAsia="Arial" w:hAnsi="Arial" w:cs="Arial"/>
          <w:bCs/>
          <w:sz w:val="22"/>
          <w:szCs w:val="22"/>
          <w:bdr w:val="nil"/>
          <w:lang w:val="fr-FR"/>
        </w:rPr>
        <w:t xml:space="preserve">Service de pédiatrie, faculté des sciences de la santé, université de Lomé, Lomé, Togo. </w:t>
      </w:r>
      <w:r>
        <w:rPr>
          <w:rFonts w:ascii="Arial" w:eastAsia="Arial" w:hAnsi="Arial" w:cs="Arial"/>
          <w:bCs/>
          <w:sz w:val="22"/>
          <w:szCs w:val="22"/>
          <w:bdr w:val="nil"/>
          <w:vertAlign w:val="superscript"/>
          <w:lang w:val="fr-FR"/>
        </w:rPr>
        <w:t>9</w:t>
      </w:r>
      <w:r>
        <w:rPr>
          <w:rFonts w:ascii="Arial" w:eastAsia="Arial" w:hAnsi="Arial" w:cs="Arial"/>
          <w:bCs/>
          <w:sz w:val="22"/>
          <w:szCs w:val="22"/>
          <w:bdr w:val="nil"/>
          <w:lang w:val="fr-FR"/>
        </w:rPr>
        <w:t xml:space="preserve">Feinberg </w:t>
      </w:r>
      <w:proofErr w:type="spellStart"/>
      <w:r>
        <w:rPr>
          <w:rFonts w:ascii="Arial" w:eastAsia="Arial" w:hAnsi="Arial" w:cs="Arial"/>
          <w:bCs/>
          <w:sz w:val="22"/>
          <w:szCs w:val="22"/>
          <w:bdr w:val="nil"/>
          <w:lang w:val="fr-FR"/>
        </w:rPr>
        <w:t>School</w:t>
      </w:r>
      <w:proofErr w:type="spellEnd"/>
      <w:r>
        <w:rPr>
          <w:rFonts w:ascii="Arial" w:eastAsia="Arial" w:hAnsi="Arial" w:cs="Arial"/>
          <w:bCs/>
          <w:sz w:val="22"/>
          <w:szCs w:val="22"/>
          <w:bdr w:val="nil"/>
          <w:lang w:val="fr-FR"/>
        </w:rPr>
        <w:t xml:space="preserve"> of Medicine de la </w:t>
      </w:r>
      <w:proofErr w:type="spellStart"/>
      <w:r>
        <w:rPr>
          <w:rFonts w:ascii="Arial" w:eastAsia="Arial" w:hAnsi="Arial" w:cs="Arial"/>
          <w:bCs/>
          <w:sz w:val="22"/>
          <w:szCs w:val="22"/>
          <w:bdr w:val="nil"/>
          <w:lang w:val="fr-FR"/>
        </w:rPr>
        <w:t>Northwestern</w:t>
      </w:r>
      <w:proofErr w:type="spellEnd"/>
      <w:r>
        <w:rPr>
          <w:rFonts w:ascii="Arial" w:eastAsia="Arial" w:hAnsi="Arial" w:cs="Arial"/>
          <w:bCs/>
          <w:sz w:val="22"/>
          <w:szCs w:val="22"/>
          <w:bdr w:val="nil"/>
          <w:lang w:val="fr-FR"/>
        </w:rPr>
        <w:t xml:space="preserve"> </w:t>
      </w:r>
      <w:proofErr w:type="spellStart"/>
      <w:r>
        <w:rPr>
          <w:rFonts w:ascii="Arial" w:eastAsia="Arial" w:hAnsi="Arial" w:cs="Arial"/>
          <w:bCs/>
          <w:sz w:val="22"/>
          <w:szCs w:val="22"/>
          <w:bdr w:val="nil"/>
          <w:lang w:val="fr-FR"/>
        </w:rPr>
        <w:t>University</w:t>
      </w:r>
      <w:proofErr w:type="spellEnd"/>
      <w:r>
        <w:rPr>
          <w:rFonts w:ascii="Arial" w:eastAsia="Arial" w:hAnsi="Arial" w:cs="Arial"/>
          <w:bCs/>
          <w:sz w:val="22"/>
          <w:szCs w:val="22"/>
          <w:bdr w:val="nil"/>
          <w:lang w:val="fr-FR"/>
        </w:rPr>
        <w:t>, Chicago, États-Unis</w:t>
      </w:r>
    </w:p>
    <w:p w:rsidR="00BA5C4B" w:rsidRDefault="00BA5C4B">
      <w:pPr>
        <w:pStyle w:val="NoSpacing"/>
        <w:rPr>
          <w:rFonts w:ascii="Arial" w:hAnsi="Arial" w:cs="Arial"/>
          <w:b/>
          <w:sz w:val="22"/>
          <w:szCs w:val="22"/>
          <w:lang w:val="es-US"/>
        </w:rPr>
      </w:pPr>
    </w:p>
    <w:p w:rsidR="00BA5C4B" w:rsidRDefault="00BA5C4B">
      <w:pPr>
        <w:pStyle w:val="NoSpacing"/>
        <w:rPr>
          <w:rFonts w:ascii="Arial" w:hAnsi="Arial" w:cs="Arial"/>
          <w:b/>
          <w:sz w:val="22"/>
          <w:szCs w:val="22"/>
          <w:lang w:val="es-US"/>
        </w:rPr>
      </w:pPr>
    </w:p>
    <w:p w:rsidR="00BA5C4B" w:rsidRDefault="00BA5C4B">
      <w:pPr>
        <w:pStyle w:val="NoSpacing"/>
        <w:rPr>
          <w:rFonts w:ascii="Arial" w:hAnsi="Arial" w:cs="Arial"/>
          <w:b/>
          <w:sz w:val="22"/>
          <w:szCs w:val="22"/>
          <w:lang w:val="es-US"/>
        </w:rPr>
      </w:pPr>
    </w:p>
    <w:p w:rsidR="00BA5C4B" w:rsidRDefault="00BA5C4B">
      <w:pPr>
        <w:pStyle w:val="NoSpacing"/>
        <w:rPr>
          <w:rFonts w:ascii="Arial" w:hAnsi="Arial" w:cs="Arial"/>
          <w:b/>
          <w:sz w:val="22"/>
          <w:szCs w:val="22"/>
          <w:lang w:val="es-US"/>
        </w:rPr>
      </w:pPr>
    </w:p>
    <w:p w:rsidR="00BA5C4B" w:rsidRDefault="00BA5C4B">
      <w:pPr>
        <w:pStyle w:val="NoSpacing"/>
        <w:rPr>
          <w:rFonts w:ascii="Arial" w:hAnsi="Arial" w:cs="Arial"/>
          <w:b/>
          <w:sz w:val="22"/>
          <w:szCs w:val="22"/>
          <w:lang w:val="es-US"/>
        </w:rPr>
      </w:pPr>
    </w:p>
    <w:p w:rsidR="00857BE5" w:rsidRDefault="00857BE5">
      <w:pPr>
        <w:pStyle w:val="NoSpacing"/>
        <w:rPr>
          <w:rFonts w:ascii="Arial" w:hAnsi="Arial" w:cs="Arial"/>
          <w:b/>
          <w:sz w:val="22"/>
          <w:szCs w:val="22"/>
          <w:lang w:val="es-US"/>
        </w:rPr>
      </w:pPr>
    </w:p>
    <w:p w:rsidR="00857BE5" w:rsidRDefault="00857BE5">
      <w:pPr>
        <w:pStyle w:val="NoSpacing"/>
        <w:rPr>
          <w:rFonts w:ascii="Arial" w:hAnsi="Arial" w:cs="Arial"/>
          <w:b/>
          <w:sz w:val="22"/>
          <w:szCs w:val="22"/>
          <w:lang w:val="es-US"/>
        </w:rPr>
      </w:pPr>
    </w:p>
    <w:p w:rsidR="00857BE5" w:rsidRDefault="00857BE5">
      <w:pPr>
        <w:pStyle w:val="NoSpacing"/>
        <w:rPr>
          <w:rFonts w:ascii="Arial" w:hAnsi="Arial" w:cs="Arial"/>
          <w:b/>
          <w:sz w:val="22"/>
          <w:szCs w:val="22"/>
          <w:lang w:val="es-US"/>
        </w:rPr>
      </w:pPr>
    </w:p>
    <w:p w:rsidR="00857BE5" w:rsidRDefault="00857BE5">
      <w:pPr>
        <w:pStyle w:val="NoSpacing"/>
        <w:rPr>
          <w:rFonts w:ascii="Arial" w:hAnsi="Arial" w:cs="Arial"/>
          <w:b/>
          <w:sz w:val="22"/>
          <w:szCs w:val="22"/>
          <w:lang w:val="es-US"/>
        </w:rPr>
      </w:pPr>
    </w:p>
    <w:p w:rsidR="00857BE5" w:rsidRDefault="00857BE5">
      <w:pPr>
        <w:pStyle w:val="NoSpacing"/>
        <w:rPr>
          <w:rFonts w:ascii="Arial" w:hAnsi="Arial" w:cs="Arial"/>
          <w:b/>
          <w:sz w:val="22"/>
          <w:szCs w:val="22"/>
          <w:lang w:val="es-US"/>
        </w:rPr>
      </w:pPr>
    </w:p>
    <w:p w:rsidR="00857BE5" w:rsidRDefault="00857BE5">
      <w:pPr>
        <w:pStyle w:val="NoSpacing"/>
        <w:rPr>
          <w:rFonts w:ascii="Arial" w:hAnsi="Arial" w:cs="Arial"/>
          <w:b/>
          <w:sz w:val="22"/>
          <w:szCs w:val="22"/>
          <w:lang w:val="es-US"/>
        </w:rPr>
      </w:pPr>
    </w:p>
    <w:p w:rsidR="00857BE5" w:rsidRDefault="00857BE5">
      <w:pPr>
        <w:pStyle w:val="NoSpacing"/>
        <w:rPr>
          <w:rFonts w:ascii="Arial" w:hAnsi="Arial" w:cs="Arial"/>
          <w:b/>
          <w:sz w:val="22"/>
          <w:szCs w:val="22"/>
          <w:lang w:val="es-US"/>
        </w:rPr>
      </w:pPr>
    </w:p>
    <w:p w:rsidR="00857BE5" w:rsidRDefault="00857BE5">
      <w:pPr>
        <w:pStyle w:val="NoSpacing"/>
        <w:rPr>
          <w:rFonts w:ascii="Arial" w:hAnsi="Arial" w:cs="Arial"/>
          <w:b/>
          <w:sz w:val="22"/>
          <w:szCs w:val="22"/>
          <w:lang w:val="es-US"/>
        </w:rPr>
      </w:pPr>
    </w:p>
    <w:p w:rsidR="00857BE5" w:rsidRDefault="00857BE5">
      <w:pPr>
        <w:pStyle w:val="NoSpacing"/>
        <w:rPr>
          <w:rFonts w:ascii="Arial" w:hAnsi="Arial" w:cs="Arial"/>
          <w:b/>
          <w:sz w:val="22"/>
          <w:szCs w:val="22"/>
          <w:lang w:val="es-US"/>
        </w:rPr>
      </w:pPr>
    </w:p>
    <w:p w:rsidR="00857BE5" w:rsidRDefault="00857BE5">
      <w:pPr>
        <w:pStyle w:val="NoSpacing"/>
        <w:rPr>
          <w:rFonts w:ascii="Arial" w:hAnsi="Arial" w:cs="Arial"/>
          <w:b/>
          <w:sz w:val="22"/>
          <w:szCs w:val="22"/>
          <w:lang w:val="es-US"/>
        </w:rPr>
      </w:pPr>
    </w:p>
    <w:p w:rsidR="001C0DEE" w:rsidRDefault="00767532" w:rsidP="003E7CDB">
      <w:pPr>
        <w:pStyle w:val="NoSpacing"/>
        <w:outlineLvl w:val="0"/>
        <w:rPr>
          <w:rFonts w:ascii="Arial" w:hAnsi="Arial" w:cs="Arial"/>
          <w:sz w:val="22"/>
          <w:szCs w:val="22"/>
          <w:lang w:val="es-US"/>
        </w:rPr>
      </w:pPr>
      <w:proofErr w:type="spellStart"/>
      <w:r w:rsidRPr="00815904">
        <w:rPr>
          <w:rFonts w:ascii="Arial" w:eastAsia="Arial" w:hAnsi="Arial" w:cs="Arial"/>
          <w:b/>
          <w:bCs/>
          <w:sz w:val="22"/>
          <w:szCs w:val="22"/>
          <w:bdr w:val="nil"/>
        </w:rPr>
        <w:t>Références</w:t>
      </w:r>
      <w:proofErr w:type="spellEnd"/>
      <w:r w:rsidRPr="00815904">
        <w:rPr>
          <w:rFonts w:ascii="Arial" w:eastAsia="Arial" w:hAnsi="Arial" w:cs="Arial"/>
          <w:b/>
          <w:bCs/>
          <w:sz w:val="22"/>
          <w:szCs w:val="22"/>
          <w:bdr w:val="nil"/>
        </w:rPr>
        <w:t> :</w:t>
      </w:r>
    </w:p>
    <w:p w:rsidR="00902B77" w:rsidRPr="00902B77" w:rsidRDefault="00767532" w:rsidP="00902B77">
      <w:pPr>
        <w:widowControl w:val="0"/>
        <w:autoSpaceDE w:val="0"/>
        <w:autoSpaceDN w:val="0"/>
        <w:adjustRightInd w:val="0"/>
        <w:spacing w:line="240" w:lineRule="auto"/>
        <w:ind w:left="640" w:hanging="640"/>
        <w:rPr>
          <w:rFonts w:ascii="Arial" w:hAnsi="Arial" w:cs="Arial"/>
          <w:noProof/>
          <w:sz w:val="22"/>
        </w:rPr>
      </w:pPr>
      <w:r>
        <w:rPr>
          <w:rFonts w:ascii="Arial" w:hAnsi="Arial" w:cs="Arial"/>
          <w:sz w:val="22"/>
          <w:szCs w:val="22"/>
        </w:rPr>
        <w:fldChar w:fldCharType="begin" w:fldLock="1"/>
      </w:r>
      <w:r>
        <w:rPr>
          <w:rFonts w:ascii="Arial" w:hAnsi="Arial" w:cs="Arial"/>
          <w:sz w:val="22"/>
          <w:szCs w:val="22"/>
          <w:lang w:val="es-US"/>
        </w:rPr>
        <w:instrText xml:space="preserve">ADDIN Mendeley Bibliography CSL_BIBLIOGRAPHY </w:instrText>
      </w:r>
      <w:r>
        <w:rPr>
          <w:rFonts w:ascii="Arial" w:hAnsi="Arial" w:cs="Arial"/>
          <w:sz w:val="22"/>
          <w:szCs w:val="22"/>
        </w:rPr>
        <w:fldChar w:fldCharType="separate"/>
      </w:r>
      <w:r w:rsidR="00902B77" w:rsidRPr="00902B77">
        <w:rPr>
          <w:rFonts w:ascii="Arial" w:hAnsi="Arial" w:cs="Arial"/>
          <w:noProof/>
          <w:sz w:val="22"/>
        </w:rPr>
        <w:t xml:space="preserve">1. </w:t>
      </w:r>
      <w:r w:rsidR="00902B77" w:rsidRPr="00902B77">
        <w:rPr>
          <w:rFonts w:ascii="Arial" w:hAnsi="Arial" w:cs="Arial"/>
          <w:noProof/>
          <w:sz w:val="22"/>
        </w:rPr>
        <w:tab/>
        <w:t xml:space="preserve">World Health Organization. World Health Statistics 2015. 2015.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 </w:t>
      </w:r>
      <w:r w:rsidRPr="00902B77">
        <w:rPr>
          <w:rFonts w:ascii="Arial" w:hAnsi="Arial" w:cs="Arial"/>
          <w:noProof/>
          <w:sz w:val="22"/>
        </w:rPr>
        <w:tab/>
        <w:t xml:space="preserve">Golding N, Burstein R, Longbottom J, Browne AJ, Fullman N, Osgood-Zimmerman A, et al. Mapping under-5 and neonatal mortality in Africa, 2000-15: a baseline analysis for the </w:t>
      </w:r>
      <w:r w:rsidRPr="00902B77">
        <w:rPr>
          <w:rFonts w:ascii="Arial" w:hAnsi="Arial" w:cs="Arial"/>
          <w:noProof/>
          <w:sz w:val="22"/>
        </w:rPr>
        <w:lastRenderedPageBreak/>
        <w:t>Sustainable Development Goals. Lancet (London, England) [Internet]. 2017 Nov 11 [cited 2018 Oct 22];</w:t>
      </w:r>
      <w:r w:rsidR="00FD3DDA">
        <w:rPr>
          <w:rFonts w:ascii="Arial" w:hAnsi="Arial" w:cs="Arial"/>
          <w:noProof/>
          <w:sz w:val="22"/>
        </w:rPr>
        <w:t xml:space="preserve"> </w:t>
      </w:r>
      <w:r w:rsidRPr="00902B77">
        <w:rPr>
          <w:rFonts w:ascii="Arial" w:hAnsi="Arial" w:cs="Arial"/>
          <w:noProof/>
          <w:sz w:val="22"/>
        </w:rPr>
        <w:t>390(10108):2171–82. Available from: http://www.ncbi.nlm.nih.gov/pubmed/28958464</w:t>
      </w:r>
    </w:p>
    <w:p w:rsidR="00902B77" w:rsidRPr="00762139" w:rsidRDefault="00902B77" w:rsidP="00902B77">
      <w:pPr>
        <w:widowControl w:val="0"/>
        <w:autoSpaceDE w:val="0"/>
        <w:autoSpaceDN w:val="0"/>
        <w:adjustRightInd w:val="0"/>
        <w:spacing w:line="240" w:lineRule="auto"/>
        <w:ind w:left="640" w:hanging="640"/>
        <w:rPr>
          <w:rFonts w:ascii="Arial" w:hAnsi="Arial" w:cs="Arial"/>
          <w:noProof/>
          <w:sz w:val="22"/>
          <w:lang w:val="fr-FR"/>
        </w:rPr>
      </w:pPr>
      <w:r w:rsidRPr="00762139">
        <w:rPr>
          <w:rFonts w:ascii="Arial" w:hAnsi="Arial" w:cs="Arial"/>
          <w:noProof/>
          <w:sz w:val="22"/>
          <w:lang w:val="fr-FR"/>
        </w:rPr>
        <w:t xml:space="preserve">3. </w:t>
      </w:r>
      <w:r w:rsidRPr="00762139">
        <w:rPr>
          <w:rFonts w:ascii="Arial" w:hAnsi="Arial" w:cs="Arial"/>
          <w:noProof/>
          <w:sz w:val="22"/>
          <w:lang w:val="fr-FR"/>
        </w:rPr>
        <w:tab/>
        <w:t>Ministère de la Planification du Développement et de l’Aménagement du Territoire (MPDAT) M de la SM et II. Enquête Démographique et de Sante au Togo</w:t>
      </w:r>
      <w:r w:rsidR="00FD3DDA">
        <w:rPr>
          <w:rFonts w:ascii="Arial" w:hAnsi="Arial" w:cs="Arial"/>
          <w:noProof/>
          <w:sz w:val="22"/>
          <w:lang w:val="fr-FR"/>
        </w:rPr>
        <w:t> </w:t>
      </w:r>
      <w:r w:rsidRPr="00762139">
        <w:rPr>
          <w:rFonts w:ascii="Arial" w:hAnsi="Arial" w:cs="Arial"/>
          <w:noProof/>
          <w:sz w:val="22"/>
          <w:lang w:val="fr-FR"/>
        </w:rPr>
        <w:t>2013 – 2014. Rockville, Maryland, USA</w:t>
      </w:r>
      <w:r w:rsidR="00FD3DDA">
        <w:rPr>
          <w:rFonts w:ascii="Arial" w:hAnsi="Arial" w:cs="Arial"/>
          <w:noProof/>
          <w:sz w:val="22"/>
          <w:lang w:val="fr-FR"/>
        </w:rPr>
        <w:t> </w:t>
      </w:r>
      <w:r w:rsidRPr="00762139">
        <w:rPr>
          <w:rFonts w:ascii="Arial" w:hAnsi="Arial" w:cs="Arial"/>
          <w:noProof/>
          <w:sz w:val="22"/>
          <w:lang w:val="fr-FR"/>
        </w:rPr>
        <w:t xml:space="preserve">; 2015.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 </w:t>
      </w:r>
      <w:r w:rsidRPr="00902B77">
        <w:rPr>
          <w:rFonts w:ascii="Arial" w:hAnsi="Arial" w:cs="Arial"/>
          <w:noProof/>
          <w:sz w:val="22"/>
        </w:rPr>
        <w:tab/>
        <w:t>UN Inter-agency Group for Child Mortality Estimation (UN IGME). Country-specific under-five mortality rate, 2018 [Internet]. 2018 [cited 2018 Dec 1]. Available from: https://data.unicef.org/topic/child-survival/under-five-mortality/</w:t>
      </w:r>
    </w:p>
    <w:p w:rsidR="00902B77" w:rsidRPr="00762139" w:rsidRDefault="00902B77" w:rsidP="00902B77">
      <w:pPr>
        <w:widowControl w:val="0"/>
        <w:autoSpaceDE w:val="0"/>
        <w:autoSpaceDN w:val="0"/>
        <w:adjustRightInd w:val="0"/>
        <w:spacing w:line="240" w:lineRule="auto"/>
        <w:ind w:left="640" w:hanging="640"/>
        <w:rPr>
          <w:rFonts w:ascii="Arial" w:hAnsi="Arial" w:cs="Arial"/>
          <w:noProof/>
          <w:sz w:val="22"/>
          <w:lang w:val="fr-FR"/>
        </w:rPr>
      </w:pPr>
      <w:r w:rsidRPr="00762139">
        <w:rPr>
          <w:rFonts w:ascii="Arial" w:hAnsi="Arial" w:cs="Arial"/>
          <w:noProof/>
          <w:sz w:val="22"/>
          <w:lang w:val="fr-FR"/>
        </w:rPr>
        <w:t xml:space="preserve">5. </w:t>
      </w:r>
      <w:r w:rsidRPr="00762139">
        <w:rPr>
          <w:rFonts w:ascii="Arial" w:hAnsi="Arial" w:cs="Arial"/>
          <w:noProof/>
          <w:sz w:val="22"/>
          <w:lang w:val="fr-FR"/>
        </w:rPr>
        <w:tab/>
        <w:t>Togo Ministry of Health. Togo Ministère de la Santé</w:t>
      </w:r>
      <w:r w:rsidR="00FD3DDA">
        <w:rPr>
          <w:rFonts w:ascii="Arial" w:hAnsi="Arial" w:cs="Arial"/>
          <w:noProof/>
          <w:sz w:val="22"/>
          <w:lang w:val="fr-FR"/>
        </w:rPr>
        <w:t> </w:t>
      </w:r>
      <w:r w:rsidRPr="00762139">
        <w:rPr>
          <w:rFonts w:ascii="Arial" w:hAnsi="Arial" w:cs="Arial"/>
          <w:noProof/>
          <w:sz w:val="22"/>
          <w:lang w:val="fr-FR"/>
        </w:rPr>
        <w:t>: Rapport Annuel de Performance Gestion</w:t>
      </w:r>
      <w:r w:rsidR="00FD3DDA">
        <w:rPr>
          <w:rFonts w:ascii="Arial" w:hAnsi="Arial" w:cs="Arial"/>
          <w:noProof/>
          <w:sz w:val="22"/>
          <w:lang w:val="fr-FR"/>
        </w:rPr>
        <w:t> </w:t>
      </w:r>
      <w:r w:rsidRPr="00762139">
        <w:rPr>
          <w:rFonts w:ascii="Arial" w:hAnsi="Arial" w:cs="Arial"/>
          <w:noProof/>
          <w:sz w:val="22"/>
          <w:lang w:val="fr-FR"/>
        </w:rPr>
        <w:t xml:space="preserve">2014. 2014.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762139">
        <w:rPr>
          <w:rFonts w:ascii="Arial" w:hAnsi="Arial" w:cs="Arial"/>
          <w:noProof/>
          <w:sz w:val="22"/>
          <w:lang w:val="fr-FR"/>
        </w:rPr>
        <w:t xml:space="preserve">6. </w:t>
      </w:r>
      <w:r w:rsidRPr="00762139">
        <w:rPr>
          <w:rFonts w:ascii="Arial" w:hAnsi="Arial" w:cs="Arial"/>
          <w:noProof/>
          <w:sz w:val="22"/>
          <w:lang w:val="fr-FR"/>
        </w:rPr>
        <w:tab/>
        <w:t>Togo Ministry of Health. Togo Ministère de la Santé</w:t>
      </w:r>
      <w:r w:rsidR="00FD3DDA">
        <w:rPr>
          <w:rFonts w:ascii="Arial" w:hAnsi="Arial" w:cs="Arial"/>
          <w:noProof/>
          <w:sz w:val="22"/>
          <w:lang w:val="fr-FR"/>
        </w:rPr>
        <w:t> </w:t>
      </w:r>
      <w:r w:rsidRPr="00762139">
        <w:rPr>
          <w:rFonts w:ascii="Arial" w:hAnsi="Arial" w:cs="Arial"/>
          <w:noProof/>
          <w:sz w:val="22"/>
          <w:lang w:val="fr-FR"/>
        </w:rPr>
        <w:t>: Principaux Indicateurs de Sante</w:t>
      </w:r>
      <w:r w:rsidR="00FD3DDA">
        <w:rPr>
          <w:rFonts w:ascii="Arial" w:hAnsi="Arial" w:cs="Arial"/>
          <w:noProof/>
          <w:sz w:val="22"/>
          <w:lang w:val="fr-FR"/>
        </w:rPr>
        <w:t> </w:t>
      </w:r>
      <w:r w:rsidRPr="00762139">
        <w:rPr>
          <w:rFonts w:ascii="Arial" w:hAnsi="Arial" w:cs="Arial"/>
          <w:noProof/>
          <w:sz w:val="22"/>
          <w:lang w:val="fr-FR"/>
        </w:rPr>
        <w:t xml:space="preserve">2014. </w:t>
      </w:r>
      <w:r w:rsidRPr="00902B77">
        <w:rPr>
          <w:rFonts w:ascii="Arial" w:hAnsi="Arial" w:cs="Arial"/>
          <w:noProof/>
          <w:sz w:val="22"/>
        </w:rPr>
        <w:t xml:space="preserve">2014.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7. </w:t>
      </w:r>
      <w:r w:rsidRPr="00902B77">
        <w:rPr>
          <w:rFonts w:ascii="Arial" w:hAnsi="Arial" w:cs="Arial"/>
          <w:noProof/>
          <w:sz w:val="22"/>
        </w:rPr>
        <w:tab/>
        <w:t>Fiori K, Schechter J, Dey M, Braganza S, Rhatigan J, Houndenou S, et al. Closing the delivery gaps in pediatric HIV care in Togo, West Africa: using the care delivery value chain framework to direct quality improvement. AIDS Care - Psychol Socio-Medical Asp AIDS/HIV. 2016;</w:t>
      </w:r>
      <w:r w:rsidR="00FD3DDA">
        <w:rPr>
          <w:rFonts w:ascii="Arial" w:hAnsi="Arial" w:cs="Arial"/>
          <w:noProof/>
          <w:sz w:val="22"/>
        </w:rPr>
        <w:t xml:space="preserve"> </w:t>
      </w:r>
      <w:r w:rsidRPr="00902B77">
        <w:rPr>
          <w:rFonts w:ascii="Arial" w:hAnsi="Arial" w:cs="Arial"/>
          <w:noProof/>
          <w:sz w:val="22"/>
        </w:rPr>
        <w:t xml:space="preserve">28(September 2017):29–33.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8. </w:t>
      </w:r>
      <w:r w:rsidRPr="00902B77">
        <w:rPr>
          <w:rFonts w:ascii="Arial" w:hAnsi="Arial" w:cs="Arial"/>
          <w:noProof/>
          <w:sz w:val="22"/>
        </w:rPr>
        <w:tab/>
        <w:t>Fiori KP, Belli HM, Lauria ME, Hirschhorn LR, Schechter J, Hansman E, et al. Implementing an integrated community based health systems strengthening approach to improve HIV survival in Northern Togo. AIDS Care [Internet]. 2019 Jun 6 [cited 2019 Jul 8];</w:t>
      </w:r>
      <w:r w:rsidR="00FD3DDA">
        <w:rPr>
          <w:rFonts w:ascii="Arial" w:hAnsi="Arial" w:cs="Arial"/>
          <w:noProof/>
          <w:sz w:val="22"/>
        </w:rPr>
        <w:t xml:space="preserve"> </w:t>
      </w:r>
      <w:r w:rsidRPr="00902B77">
        <w:rPr>
          <w:rFonts w:ascii="Arial" w:hAnsi="Arial" w:cs="Arial"/>
          <w:noProof/>
          <w:sz w:val="22"/>
        </w:rPr>
        <w:t>1–9. Available from: https://www.tandfonline.com/doi/full/10.1080/09540121.2019.1626342</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9. </w:t>
      </w:r>
      <w:r w:rsidRPr="00902B77">
        <w:rPr>
          <w:rFonts w:ascii="Arial" w:hAnsi="Arial" w:cs="Arial"/>
          <w:noProof/>
          <w:sz w:val="22"/>
        </w:rPr>
        <w:tab/>
        <w:t>McCarthy KJ, Braganza S, Fiori K, Gbeleou C, Kpakpo V, Lopez A, et al. Identifying inequities in maternal and child health through risk stratification to inform health systems strengthening in Northern Togo. PLoS One. 2017;</w:t>
      </w:r>
      <w:r w:rsidR="00FD3DDA">
        <w:rPr>
          <w:rFonts w:ascii="Arial" w:hAnsi="Arial" w:cs="Arial"/>
          <w:noProof/>
          <w:sz w:val="22"/>
        </w:rPr>
        <w:t xml:space="preserve"> </w:t>
      </w:r>
      <w:r w:rsidRPr="00902B77">
        <w:rPr>
          <w:rFonts w:ascii="Arial" w:hAnsi="Arial" w:cs="Arial"/>
          <w:noProof/>
          <w:sz w:val="22"/>
        </w:rPr>
        <w:t xml:space="preserve">12(3):1–19.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10. </w:t>
      </w:r>
      <w:r w:rsidRPr="00902B77">
        <w:rPr>
          <w:rFonts w:ascii="Arial" w:hAnsi="Arial" w:cs="Arial"/>
          <w:noProof/>
          <w:sz w:val="22"/>
        </w:rPr>
        <w:tab/>
        <w:t>Arnold J, Samson M, Schechter J, Goodwin AS, Braganza S, Sesso GC, et al. Getting There: Overcoming Barriers to Reproductive and Maternal Health Services Access in Northern Togo-A Qualitative Study. World Med Heal Policy [Internet]. 2016 Sep 1 [cited 2019 Jul 30];</w:t>
      </w:r>
      <w:r w:rsidR="00FD3DDA">
        <w:rPr>
          <w:rFonts w:ascii="Arial" w:hAnsi="Arial" w:cs="Arial"/>
          <w:noProof/>
          <w:sz w:val="22"/>
        </w:rPr>
        <w:t xml:space="preserve"> </w:t>
      </w:r>
      <w:r w:rsidRPr="00902B77">
        <w:rPr>
          <w:rFonts w:ascii="Arial" w:hAnsi="Arial" w:cs="Arial"/>
          <w:noProof/>
          <w:sz w:val="22"/>
        </w:rPr>
        <w:t>8(3):223–44. Available from: http://doi.wiley.com/10.1002/wmh3.195</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11. </w:t>
      </w:r>
      <w:r w:rsidRPr="00902B77">
        <w:rPr>
          <w:rFonts w:ascii="Arial" w:hAnsi="Arial" w:cs="Arial"/>
          <w:noProof/>
          <w:sz w:val="22"/>
        </w:rPr>
        <w:tab/>
        <w:t>Johnson AD, Thomson DR, Atwood S, Alley I, Beckerman JL, Kon?? I, et al. Assessing early access to care and child survival during a health system strengthening intervention in Mali: A repeated cross sectional survey. PLoS One. 2013;</w:t>
      </w:r>
      <w:r w:rsidR="00FD3DDA">
        <w:rPr>
          <w:rFonts w:ascii="Arial" w:hAnsi="Arial" w:cs="Arial"/>
          <w:noProof/>
          <w:sz w:val="22"/>
        </w:rPr>
        <w:t xml:space="preserve"> </w:t>
      </w:r>
      <w:r w:rsidRPr="00902B77">
        <w:rPr>
          <w:rFonts w:ascii="Arial" w:hAnsi="Arial" w:cs="Arial"/>
          <w:noProof/>
          <w:sz w:val="22"/>
        </w:rPr>
        <w:t xml:space="preserve">8(12).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12. </w:t>
      </w:r>
      <w:r w:rsidRPr="00902B77">
        <w:rPr>
          <w:rFonts w:ascii="Arial" w:hAnsi="Arial" w:cs="Arial"/>
          <w:noProof/>
          <w:sz w:val="22"/>
        </w:rPr>
        <w:tab/>
        <w:t>Cometto G, Ford N, Pfaffman-Zambruni J, Akl EA, Lehmann U, McPake B, et al. Health policy and system support to optimise community health worker programmes: an abridged WHO guideline. Lancet Glob Heal [Internet]. 2018 Dec [cited 2019 Jul 30];</w:t>
      </w:r>
      <w:r w:rsidR="00FD3DDA">
        <w:rPr>
          <w:rFonts w:ascii="Arial" w:hAnsi="Arial" w:cs="Arial"/>
          <w:noProof/>
          <w:sz w:val="22"/>
        </w:rPr>
        <w:t xml:space="preserve"> </w:t>
      </w:r>
      <w:r w:rsidRPr="00902B77">
        <w:rPr>
          <w:rFonts w:ascii="Arial" w:hAnsi="Arial" w:cs="Arial"/>
          <w:noProof/>
          <w:sz w:val="22"/>
        </w:rPr>
        <w:t>6(12):e1397–404. Available from: http://www.ncbi.nlm.nih.gov/pubmed/30430994</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13. </w:t>
      </w:r>
      <w:r w:rsidRPr="00902B77">
        <w:rPr>
          <w:rFonts w:ascii="Arial" w:hAnsi="Arial" w:cs="Arial"/>
          <w:noProof/>
          <w:sz w:val="22"/>
        </w:rPr>
        <w:tab/>
        <w:t>O’Mara-Eves A, Brunton G, McDaid D, Oliver S, Kavanagh J, Jamal F, et al. Community engagement to reduce inequalities in health: a systematic review, meta-analysis and economic analysis [Internet]. Community engagement to reduce inequalities in health: a systematic review, meta-analysis and economic analysis. NIHR Journals Library; 2013 [cited 2019 Mar 18]. Available from: http://www.ncbi.nlm.nih.gov/pubmed/25642563</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14. </w:t>
      </w:r>
      <w:r w:rsidRPr="00902B77">
        <w:rPr>
          <w:rFonts w:ascii="Arial" w:hAnsi="Arial" w:cs="Arial"/>
          <w:noProof/>
          <w:sz w:val="22"/>
        </w:rPr>
        <w:tab/>
        <w:t>O’Mara-Eves A, Brunton G, Oliver S, Kavanagh J, Jamal F, Thomas J. The effectiveness of community engagement in public health interventions for disadvantaged groups: a meta-analysis. BMC Public Health [Internet]. 2015 Dec 12 [cited 2019 Mar 18];</w:t>
      </w:r>
      <w:r w:rsidR="00FD3DDA">
        <w:rPr>
          <w:rFonts w:ascii="Arial" w:hAnsi="Arial" w:cs="Arial"/>
          <w:noProof/>
          <w:sz w:val="22"/>
        </w:rPr>
        <w:t xml:space="preserve"> </w:t>
      </w:r>
      <w:r w:rsidRPr="00902B77">
        <w:rPr>
          <w:rFonts w:ascii="Arial" w:hAnsi="Arial" w:cs="Arial"/>
          <w:noProof/>
          <w:sz w:val="22"/>
        </w:rPr>
        <w:t>15(1):129. Available from: http://www.ncbi.nlm.nih.gov/pubmed/25885588</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15. </w:t>
      </w:r>
      <w:r w:rsidRPr="00902B77">
        <w:rPr>
          <w:rFonts w:ascii="Arial" w:hAnsi="Arial" w:cs="Arial"/>
          <w:noProof/>
          <w:sz w:val="22"/>
        </w:rPr>
        <w:tab/>
        <w:t>Kok</w:t>
      </w:r>
      <w:r w:rsidR="00FD3DDA">
        <w:rPr>
          <w:rFonts w:ascii="Arial" w:hAnsi="Arial" w:cs="Arial"/>
          <w:noProof/>
          <w:sz w:val="22"/>
        </w:rPr>
        <w:t> </w:t>
      </w:r>
      <w:r w:rsidRPr="00902B77">
        <w:rPr>
          <w:rFonts w:ascii="Arial" w:hAnsi="Arial" w:cs="Arial"/>
          <w:noProof/>
          <w:sz w:val="22"/>
        </w:rPr>
        <w:t>MC, Dieleman M, Taegtmeyer M, Broerse JE, Kane SS, Ormel H, et al. Which intervention design factors influence performance of community health workers in low- and middle-income countries? A systematic review. Health Policy Plan [Internet]. 2015 Nov [cited 2019 Feb 9];</w:t>
      </w:r>
      <w:r w:rsidR="00FD3DDA">
        <w:rPr>
          <w:rFonts w:ascii="Arial" w:hAnsi="Arial" w:cs="Arial"/>
          <w:noProof/>
          <w:sz w:val="22"/>
        </w:rPr>
        <w:t xml:space="preserve"> </w:t>
      </w:r>
      <w:r w:rsidRPr="00902B77">
        <w:rPr>
          <w:rFonts w:ascii="Arial" w:hAnsi="Arial" w:cs="Arial"/>
          <w:noProof/>
          <w:sz w:val="22"/>
        </w:rPr>
        <w:t>30(9):1207–27. Available from: http://www.ncbi.nlm.nih.gov/pubmed/25500559</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16. </w:t>
      </w:r>
      <w:r w:rsidRPr="00902B77">
        <w:rPr>
          <w:rFonts w:ascii="Arial" w:hAnsi="Arial" w:cs="Arial"/>
          <w:noProof/>
          <w:sz w:val="22"/>
        </w:rPr>
        <w:tab/>
        <w:t xml:space="preserve">Yates R. Universal health care and the removal of user fees. Lancet (London, England) </w:t>
      </w:r>
      <w:r w:rsidRPr="00902B77">
        <w:rPr>
          <w:rFonts w:ascii="Arial" w:hAnsi="Arial" w:cs="Arial"/>
          <w:noProof/>
          <w:sz w:val="22"/>
        </w:rPr>
        <w:lastRenderedPageBreak/>
        <w:t>[Internet]. 2009 Jun 13 [cited 2019 Mar 15];</w:t>
      </w:r>
      <w:r w:rsidR="00FD3DDA">
        <w:rPr>
          <w:rFonts w:ascii="Arial" w:hAnsi="Arial" w:cs="Arial"/>
          <w:noProof/>
          <w:sz w:val="22"/>
        </w:rPr>
        <w:t xml:space="preserve"> </w:t>
      </w:r>
      <w:r w:rsidRPr="00902B77">
        <w:rPr>
          <w:rFonts w:ascii="Arial" w:hAnsi="Arial" w:cs="Arial"/>
          <w:noProof/>
          <w:sz w:val="22"/>
        </w:rPr>
        <w:t>373(9680):2078–81. Available from: http://www.ncbi.nlm.nih.gov/pubmed/19362359</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17. </w:t>
      </w:r>
      <w:r w:rsidRPr="00902B77">
        <w:rPr>
          <w:rFonts w:ascii="Arial" w:hAnsi="Arial" w:cs="Arial"/>
          <w:noProof/>
          <w:sz w:val="22"/>
        </w:rPr>
        <w:tab/>
        <w:t>Johri M, Ridde V, Heinmüller R, Haddad S. Estimation of maternal and child mortality one year after user-fee elimination: an impact evaluation and modelling study in Burkina Faso. Bull World Health Organ [Internet]. 2014 Oct 1 [cited 2018 Oct 31];</w:t>
      </w:r>
      <w:r w:rsidR="00FD3DDA">
        <w:rPr>
          <w:rFonts w:ascii="Arial" w:hAnsi="Arial" w:cs="Arial"/>
          <w:noProof/>
          <w:sz w:val="22"/>
        </w:rPr>
        <w:t xml:space="preserve"> </w:t>
      </w:r>
      <w:r w:rsidRPr="00902B77">
        <w:rPr>
          <w:rFonts w:ascii="Arial" w:hAnsi="Arial" w:cs="Arial"/>
          <w:noProof/>
          <w:sz w:val="22"/>
        </w:rPr>
        <w:t>92(10):706–15. Available from: http://www.who.int/entity/bulletin/volumes/92/10/13-130609.pdf</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18. </w:t>
      </w:r>
      <w:r w:rsidRPr="00902B77">
        <w:rPr>
          <w:rFonts w:ascii="Arial" w:hAnsi="Arial" w:cs="Arial"/>
          <w:noProof/>
          <w:sz w:val="22"/>
        </w:rPr>
        <w:tab/>
        <w:t>Calhoun LM, Speizer IS, Guilkey D, Bukusi E. The Effect of the Removal of User Fees for Delivery at Public Health Facilities on Institutional Delivery in Urban Kenya. Matern Child Health J [Internet]. 2017;</w:t>
      </w:r>
      <w:r w:rsidR="00FD3DDA">
        <w:rPr>
          <w:rFonts w:ascii="Arial" w:hAnsi="Arial" w:cs="Arial"/>
          <w:noProof/>
          <w:sz w:val="22"/>
        </w:rPr>
        <w:t xml:space="preserve"> </w:t>
      </w:r>
      <w:r w:rsidRPr="00902B77">
        <w:rPr>
          <w:rFonts w:ascii="Arial" w:hAnsi="Arial" w:cs="Arial"/>
          <w:noProof/>
          <w:sz w:val="22"/>
        </w:rPr>
        <w:t>0(0):0. Available from: http://link.springer.com/10.1007/s10995-017-2408-7</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19. </w:t>
      </w:r>
      <w:r w:rsidRPr="00902B77">
        <w:rPr>
          <w:rFonts w:ascii="Arial" w:hAnsi="Arial" w:cs="Arial"/>
          <w:noProof/>
          <w:sz w:val="22"/>
        </w:rPr>
        <w:tab/>
        <w:t>Johnson AD, Thiero O, Whidden C, Poudiougou B, Diakité D, Traoré F, et al. Proactive community case management and child survival in periurban Mali. BMJ Glob Heal Mali BMJ Glob Heal. 2018;</w:t>
      </w:r>
      <w:r w:rsidR="00FD3DDA">
        <w:rPr>
          <w:rFonts w:ascii="Arial" w:hAnsi="Arial" w:cs="Arial"/>
          <w:noProof/>
          <w:sz w:val="22"/>
        </w:rPr>
        <w:t xml:space="preserve"> </w:t>
      </w:r>
      <w:r w:rsidRPr="00902B77">
        <w:rPr>
          <w:rFonts w:ascii="Arial" w:hAnsi="Arial" w:cs="Arial"/>
          <w:noProof/>
          <w:sz w:val="22"/>
        </w:rPr>
        <w:t xml:space="preserve">33.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20. </w:t>
      </w:r>
      <w:r w:rsidRPr="00902B77">
        <w:rPr>
          <w:rFonts w:ascii="Arial" w:hAnsi="Arial" w:cs="Arial"/>
          <w:noProof/>
          <w:sz w:val="22"/>
        </w:rPr>
        <w:tab/>
        <w:t>Schellenberg JRA, Adam T, Mshinda H, Masanja H, Kabadi G, Mukasa O, et al. Effectiveness and cost of facility-based Integrated Management of Childhood Illness (IMCI) in Tanzania. Lancet [Internet]. 2004 Oct 30 [cited 2019 Mar 18];</w:t>
      </w:r>
      <w:r w:rsidR="00FD3DDA">
        <w:rPr>
          <w:rFonts w:ascii="Arial" w:hAnsi="Arial" w:cs="Arial"/>
          <w:noProof/>
          <w:sz w:val="22"/>
        </w:rPr>
        <w:t xml:space="preserve"> </w:t>
      </w:r>
      <w:r w:rsidRPr="00902B77">
        <w:rPr>
          <w:rFonts w:ascii="Arial" w:hAnsi="Arial" w:cs="Arial"/>
          <w:noProof/>
          <w:sz w:val="22"/>
        </w:rPr>
        <w:t>364(9445):1583–94. Available from: https://www.sciencedirect.com/science/article/pii/S014067360417311X</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21. </w:t>
      </w:r>
      <w:r w:rsidRPr="00902B77">
        <w:rPr>
          <w:rFonts w:ascii="Arial" w:hAnsi="Arial" w:cs="Arial"/>
          <w:noProof/>
          <w:sz w:val="22"/>
        </w:rPr>
        <w:tab/>
        <w:t>Christopher JB, Le May A, Lewin S, Ross DA. Thirty years after Alma-Ata: a systematic review of the impact of community health workers delivering curative interventions against malaria, pneumonia and diarrhoea on child mortality and morbidity in sub-Saharan Africa [Internet]. 2011 [cited 2019 Mar 18]. Available from: http://www.human-resources-health.com/content/9/1/27</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22. </w:t>
      </w:r>
      <w:r w:rsidRPr="00902B77">
        <w:rPr>
          <w:rFonts w:ascii="Arial" w:hAnsi="Arial" w:cs="Arial"/>
          <w:noProof/>
          <w:sz w:val="22"/>
        </w:rPr>
        <w:tab/>
        <w:t>Lassi ZS, Bhutta ZA. Community-based intervention packages for reducing maternal and neonatal morbidity and mortality and improving neonatal outcomes. Cochrane Database Syst Rev [Internet]. 2015 Mar 23 [cited 2019 Mar 18];(3). Available from: http://doi.wiley.com/10.1002/14651858.CD007754.pub3</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23. </w:t>
      </w:r>
      <w:r w:rsidRPr="00902B77">
        <w:rPr>
          <w:rFonts w:ascii="Arial" w:hAnsi="Arial" w:cs="Arial"/>
          <w:noProof/>
          <w:sz w:val="22"/>
        </w:rPr>
        <w:tab/>
        <w:t>Amouzou A, Morris S, Moulton LH, Mukanga D. Assessing the impact of integrated community case management (iCCM) programs on child mortality: Review of early results and lessons learned in sub-Saharan Africa. J Glob Health [Internet]. 2014 Dec [cited 2019 Mar 18];</w:t>
      </w:r>
      <w:r w:rsidR="00FD3DDA">
        <w:rPr>
          <w:rFonts w:ascii="Arial" w:hAnsi="Arial" w:cs="Arial"/>
          <w:noProof/>
          <w:sz w:val="22"/>
        </w:rPr>
        <w:t xml:space="preserve"> </w:t>
      </w:r>
      <w:r w:rsidRPr="00902B77">
        <w:rPr>
          <w:rFonts w:ascii="Arial" w:hAnsi="Arial" w:cs="Arial"/>
          <w:noProof/>
          <w:sz w:val="22"/>
        </w:rPr>
        <w:t>4(2):020411. Available from: http://www.ncbi.nlm.nih.gov/pubmed/25520801</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24. </w:t>
      </w:r>
      <w:r w:rsidRPr="00902B77">
        <w:rPr>
          <w:rFonts w:ascii="Arial" w:hAnsi="Arial" w:cs="Arial"/>
          <w:noProof/>
          <w:sz w:val="22"/>
        </w:rPr>
        <w:tab/>
        <w:t>Gogia S, Sachdev HS. Home visits by community health workers to prevent neonatal deaths in developing countries: a systematic review. Bull World Health Organ [Internet]. 2010 Sep 1 [cited 2019 Mar 18];</w:t>
      </w:r>
      <w:r w:rsidR="00FD3DDA">
        <w:rPr>
          <w:rFonts w:ascii="Arial" w:hAnsi="Arial" w:cs="Arial"/>
          <w:noProof/>
          <w:sz w:val="22"/>
        </w:rPr>
        <w:t xml:space="preserve"> </w:t>
      </w:r>
      <w:r w:rsidRPr="00902B77">
        <w:rPr>
          <w:rFonts w:ascii="Arial" w:hAnsi="Arial" w:cs="Arial"/>
          <w:noProof/>
          <w:sz w:val="22"/>
        </w:rPr>
        <w:t>88(9):658–666B. Available from: http://www.ncbi.nlm.nih.gov/pubmed/20865070</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25. </w:t>
      </w:r>
      <w:r w:rsidRPr="00902B77">
        <w:rPr>
          <w:rFonts w:ascii="Arial" w:hAnsi="Arial" w:cs="Arial"/>
          <w:noProof/>
          <w:sz w:val="22"/>
        </w:rPr>
        <w:tab/>
        <w:t>Gogia S, Sachdev HPS. Home-based neonatal care by community health workers for preventing mortality in neonates in low- and middle-income countries: a systematic review. J Perinatol [Internet]. 2016 [cited 2019 Mar 18];</w:t>
      </w:r>
      <w:r w:rsidR="00FD3DDA">
        <w:rPr>
          <w:rFonts w:ascii="Arial" w:hAnsi="Arial" w:cs="Arial"/>
          <w:noProof/>
          <w:sz w:val="22"/>
        </w:rPr>
        <w:t xml:space="preserve"> </w:t>
      </w:r>
      <w:r w:rsidRPr="00902B77">
        <w:rPr>
          <w:rFonts w:ascii="Arial" w:hAnsi="Arial" w:cs="Arial"/>
          <w:noProof/>
          <w:sz w:val="22"/>
        </w:rPr>
        <w:t>36 Suppl 1(Suppl 1):S55-73. Available from: http://www.ncbi.nlm.nih.gov/pubmed/27109093</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26. </w:t>
      </w:r>
      <w:r w:rsidRPr="00902B77">
        <w:rPr>
          <w:rFonts w:ascii="Arial" w:hAnsi="Arial" w:cs="Arial"/>
          <w:noProof/>
          <w:sz w:val="22"/>
        </w:rPr>
        <w:tab/>
        <w:t>Dawson AJ, Buchan J, Duffield C, Homer CSE, Wijewardena K. Task shifting and sharing in maternal and reproductive health in low-income countries: a narrative synthesis of current evidence. Health Policy Plan [Internet]. 2014 May 1 [cited 2019 Mar 18];</w:t>
      </w:r>
      <w:r w:rsidR="00FD3DDA">
        <w:rPr>
          <w:rFonts w:ascii="Arial" w:hAnsi="Arial" w:cs="Arial"/>
          <w:noProof/>
          <w:sz w:val="22"/>
        </w:rPr>
        <w:t xml:space="preserve"> </w:t>
      </w:r>
      <w:r w:rsidRPr="00902B77">
        <w:rPr>
          <w:rFonts w:ascii="Arial" w:hAnsi="Arial" w:cs="Arial"/>
          <w:noProof/>
          <w:sz w:val="22"/>
        </w:rPr>
        <w:t>29(3):396–408. Available from: https://academic.oup.com/heapol/article-lookup/doi/10.1093/heapol/czt026</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27. </w:t>
      </w:r>
      <w:r w:rsidRPr="00902B77">
        <w:rPr>
          <w:rFonts w:ascii="Arial" w:hAnsi="Arial" w:cs="Arial"/>
          <w:noProof/>
          <w:sz w:val="22"/>
        </w:rPr>
        <w:tab/>
        <w:t>Tso LS, Best J, Beanland R, Doherty M, Lackey M, Ma Q, et al. Facilitators and barriers in HIV linkage to care interventions: a qualitative evidence review. AIDS [Internet]. 2016 [cited 2019 Mar 18];</w:t>
      </w:r>
      <w:r w:rsidR="00FD3DDA">
        <w:rPr>
          <w:rFonts w:ascii="Arial" w:hAnsi="Arial" w:cs="Arial"/>
          <w:noProof/>
          <w:sz w:val="22"/>
        </w:rPr>
        <w:t xml:space="preserve"> </w:t>
      </w:r>
      <w:r w:rsidRPr="00902B77">
        <w:rPr>
          <w:rFonts w:ascii="Arial" w:hAnsi="Arial" w:cs="Arial"/>
          <w:noProof/>
          <w:sz w:val="22"/>
        </w:rPr>
        <w:t>30(10):1639–53. Available from: http://www.ncbi.nlm.nih.gov/pubmed/27058350</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28. </w:t>
      </w:r>
      <w:r w:rsidRPr="00902B77">
        <w:rPr>
          <w:rFonts w:ascii="Arial" w:hAnsi="Arial" w:cs="Arial"/>
          <w:noProof/>
          <w:sz w:val="22"/>
        </w:rPr>
        <w:tab/>
        <w:t xml:space="preserve">Hirschhorn LR, Baynes C, Sherr K, Chintu N, Awoonor-Williams JK, Finnegan K, et al. Approaches to ensuring and improving quality in the context of health system </w:t>
      </w:r>
      <w:r w:rsidRPr="00902B77">
        <w:rPr>
          <w:rFonts w:ascii="Arial" w:hAnsi="Arial" w:cs="Arial"/>
          <w:noProof/>
          <w:sz w:val="22"/>
        </w:rPr>
        <w:lastRenderedPageBreak/>
        <w:t>strengthening: A cross-site analysis of the five African Health Initiative Partnership programs. BMC Health Serv Res. 2013;</w:t>
      </w:r>
      <w:r w:rsidR="00FD3DDA">
        <w:rPr>
          <w:rFonts w:ascii="Arial" w:hAnsi="Arial" w:cs="Arial"/>
          <w:noProof/>
          <w:sz w:val="22"/>
        </w:rPr>
        <w:t xml:space="preserve"> </w:t>
      </w:r>
      <w:r w:rsidRPr="00902B77">
        <w:rPr>
          <w:rFonts w:ascii="Arial" w:hAnsi="Arial" w:cs="Arial"/>
          <w:noProof/>
          <w:sz w:val="22"/>
        </w:rPr>
        <w:t xml:space="preserve">13(SUPPL.2).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29. </w:t>
      </w:r>
      <w:r w:rsidRPr="00902B77">
        <w:rPr>
          <w:rFonts w:ascii="Arial" w:hAnsi="Arial" w:cs="Arial"/>
          <w:noProof/>
          <w:sz w:val="22"/>
        </w:rPr>
        <w:tab/>
        <w:t>Manzi A, Magge H., Hedt-Gauthier B., Michaelis AP, Cyamatare FR, Nyirazinyoye L. Clinical mentorship to improve pediatric quality of care at the health centers in rural Rwanda: a qualitative study of perceptions and acceptability of health care workers. Hirschhorn LR, Ntaganira J. BMC Health Serv Res. 2014;</w:t>
      </w:r>
      <w:r w:rsidR="00FD3DDA">
        <w:rPr>
          <w:rFonts w:ascii="Arial" w:hAnsi="Arial" w:cs="Arial"/>
          <w:noProof/>
          <w:sz w:val="22"/>
        </w:rPr>
        <w:t xml:space="preserve"> </w:t>
      </w:r>
      <w:r w:rsidRPr="00902B77">
        <w:rPr>
          <w:rFonts w:ascii="Arial" w:hAnsi="Arial" w:cs="Arial"/>
          <w:noProof/>
          <w:sz w:val="22"/>
        </w:rPr>
        <w:t xml:space="preserve">14.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30. </w:t>
      </w:r>
      <w:r w:rsidRPr="00902B77">
        <w:rPr>
          <w:rFonts w:ascii="Arial" w:hAnsi="Arial" w:cs="Arial"/>
          <w:noProof/>
          <w:sz w:val="22"/>
        </w:rPr>
        <w:tab/>
        <w:t>Magge H, Anatole M, Cyamatare FR, Mezzacappa C, Nkikabahizi F, Niyonzima S, et al. Mentoring and quality improvement strengthen integrated management of childhood illness implementation in rural Rwanda. Arch Dis Child. 2015;</w:t>
      </w:r>
      <w:r w:rsidR="00FD3DDA">
        <w:rPr>
          <w:rFonts w:ascii="Arial" w:hAnsi="Arial" w:cs="Arial"/>
          <w:noProof/>
          <w:sz w:val="22"/>
        </w:rPr>
        <w:t xml:space="preserve"> </w:t>
      </w:r>
      <w:r w:rsidRPr="00902B77">
        <w:rPr>
          <w:rFonts w:ascii="Arial" w:hAnsi="Arial" w:cs="Arial"/>
          <w:noProof/>
          <w:sz w:val="22"/>
        </w:rPr>
        <w:t xml:space="preserve">100(6):565–70.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31. </w:t>
      </w:r>
      <w:r w:rsidRPr="00902B77">
        <w:rPr>
          <w:rFonts w:ascii="Arial" w:hAnsi="Arial" w:cs="Arial"/>
          <w:noProof/>
          <w:sz w:val="22"/>
        </w:rPr>
        <w:tab/>
        <w:t>Zulu JM, Kinsman J, Michelo C, Hurtig A-K. Integrating national community-based health worker programmes into health systems: a systematic review identifying lessons learned from low-and middle-income countries. BMC Public Health [Internet]. 2014 Dec 22 [cited 2019 Mar 18];</w:t>
      </w:r>
      <w:r w:rsidR="00FD3DDA">
        <w:rPr>
          <w:rFonts w:ascii="Arial" w:hAnsi="Arial" w:cs="Arial"/>
          <w:noProof/>
          <w:sz w:val="22"/>
        </w:rPr>
        <w:t xml:space="preserve"> </w:t>
      </w:r>
      <w:r w:rsidRPr="00902B77">
        <w:rPr>
          <w:rFonts w:ascii="Arial" w:hAnsi="Arial" w:cs="Arial"/>
          <w:noProof/>
          <w:sz w:val="22"/>
        </w:rPr>
        <w:t>14(1):987. Available from: https://bmcpublichealth.biomedcentral.com/articles/10.1186/1471-2458-14-987</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32. </w:t>
      </w:r>
      <w:r w:rsidRPr="00902B77">
        <w:rPr>
          <w:rFonts w:ascii="Arial" w:hAnsi="Arial" w:cs="Arial"/>
          <w:noProof/>
          <w:sz w:val="22"/>
        </w:rPr>
        <w:tab/>
        <w:t>Noordam AC, Carvajal-Velez L, Sharkey AB, Young M, Cals JWL. Care Seeking Behaviour for Children with Suspected Pneumonia in Countries in Sub-Saharan Africa with High Pneumonia Mortality. Patra J, editor. PLoS One. 2015 Feb;</w:t>
      </w:r>
      <w:r w:rsidR="00FD3DDA">
        <w:rPr>
          <w:rFonts w:ascii="Arial" w:hAnsi="Arial" w:cs="Arial"/>
          <w:noProof/>
          <w:sz w:val="22"/>
        </w:rPr>
        <w:t xml:space="preserve"> </w:t>
      </w:r>
      <w:r w:rsidRPr="00902B77">
        <w:rPr>
          <w:rFonts w:ascii="Arial" w:hAnsi="Arial" w:cs="Arial"/>
          <w:noProof/>
          <w:sz w:val="22"/>
        </w:rPr>
        <w:t xml:space="preserve">10(2):e0117919.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33. </w:t>
      </w:r>
      <w:r w:rsidRPr="00902B77">
        <w:rPr>
          <w:rFonts w:ascii="Arial" w:hAnsi="Arial" w:cs="Arial"/>
          <w:noProof/>
          <w:sz w:val="22"/>
        </w:rPr>
        <w:tab/>
        <w:t>Sunguya BF, Mlunde LB, Ayer R, Jimba M. Towards eliminating malaria in high endemic countries: the roles of community health workers and related cadres and their challenges in integrated community case management for malaria: a systematic review. Malar J [Internet]. 2017 [cited 2019 Mar 18];</w:t>
      </w:r>
      <w:r w:rsidR="00FD3DDA">
        <w:rPr>
          <w:rFonts w:ascii="Arial" w:hAnsi="Arial" w:cs="Arial"/>
          <w:noProof/>
          <w:sz w:val="22"/>
        </w:rPr>
        <w:t xml:space="preserve"> </w:t>
      </w:r>
      <w:r w:rsidRPr="00902B77">
        <w:rPr>
          <w:rFonts w:ascii="Arial" w:hAnsi="Arial" w:cs="Arial"/>
          <w:noProof/>
          <w:sz w:val="22"/>
        </w:rPr>
        <w:t>16:10. Available from: https://www.ncbi.nlm.nih.gov/pmc/articles/PMC5209914/pdf/12936_2016_Article_1667.pdf</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34. </w:t>
      </w:r>
      <w:r w:rsidRPr="00902B77">
        <w:rPr>
          <w:rFonts w:ascii="Arial" w:hAnsi="Arial" w:cs="Arial"/>
          <w:noProof/>
          <w:sz w:val="22"/>
        </w:rPr>
        <w:tab/>
        <w:t xml:space="preserve">World Health Organization. Service Availability and Readiness Assessment (SARA) An annual monitoring system for service delivery, version 2.1. Geneva; 2013.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35. </w:t>
      </w:r>
      <w:r w:rsidRPr="00902B77">
        <w:rPr>
          <w:rFonts w:ascii="Arial" w:hAnsi="Arial" w:cs="Arial"/>
          <w:noProof/>
          <w:sz w:val="22"/>
        </w:rPr>
        <w:tab/>
        <w:t>Proctor EK, Powell BJ, Mcmillen JC. Implementation strategies: recommendations for specifying and reporting [Internet]. 2013 [cited 2019 Jun 13]. Available from: http://www.implementationscience.com/content/8/1/139</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36. </w:t>
      </w:r>
      <w:r w:rsidRPr="00902B77">
        <w:rPr>
          <w:rFonts w:ascii="Arial" w:hAnsi="Arial" w:cs="Arial"/>
          <w:noProof/>
          <w:sz w:val="22"/>
        </w:rPr>
        <w:tab/>
        <w:t>Curran GM, Bauer M, Mittman B, Pyne JM, Stetler C. Effectiveness-implementation hybrid designs: combining elements of clinical effectiveness and implementation research to enhance public health impact. Med Care [Internet]. 2012 Mar [cited 2018 Oct 30];</w:t>
      </w:r>
      <w:r w:rsidR="00FD3DDA">
        <w:rPr>
          <w:rFonts w:ascii="Arial" w:hAnsi="Arial" w:cs="Arial"/>
          <w:noProof/>
          <w:sz w:val="22"/>
        </w:rPr>
        <w:t xml:space="preserve"> </w:t>
      </w:r>
      <w:r w:rsidRPr="00902B77">
        <w:rPr>
          <w:rFonts w:ascii="Arial" w:hAnsi="Arial" w:cs="Arial"/>
          <w:noProof/>
          <w:sz w:val="22"/>
        </w:rPr>
        <w:t>50(3):217–26. Available from: http://www.ncbi.nlm.nih.gov/pubmed/22310560</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37. </w:t>
      </w:r>
      <w:r w:rsidRPr="00902B77">
        <w:rPr>
          <w:rFonts w:ascii="Arial" w:hAnsi="Arial" w:cs="Arial"/>
          <w:noProof/>
          <w:sz w:val="22"/>
        </w:rPr>
        <w:tab/>
        <w:t>Leeman J, Birken SA, Powell BJ, Rohweder C, Shea</w:t>
      </w:r>
      <w:r w:rsidR="00FD3DDA">
        <w:rPr>
          <w:rFonts w:ascii="Arial" w:hAnsi="Arial" w:cs="Arial"/>
          <w:noProof/>
          <w:sz w:val="22"/>
        </w:rPr>
        <w:t> </w:t>
      </w:r>
      <w:r w:rsidRPr="00902B77">
        <w:rPr>
          <w:rFonts w:ascii="Arial" w:hAnsi="Arial" w:cs="Arial"/>
          <w:noProof/>
          <w:sz w:val="22"/>
        </w:rPr>
        <w:t>CM. Beyond “implementation strategies”: classifying the full range of strategies used in implementation science and practice. Implement Sci [Internet]. 2017 Dec 3 [cited 2019 Jun 16];</w:t>
      </w:r>
      <w:r w:rsidR="00FD3DDA">
        <w:rPr>
          <w:rFonts w:ascii="Arial" w:hAnsi="Arial" w:cs="Arial"/>
          <w:noProof/>
          <w:sz w:val="22"/>
        </w:rPr>
        <w:t xml:space="preserve"> </w:t>
      </w:r>
      <w:r w:rsidRPr="00902B77">
        <w:rPr>
          <w:rFonts w:ascii="Arial" w:hAnsi="Arial" w:cs="Arial"/>
          <w:noProof/>
          <w:sz w:val="22"/>
        </w:rPr>
        <w:t>12(1):125. Available from: http://implementationscience.biomedcentral.com/articles/10.1186/s13012-017-0657-x</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38. </w:t>
      </w:r>
      <w:r w:rsidRPr="00902B77">
        <w:rPr>
          <w:rFonts w:ascii="Arial" w:hAnsi="Arial" w:cs="Arial"/>
          <w:noProof/>
          <w:sz w:val="22"/>
        </w:rPr>
        <w:tab/>
        <w:t>Bernet AC, Willens DE, Bauer MS. Effectiveness-implementation hybrid designs: implications for quality improvement science. Bernet al Implement Sci [Internet]. 2012 [cited 2018 Oct 30];(8):2. Available from: http://www.implementationscience.com/content/8/S1/S2</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39. </w:t>
      </w:r>
      <w:r w:rsidRPr="00902B77">
        <w:rPr>
          <w:rFonts w:ascii="Arial" w:hAnsi="Arial" w:cs="Arial"/>
          <w:noProof/>
          <w:sz w:val="22"/>
        </w:rPr>
        <w:tab/>
        <w:t>Fetters MD, Curry LA, Creswell JW. Achieving Integration in Mixed Methods Designs—Principles and Practices. Health Serv Res [Internet]. 2013 [cited 2019 May 15];</w:t>
      </w:r>
      <w:r w:rsidR="00FD3DDA">
        <w:rPr>
          <w:rFonts w:ascii="Arial" w:hAnsi="Arial" w:cs="Arial"/>
          <w:noProof/>
          <w:sz w:val="22"/>
        </w:rPr>
        <w:t xml:space="preserve"> </w:t>
      </w:r>
      <w:r w:rsidRPr="00902B77">
        <w:rPr>
          <w:rFonts w:ascii="Arial" w:hAnsi="Arial" w:cs="Arial"/>
          <w:noProof/>
          <w:sz w:val="22"/>
        </w:rPr>
        <w:t>48(6 Pt 2):2134. Available from: https://www.ncbi.nlm.nih.gov/pmc/articles/PMC4097839/</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40. </w:t>
      </w:r>
      <w:r w:rsidRPr="00902B77">
        <w:rPr>
          <w:rFonts w:ascii="Arial" w:hAnsi="Arial" w:cs="Arial"/>
          <w:noProof/>
          <w:sz w:val="22"/>
        </w:rPr>
        <w:tab/>
        <w:t>Langlois E V, Montekio VB, Young T, Song K, Alcalde-Rabanal J, Tran N. Enhancing evidence informed policymaking in complex health systems: lessons from multi-site collaborative approaches. 2016 [cited 2019 Mar 11]; Available from: https://www.ncbi.nlm.nih.gov/pmc/articles/PMC4794922/pdf/12961_2016_Article_89.pdf</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41. </w:t>
      </w:r>
      <w:r w:rsidRPr="00902B77">
        <w:rPr>
          <w:rFonts w:ascii="Arial" w:hAnsi="Arial" w:cs="Arial"/>
          <w:noProof/>
          <w:sz w:val="22"/>
        </w:rPr>
        <w:tab/>
        <w:t>Wolfenden L, Williams CM, Wiggers J, Nathan N, Yoong SL. Improving the translation of health promotion interventions using effectiveness-implementation hybrid designs in program evaluations. Heal Promot J Aust [Internet]. 2016 Dec 1 [cited 2019 Jan 17];</w:t>
      </w:r>
      <w:r w:rsidR="00FD3DDA">
        <w:rPr>
          <w:rFonts w:ascii="Arial" w:hAnsi="Arial" w:cs="Arial"/>
          <w:noProof/>
          <w:sz w:val="22"/>
        </w:rPr>
        <w:t xml:space="preserve"> </w:t>
      </w:r>
      <w:r w:rsidRPr="00902B77">
        <w:rPr>
          <w:rFonts w:ascii="Arial" w:hAnsi="Arial" w:cs="Arial"/>
          <w:noProof/>
          <w:sz w:val="22"/>
        </w:rPr>
        <w:lastRenderedPageBreak/>
        <w:t>27(3):204–7. Available from: http://doi.wiley.com/10.1071/HE16056</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42. </w:t>
      </w:r>
      <w:r w:rsidRPr="00902B77">
        <w:rPr>
          <w:rFonts w:ascii="Arial" w:hAnsi="Arial" w:cs="Arial"/>
          <w:noProof/>
          <w:sz w:val="22"/>
        </w:rPr>
        <w:tab/>
        <w:t>Glasgow RE, Vogt TM, Boles SM. Evaluating the public health impact of health promotion interventions: the RE-AIM framework. Am J Public Health. 1999 Sep;</w:t>
      </w:r>
      <w:r w:rsidR="00FD3DDA">
        <w:rPr>
          <w:rFonts w:ascii="Arial" w:hAnsi="Arial" w:cs="Arial"/>
          <w:noProof/>
          <w:sz w:val="22"/>
        </w:rPr>
        <w:t xml:space="preserve"> </w:t>
      </w:r>
      <w:r w:rsidRPr="00902B77">
        <w:rPr>
          <w:rFonts w:ascii="Arial" w:hAnsi="Arial" w:cs="Arial"/>
          <w:noProof/>
          <w:sz w:val="22"/>
        </w:rPr>
        <w:t xml:space="preserve">89(9):1322–7.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43. </w:t>
      </w:r>
      <w:r w:rsidRPr="00902B77">
        <w:rPr>
          <w:rFonts w:ascii="Arial" w:hAnsi="Arial" w:cs="Arial"/>
          <w:noProof/>
          <w:sz w:val="22"/>
        </w:rPr>
        <w:tab/>
        <w:t>Glasgow RE, Estabrooks PE. Pragmatic Applications of RE-AIM for Health Care Initiatives in Community and Clinical Settings. Prev Chronic Dis [Internet]. 2018 Jan 4 [cited 2019 Apr 11];</w:t>
      </w:r>
      <w:r w:rsidR="00FD3DDA">
        <w:rPr>
          <w:rFonts w:ascii="Arial" w:hAnsi="Arial" w:cs="Arial"/>
          <w:noProof/>
          <w:sz w:val="22"/>
        </w:rPr>
        <w:t xml:space="preserve"> </w:t>
      </w:r>
      <w:r w:rsidRPr="00902B77">
        <w:rPr>
          <w:rFonts w:ascii="Arial" w:hAnsi="Arial" w:cs="Arial"/>
          <w:noProof/>
          <w:sz w:val="22"/>
        </w:rPr>
        <w:t>15:170271. Available from: http://www.cdc.gov/pcd/issues/2018/17_0271.htm</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44. </w:t>
      </w:r>
      <w:r w:rsidRPr="00902B77">
        <w:rPr>
          <w:rFonts w:ascii="Arial" w:hAnsi="Arial" w:cs="Arial"/>
          <w:noProof/>
          <w:sz w:val="22"/>
        </w:rPr>
        <w:tab/>
        <w:t>Glasgow RE, Klesges LM, Dzewaltowski DA, Estabrooks PA, Vogt TM. Evaluating the impact of health promotion programs: using the RE-AIM framework to form summary measures for decision making involving complex issues. Health Educ Res. 2006;</w:t>
      </w:r>
      <w:r w:rsidR="00FD3DDA">
        <w:rPr>
          <w:rFonts w:ascii="Arial" w:hAnsi="Arial" w:cs="Arial"/>
          <w:noProof/>
          <w:sz w:val="22"/>
        </w:rPr>
        <w:t xml:space="preserve"> </w:t>
      </w:r>
      <w:r w:rsidRPr="00902B77">
        <w:rPr>
          <w:rFonts w:ascii="Arial" w:hAnsi="Arial" w:cs="Arial"/>
          <w:noProof/>
          <w:sz w:val="22"/>
        </w:rPr>
        <w:t xml:space="preserve">21(5):688–94.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45. </w:t>
      </w:r>
      <w:r w:rsidRPr="00902B77">
        <w:rPr>
          <w:rFonts w:ascii="Arial" w:hAnsi="Arial" w:cs="Arial"/>
          <w:noProof/>
          <w:sz w:val="22"/>
        </w:rPr>
        <w:tab/>
        <w:t>Steckler A, McLeroy KR. The Importance of External Validity. Am J Public Health [Internet]. 2009 [cited 2019 Jan 31];</w:t>
      </w:r>
      <w:r w:rsidR="00FD3DDA">
        <w:rPr>
          <w:rFonts w:ascii="Arial" w:hAnsi="Arial" w:cs="Arial"/>
          <w:noProof/>
          <w:sz w:val="22"/>
        </w:rPr>
        <w:t xml:space="preserve"> </w:t>
      </w:r>
      <w:r w:rsidRPr="00902B77">
        <w:rPr>
          <w:rFonts w:ascii="Arial" w:hAnsi="Arial" w:cs="Arial"/>
          <w:noProof/>
          <w:sz w:val="22"/>
        </w:rPr>
        <w:t>98(1):9–10. Available from: https://www.ncbi.nlm.nih.gov/pmc/articles/PMC2156062/pdf/0980009.pdf</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46. </w:t>
      </w:r>
      <w:r w:rsidRPr="00902B77">
        <w:rPr>
          <w:rFonts w:ascii="Arial" w:hAnsi="Arial" w:cs="Arial"/>
          <w:noProof/>
          <w:sz w:val="22"/>
        </w:rPr>
        <w:tab/>
        <w:t>Mackenzie M, O’Donnell C, Halliday E, Sridharan S, Platt S. Do health improvement programmes fit with MRC guidance on evaluating complex interventions? BMJ [Internet]. 2010 Feb 1 [cited 2019 Jan 22];</w:t>
      </w:r>
      <w:r w:rsidR="00FD3DDA">
        <w:rPr>
          <w:rFonts w:ascii="Arial" w:hAnsi="Arial" w:cs="Arial"/>
          <w:noProof/>
          <w:sz w:val="22"/>
        </w:rPr>
        <w:t xml:space="preserve"> </w:t>
      </w:r>
      <w:r w:rsidRPr="00902B77">
        <w:rPr>
          <w:rFonts w:ascii="Arial" w:hAnsi="Arial" w:cs="Arial"/>
          <w:noProof/>
          <w:sz w:val="22"/>
        </w:rPr>
        <w:t>340:c185. Available from: http://www.ncbi.nlm.nih.gov/pubmed/20123834</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47. </w:t>
      </w:r>
      <w:r w:rsidRPr="00902B77">
        <w:rPr>
          <w:rFonts w:ascii="Arial" w:hAnsi="Arial" w:cs="Arial"/>
          <w:noProof/>
          <w:sz w:val="22"/>
        </w:rPr>
        <w:tab/>
        <w:t>Ghaffar A, Langlois E V, Rasanathan K, Peterson S, Adedokun L, Tran NT. Strengthening health systems through embedded research. Bull World Health Organ [Internet]. 2017 [cited 2019 Jan 22];</w:t>
      </w:r>
      <w:r w:rsidR="00FD3DDA">
        <w:rPr>
          <w:rFonts w:ascii="Arial" w:hAnsi="Arial" w:cs="Arial"/>
          <w:noProof/>
          <w:sz w:val="22"/>
        </w:rPr>
        <w:t xml:space="preserve"> </w:t>
      </w:r>
      <w:r w:rsidRPr="00902B77">
        <w:rPr>
          <w:rFonts w:ascii="Arial" w:hAnsi="Arial" w:cs="Arial"/>
          <w:noProof/>
          <w:sz w:val="22"/>
        </w:rPr>
        <w:t>95(2):87. Available from: http://www.ncbi.nlm.nih.gov/pubmed/28250505</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48. </w:t>
      </w:r>
      <w:r w:rsidRPr="00902B77">
        <w:rPr>
          <w:rFonts w:ascii="Arial" w:hAnsi="Arial" w:cs="Arial"/>
          <w:noProof/>
          <w:sz w:val="22"/>
        </w:rPr>
        <w:tab/>
        <w:t>Collins D, Jarrah Z. Community Health Planning and Costing Tool [Internet]. Management Sciences for Health; 2016 [cited 2018 Oct 22]. Available from: https://www.msh.org/resources/community-health-planning-and-costing-tool</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49. </w:t>
      </w:r>
      <w:r w:rsidRPr="00902B77">
        <w:rPr>
          <w:rFonts w:ascii="Arial" w:hAnsi="Arial" w:cs="Arial"/>
          <w:noProof/>
          <w:sz w:val="22"/>
        </w:rPr>
        <w:tab/>
        <w:t>Walker N, Friberg IK. Introduction: reporting on updates in the scientific basis for the Lives Saved Tool (LiST). BMC Public Health [Internet]. 2017 Nov 7 [cited 2018 Oct 22];</w:t>
      </w:r>
      <w:r w:rsidR="00FD3DDA">
        <w:rPr>
          <w:rFonts w:ascii="Arial" w:hAnsi="Arial" w:cs="Arial"/>
          <w:noProof/>
          <w:sz w:val="22"/>
        </w:rPr>
        <w:t xml:space="preserve"> </w:t>
      </w:r>
      <w:r w:rsidRPr="00902B77">
        <w:rPr>
          <w:rFonts w:ascii="Arial" w:hAnsi="Arial" w:cs="Arial"/>
          <w:noProof/>
          <w:sz w:val="22"/>
        </w:rPr>
        <w:t>17(S4):774. Available from: https://bmcpublichealth.biomedcentral.com/articles/10.1186/s12889-017-4735-4</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50. </w:t>
      </w:r>
      <w:r w:rsidRPr="00902B77">
        <w:rPr>
          <w:rFonts w:ascii="Arial" w:hAnsi="Arial" w:cs="Arial"/>
          <w:noProof/>
          <w:sz w:val="22"/>
        </w:rPr>
        <w:tab/>
        <w:t>Hemming K, Taljaard M, Grimshaw J. Introducing the new CONSORT extension for stepped-wedge cluster randomised trials. Trials [Internet]. 2019 Dec 18 [cited 2019 Jan 25];</w:t>
      </w:r>
      <w:r w:rsidR="00FD3DDA">
        <w:rPr>
          <w:rFonts w:ascii="Arial" w:hAnsi="Arial" w:cs="Arial"/>
          <w:noProof/>
          <w:sz w:val="22"/>
        </w:rPr>
        <w:t xml:space="preserve"> </w:t>
      </w:r>
      <w:r w:rsidRPr="00902B77">
        <w:rPr>
          <w:rFonts w:ascii="Arial" w:hAnsi="Arial" w:cs="Arial"/>
          <w:noProof/>
          <w:sz w:val="22"/>
        </w:rPr>
        <w:t>20(1):68. Available from: https://trialsjournal.biomedcentral.com/articles/10.1186/s13063-018-3116-3</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51. </w:t>
      </w:r>
      <w:r w:rsidRPr="00902B77">
        <w:rPr>
          <w:rFonts w:ascii="Arial" w:hAnsi="Arial" w:cs="Arial"/>
          <w:noProof/>
          <w:sz w:val="22"/>
        </w:rPr>
        <w:tab/>
        <w:t>Hemming K, Haines TP, Chilton PJ, Girling AJ, Lilford RJ. The stepped wedge cluster randomised trial: rationale, design, analysis, and reporting. BMJ. 2015 Feb;</w:t>
      </w:r>
      <w:r w:rsidR="00FD3DDA">
        <w:rPr>
          <w:rFonts w:ascii="Arial" w:hAnsi="Arial" w:cs="Arial"/>
          <w:noProof/>
          <w:sz w:val="22"/>
        </w:rPr>
        <w:t xml:space="preserve"> </w:t>
      </w:r>
      <w:r w:rsidRPr="00902B77">
        <w:rPr>
          <w:rFonts w:ascii="Arial" w:hAnsi="Arial" w:cs="Arial"/>
          <w:noProof/>
          <w:sz w:val="22"/>
        </w:rPr>
        <w:t xml:space="preserve">350:h391.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52. </w:t>
      </w:r>
      <w:r w:rsidRPr="00902B77">
        <w:rPr>
          <w:rFonts w:ascii="Arial" w:hAnsi="Arial" w:cs="Arial"/>
          <w:noProof/>
          <w:sz w:val="22"/>
        </w:rPr>
        <w:tab/>
        <w:t xml:space="preserve">Hayes RJ, Moulton LH. Cluster Randomised Trials. Boca Raton: Taylor &amp; Francis Group, LLC; 2009.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762139">
        <w:rPr>
          <w:rFonts w:ascii="Arial" w:hAnsi="Arial" w:cs="Arial"/>
          <w:noProof/>
          <w:sz w:val="22"/>
          <w:lang w:val="fr-FR"/>
        </w:rPr>
        <w:t xml:space="preserve">53. </w:t>
      </w:r>
      <w:r w:rsidRPr="00762139">
        <w:rPr>
          <w:rFonts w:ascii="Arial" w:hAnsi="Arial" w:cs="Arial"/>
          <w:noProof/>
          <w:sz w:val="22"/>
          <w:lang w:val="fr-FR"/>
        </w:rPr>
        <w:tab/>
        <w:t>Ministre de la Sante et de la Protection Sociale (MSPS). Plan National de Developpement Sanitaire</w:t>
      </w:r>
      <w:r w:rsidR="00FD3DDA">
        <w:rPr>
          <w:rFonts w:ascii="Arial" w:hAnsi="Arial" w:cs="Arial"/>
          <w:noProof/>
          <w:sz w:val="22"/>
          <w:lang w:val="fr-FR"/>
        </w:rPr>
        <w:t> </w:t>
      </w:r>
      <w:r w:rsidRPr="00762139">
        <w:rPr>
          <w:rFonts w:ascii="Arial" w:hAnsi="Arial" w:cs="Arial"/>
          <w:noProof/>
          <w:sz w:val="22"/>
          <w:lang w:val="fr-FR"/>
        </w:rPr>
        <w:t xml:space="preserve">2017-2022. </w:t>
      </w:r>
      <w:r w:rsidRPr="00902B77">
        <w:rPr>
          <w:rFonts w:ascii="Arial" w:hAnsi="Arial" w:cs="Arial"/>
          <w:noProof/>
          <w:sz w:val="22"/>
        </w:rPr>
        <w:t xml:space="preserve">Lomé, Togo; 2017.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54. </w:t>
      </w:r>
      <w:r w:rsidRPr="00902B77">
        <w:rPr>
          <w:rFonts w:ascii="Arial" w:hAnsi="Arial" w:cs="Arial"/>
          <w:noProof/>
          <w:sz w:val="22"/>
        </w:rPr>
        <w:tab/>
        <w:t>Kish L. A Procedure for Objective Respondent Selection within the Household. J Am Stat Assoc. 1949 Sep;</w:t>
      </w:r>
      <w:r w:rsidR="00FD3DDA">
        <w:rPr>
          <w:rFonts w:ascii="Arial" w:hAnsi="Arial" w:cs="Arial"/>
          <w:noProof/>
          <w:sz w:val="22"/>
        </w:rPr>
        <w:t xml:space="preserve"> </w:t>
      </w:r>
      <w:r w:rsidRPr="00902B77">
        <w:rPr>
          <w:rFonts w:ascii="Arial" w:hAnsi="Arial" w:cs="Arial"/>
          <w:noProof/>
          <w:sz w:val="22"/>
        </w:rPr>
        <w:t xml:space="preserve">44(247):380–7.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55. </w:t>
      </w:r>
      <w:r w:rsidRPr="00902B77">
        <w:rPr>
          <w:rFonts w:ascii="Arial" w:hAnsi="Arial" w:cs="Arial"/>
          <w:noProof/>
          <w:sz w:val="22"/>
        </w:rPr>
        <w:tab/>
        <w:t>Baio G, Copas A, Ambler G, Hargreaves J, Beard E, Omar RZ. Sample size calculation for a stepped wedge trial. Trials Baio al Trials. 2015;</w:t>
      </w:r>
      <w:r w:rsidR="00FD3DDA">
        <w:rPr>
          <w:rFonts w:ascii="Arial" w:hAnsi="Arial" w:cs="Arial"/>
          <w:noProof/>
          <w:sz w:val="22"/>
        </w:rPr>
        <w:t xml:space="preserve"> </w:t>
      </w:r>
      <w:r w:rsidRPr="00902B77">
        <w:rPr>
          <w:rFonts w:ascii="Arial" w:hAnsi="Arial" w:cs="Arial"/>
          <w:noProof/>
          <w:sz w:val="22"/>
        </w:rPr>
        <w:t xml:space="preserve">16(16).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56. </w:t>
      </w:r>
      <w:r w:rsidRPr="00902B77">
        <w:rPr>
          <w:rFonts w:ascii="Arial" w:hAnsi="Arial" w:cs="Arial"/>
          <w:noProof/>
          <w:sz w:val="22"/>
        </w:rPr>
        <w:tab/>
        <w:t xml:space="preserve">Belza B, Toobert D, Glasglow R. RE-AIM for Program Planning: Overview and Applications. </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57. </w:t>
      </w:r>
      <w:r w:rsidRPr="00902B77">
        <w:rPr>
          <w:rFonts w:ascii="Arial" w:hAnsi="Arial" w:cs="Arial"/>
          <w:noProof/>
          <w:sz w:val="22"/>
        </w:rPr>
        <w:tab/>
        <w:t>Graham W, Brass W, Snow RW. Estimating Maternal Mortality: The Sisterhood Method. Stud Fam Plann [Internet]. 1989 May [cited 2018 Nov 7];</w:t>
      </w:r>
      <w:r w:rsidR="00FD3DDA">
        <w:rPr>
          <w:rFonts w:ascii="Arial" w:hAnsi="Arial" w:cs="Arial"/>
          <w:noProof/>
          <w:sz w:val="22"/>
        </w:rPr>
        <w:t xml:space="preserve"> </w:t>
      </w:r>
      <w:r w:rsidRPr="00902B77">
        <w:rPr>
          <w:rFonts w:ascii="Arial" w:hAnsi="Arial" w:cs="Arial"/>
          <w:noProof/>
          <w:sz w:val="22"/>
        </w:rPr>
        <w:t>20(3):125. Available from: https://www.jstor.org/stable/1966567?origin=crossref</w:t>
      </w:r>
    </w:p>
    <w:p w:rsidR="00902B77" w:rsidRPr="00902B77" w:rsidRDefault="00902B77" w:rsidP="00902B77">
      <w:pPr>
        <w:widowControl w:val="0"/>
        <w:autoSpaceDE w:val="0"/>
        <w:autoSpaceDN w:val="0"/>
        <w:adjustRightInd w:val="0"/>
        <w:spacing w:line="240" w:lineRule="auto"/>
        <w:ind w:left="640" w:hanging="640"/>
        <w:rPr>
          <w:rFonts w:ascii="Arial" w:hAnsi="Arial" w:cs="Arial"/>
          <w:noProof/>
          <w:sz w:val="22"/>
        </w:rPr>
      </w:pPr>
      <w:r w:rsidRPr="00902B77">
        <w:rPr>
          <w:rFonts w:ascii="Arial" w:hAnsi="Arial" w:cs="Arial"/>
          <w:noProof/>
          <w:sz w:val="22"/>
        </w:rPr>
        <w:t xml:space="preserve">58. </w:t>
      </w:r>
      <w:r w:rsidRPr="00902B77">
        <w:rPr>
          <w:rFonts w:ascii="Arial" w:hAnsi="Arial" w:cs="Arial"/>
          <w:noProof/>
          <w:sz w:val="22"/>
        </w:rPr>
        <w:tab/>
        <w:t xml:space="preserve">World Health Organization, Division of Reproductive Health. The Sisterhood Method for Estimating Maternal Mortality: Guidance notes for potential users. Geneva; 1997. </w:t>
      </w:r>
    </w:p>
    <w:p w:rsidR="00902B77" w:rsidRPr="00762139" w:rsidRDefault="00902B77" w:rsidP="00902B77">
      <w:pPr>
        <w:widowControl w:val="0"/>
        <w:autoSpaceDE w:val="0"/>
        <w:autoSpaceDN w:val="0"/>
        <w:adjustRightInd w:val="0"/>
        <w:spacing w:line="240" w:lineRule="auto"/>
        <w:ind w:left="640" w:hanging="640"/>
        <w:rPr>
          <w:rFonts w:ascii="Arial" w:hAnsi="Arial" w:cs="Arial"/>
          <w:noProof/>
          <w:sz w:val="22"/>
          <w:lang w:val="fr-FR"/>
        </w:rPr>
      </w:pPr>
      <w:r w:rsidRPr="00902B77">
        <w:rPr>
          <w:rFonts w:ascii="Arial" w:hAnsi="Arial" w:cs="Arial"/>
          <w:noProof/>
          <w:sz w:val="22"/>
        </w:rPr>
        <w:t xml:space="preserve">59. </w:t>
      </w:r>
      <w:r w:rsidRPr="00902B77">
        <w:rPr>
          <w:rFonts w:ascii="Arial" w:hAnsi="Arial" w:cs="Arial"/>
          <w:noProof/>
          <w:sz w:val="22"/>
        </w:rPr>
        <w:tab/>
        <w:t xml:space="preserve">Damschroder LJ. Fostering implementation of health services research findings into </w:t>
      </w:r>
      <w:r w:rsidRPr="00902B77">
        <w:rPr>
          <w:rFonts w:ascii="Arial" w:hAnsi="Arial" w:cs="Arial"/>
          <w:noProof/>
          <w:sz w:val="22"/>
        </w:rPr>
        <w:lastRenderedPageBreak/>
        <w:t xml:space="preserve">practice: a consolidated framework for advancing implementation science. </w:t>
      </w:r>
      <w:r w:rsidRPr="00762139">
        <w:rPr>
          <w:rFonts w:ascii="Arial" w:hAnsi="Arial" w:cs="Arial"/>
          <w:noProof/>
          <w:sz w:val="22"/>
          <w:lang w:val="fr-FR"/>
        </w:rPr>
        <w:t>Implement Sci [Internet]. 2009;</w:t>
      </w:r>
      <w:r w:rsidR="00FD3DDA">
        <w:rPr>
          <w:rFonts w:ascii="Arial" w:hAnsi="Arial" w:cs="Arial"/>
          <w:noProof/>
          <w:sz w:val="22"/>
          <w:lang w:val="fr-FR"/>
        </w:rPr>
        <w:t xml:space="preserve"> </w:t>
      </w:r>
      <w:r w:rsidRPr="00762139">
        <w:rPr>
          <w:rFonts w:ascii="Arial" w:hAnsi="Arial" w:cs="Arial"/>
          <w:noProof/>
          <w:sz w:val="22"/>
          <w:lang w:val="fr-FR"/>
        </w:rPr>
        <w:t>1–15. Available from: http://www.implementationscience.com/content/4/1/50</w:t>
      </w:r>
    </w:p>
    <w:p w:rsidR="001C0DEE" w:rsidRDefault="00767532" w:rsidP="00F30604">
      <w:pPr>
        <w:widowControl w:val="0"/>
        <w:autoSpaceDE w:val="0"/>
        <w:autoSpaceDN w:val="0"/>
        <w:adjustRightInd w:val="0"/>
        <w:spacing w:line="240" w:lineRule="auto"/>
        <w:rPr>
          <w:rFonts w:ascii="Arial" w:hAnsi="Arial" w:cs="Arial"/>
          <w:sz w:val="22"/>
          <w:szCs w:val="22"/>
          <w:lang w:val="fr-FR"/>
        </w:rPr>
      </w:pPr>
      <w:r>
        <w:rPr>
          <w:rFonts w:ascii="Arial" w:hAnsi="Arial" w:cs="Arial"/>
          <w:sz w:val="22"/>
          <w:szCs w:val="22"/>
        </w:rPr>
        <w:fldChar w:fldCharType="end"/>
      </w:r>
    </w:p>
    <w:sectPr w:rsidR="001C0DEE" w:rsidSect="007823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FD" w:rsidRDefault="000F69FD">
      <w:r>
        <w:separator/>
      </w:r>
    </w:p>
  </w:endnote>
  <w:endnote w:type="continuationSeparator" w:id="0">
    <w:p w:rsidR="000F69FD" w:rsidRDefault="000F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venir Roman">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34875560"/>
      <w:docPartObj>
        <w:docPartGallery w:val="Page Numbers (Bottom of Page)"/>
        <w:docPartUnique/>
      </w:docPartObj>
    </w:sdtPr>
    <w:sdtEndPr>
      <w:rPr>
        <w:rStyle w:val="PageNumber"/>
      </w:rPr>
    </w:sdtEndPr>
    <w:sdtContent>
      <w:p w:rsidR="006337DC" w:rsidRDefault="00633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337DC" w:rsidRDefault="006337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2004514"/>
      <w:docPartObj>
        <w:docPartGallery w:val="Page Numbers (Bottom of Page)"/>
        <w:docPartUnique/>
      </w:docPartObj>
    </w:sdtPr>
    <w:sdtEndPr>
      <w:rPr>
        <w:rStyle w:val="PageNumber"/>
      </w:rPr>
    </w:sdtEndPr>
    <w:sdtContent>
      <w:p w:rsidR="006337DC" w:rsidRDefault="00633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58A9">
          <w:rPr>
            <w:rStyle w:val="PageNumber"/>
            <w:noProof/>
          </w:rPr>
          <w:t>1</w:t>
        </w:r>
        <w:r>
          <w:rPr>
            <w:rStyle w:val="PageNumber"/>
          </w:rPr>
          <w:fldChar w:fldCharType="end"/>
        </w:r>
      </w:p>
    </w:sdtContent>
  </w:sdt>
  <w:p w:rsidR="006337DC" w:rsidRDefault="006337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DC" w:rsidRDefault="00633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FD" w:rsidRDefault="000F69FD">
      <w:r>
        <w:separator/>
      </w:r>
    </w:p>
  </w:footnote>
  <w:footnote w:type="continuationSeparator" w:id="0">
    <w:p w:rsidR="000F69FD" w:rsidRDefault="000F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DC" w:rsidRDefault="00633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DC" w:rsidRDefault="00633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DC" w:rsidRDefault="00633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1EE"/>
    <w:multiLevelType w:val="multilevel"/>
    <w:tmpl w:val="1E20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0617F"/>
    <w:multiLevelType w:val="hybridMultilevel"/>
    <w:tmpl w:val="E152AE32"/>
    <w:lvl w:ilvl="0" w:tplc="F0544C64">
      <w:start w:val="36"/>
      <w:numFmt w:val="bullet"/>
      <w:lvlText w:val="-"/>
      <w:lvlJc w:val="left"/>
      <w:pPr>
        <w:ind w:left="1080" w:hanging="360"/>
      </w:pPr>
      <w:rPr>
        <w:rFonts w:ascii="Arial" w:eastAsia="Times New Roman" w:hAnsi="Arial" w:cs="Arial" w:hint="default"/>
      </w:rPr>
    </w:lvl>
    <w:lvl w:ilvl="1" w:tplc="26B2C320">
      <w:start w:val="1"/>
      <w:numFmt w:val="bullet"/>
      <w:lvlText w:val="o"/>
      <w:lvlJc w:val="left"/>
      <w:pPr>
        <w:ind w:left="1800" w:hanging="360"/>
      </w:pPr>
      <w:rPr>
        <w:rFonts w:ascii="Courier New" w:hAnsi="Courier New" w:cs="Courier New" w:hint="default"/>
      </w:rPr>
    </w:lvl>
    <w:lvl w:ilvl="2" w:tplc="31501F50" w:tentative="1">
      <w:start w:val="1"/>
      <w:numFmt w:val="bullet"/>
      <w:lvlText w:val=""/>
      <w:lvlJc w:val="left"/>
      <w:pPr>
        <w:ind w:left="2520" w:hanging="360"/>
      </w:pPr>
      <w:rPr>
        <w:rFonts w:ascii="Wingdings" w:hAnsi="Wingdings" w:hint="default"/>
      </w:rPr>
    </w:lvl>
    <w:lvl w:ilvl="3" w:tplc="B776BDFC" w:tentative="1">
      <w:start w:val="1"/>
      <w:numFmt w:val="bullet"/>
      <w:lvlText w:val=""/>
      <w:lvlJc w:val="left"/>
      <w:pPr>
        <w:ind w:left="3240" w:hanging="360"/>
      </w:pPr>
      <w:rPr>
        <w:rFonts w:ascii="Symbol" w:hAnsi="Symbol" w:hint="default"/>
      </w:rPr>
    </w:lvl>
    <w:lvl w:ilvl="4" w:tplc="0C70A600" w:tentative="1">
      <w:start w:val="1"/>
      <w:numFmt w:val="bullet"/>
      <w:lvlText w:val="o"/>
      <w:lvlJc w:val="left"/>
      <w:pPr>
        <w:ind w:left="3960" w:hanging="360"/>
      </w:pPr>
      <w:rPr>
        <w:rFonts w:ascii="Courier New" w:hAnsi="Courier New" w:cs="Courier New" w:hint="default"/>
      </w:rPr>
    </w:lvl>
    <w:lvl w:ilvl="5" w:tplc="BB3456E4" w:tentative="1">
      <w:start w:val="1"/>
      <w:numFmt w:val="bullet"/>
      <w:lvlText w:val=""/>
      <w:lvlJc w:val="left"/>
      <w:pPr>
        <w:ind w:left="4680" w:hanging="360"/>
      </w:pPr>
      <w:rPr>
        <w:rFonts w:ascii="Wingdings" w:hAnsi="Wingdings" w:hint="default"/>
      </w:rPr>
    </w:lvl>
    <w:lvl w:ilvl="6" w:tplc="F38CEB06" w:tentative="1">
      <w:start w:val="1"/>
      <w:numFmt w:val="bullet"/>
      <w:lvlText w:val=""/>
      <w:lvlJc w:val="left"/>
      <w:pPr>
        <w:ind w:left="5400" w:hanging="360"/>
      </w:pPr>
      <w:rPr>
        <w:rFonts w:ascii="Symbol" w:hAnsi="Symbol" w:hint="default"/>
      </w:rPr>
    </w:lvl>
    <w:lvl w:ilvl="7" w:tplc="030084D2" w:tentative="1">
      <w:start w:val="1"/>
      <w:numFmt w:val="bullet"/>
      <w:lvlText w:val="o"/>
      <w:lvlJc w:val="left"/>
      <w:pPr>
        <w:ind w:left="6120" w:hanging="360"/>
      </w:pPr>
      <w:rPr>
        <w:rFonts w:ascii="Courier New" w:hAnsi="Courier New" w:cs="Courier New" w:hint="default"/>
      </w:rPr>
    </w:lvl>
    <w:lvl w:ilvl="8" w:tplc="E50EE508" w:tentative="1">
      <w:start w:val="1"/>
      <w:numFmt w:val="bullet"/>
      <w:lvlText w:val=""/>
      <w:lvlJc w:val="left"/>
      <w:pPr>
        <w:ind w:left="6840" w:hanging="360"/>
      </w:pPr>
      <w:rPr>
        <w:rFonts w:ascii="Wingdings" w:hAnsi="Wingdings" w:hint="default"/>
      </w:rPr>
    </w:lvl>
  </w:abstractNum>
  <w:abstractNum w:abstractNumId="2">
    <w:nsid w:val="08E90FE6"/>
    <w:multiLevelType w:val="hybridMultilevel"/>
    <w:tmpl w:val="F4667A48"/>
    <w:lvl w:ilvl="0" w:tplc="2FE825D8">
      <w:start w:val="1"/>
      <w:numFmt w:val="decimal"/>
      <w:lvlText w:val="%1)"/>
      <w:lvlJc w:val="left"/>
      <w:pPr>
        <w:ind w:left="720" w:hanging="360"/>
      </w:pPr>
      <w:rPr>
        <w:rFonts w:hint="default"/>
      </w:rPr>
    </w:lvl>
    <w:lvl w:ilvl="1" w:tplc="35380786" w:tentative="1">
      <w:start w:val="1"/>
      <w:numFmt w:val="lowerLetter"/>
      <w:lvlText w:val="%2."/>
      <w:lvlJc w:val="left"/>
      <w:pPr>
        <w:ind w:left="1440" w:hanging="360"/>
      </w:pPr>
    </w:lvl>
    <w:lvl w:ilvl="2" w:tplc="247AC46E" w:tentative="1">
      <w:start w:val="1"/>
      <w:numFmt w:val="lowerRoman"/>
      <w:lvlText w:val="%3."/>
      <w:lvlJc w:val="right"/>
      <w:pPr>
        <w:ind w:left="2160" w:hanging="180"/>
      </w:pPr>
    </w:lvl>
    <w:lvl w:ilvl="3" w:tplc="5BFAE174" w:tentative="1">
      <w:start w:val="1"/>
      <w:numFmt w:val="decimal"/>
      <w:lvlText w:val="%4."/>
      <w:lvlJc w:val="left"/>
      <w:pPr>
        <w:ind w:left="2880" w:hanging="360"/>
      </w:pPr>
    </w:lvl>
    <w:lvl w:ilvl="4" w:tplc="A76A3372" w:tentative="1">
      <w:start w:val="1"/>
      <w:numFmt w:val="lowerLetter"/>
      <w:lvlText w:val="%5."/>
      <w:lvlJc w:val="left"/>
      <w:pPr>
        <w:ind w:left="3600" w:hanging="360"/>
      </w:pPr>
    </w:lvl>
    <w:lvl w:ilvl="5" w:tplc="FEE43FB6" w:tentative="1">
      <w:start w:val="1"/>
      <w:numFmt w:val="lowerRoman"/>
      <w:lvlText w:val="%6."/>
      <w:lvlJc w:val="right"/>
      <w:pPr>
        <w:ind w:left="4320" w:hanging="180"/>
      </w:pPr>
    </w:lvl>
    <w:lvl w:ilvl="6" w:tplc="B7408722" w:tentative="1">
      <w:start w:val="1"/>
      <w:numFmt w:val="decimal"/>
      <w:lvlText w:val="%7."/>
      <w:lvlJc w:val="left"/>
      <w:pPr>
        <w:ind w:left="5040" w:hanging="360"/>
      </w:pPr>
    </w:lvl>
    <w:lvl w:ilvl="7" w:tplc="A134B97A" w:tentative="1">
      <w:start w:val="1"/>
      <w:numFmt w:val="lowerLetter"/>
      <w:lvlText w:val="%8."/>
      <w:lvlJc w:val="left"/>
      <w:pPr>
        <w:ind w:left="5760" w:hanging="360"/>
      </w:pPr>
    </w:lvl>
    <w:lvl w:ilvl="8" w:tplc="EBB4EDE0" w:tentative="1">
      <w:start w:val="1"/>
      <w:numFmt w:val="lowerRoman"/>
      <w:lvlText w:val="%9."/>
      <w:lvlJc w:val="right"/>
      <w:pPr>
        <w:ind w:left="6480" w:hanging="180"/>
      </w:pPr>
    </w:lvl>
  </w:abstractNum>
  <w:abstractNum w:abstractNumId="3">
    <w:nsid w:val="09A93E80"/>
    <w:multiLevelType w:val="hybridMultilevel"/>
    <w:tmpl w:val="5B6E1CA6"/>
    <w:lvl w:ilvl="0" w:tplc="C094A362">
      <w:start w:val="1"/>
      <w:numFmt w:val="bullet"/>
      <w:lvlText w:val="-"/>
      <w:lvlJc w:val="left"/>
      <w:pPr>
        <w:ind w:left="360" w:hanging="360"/>
      </w:pPr>
      <w:rPr>
        <w:rFonts w:ascii="Arial" w:eastAsia="Times New Roman" w:hAnsi="Arial" w:cs="Arial" w:hint="default"/>
      </w:rPr>
    </w:lvl>
    <w:lvl w:ilvl="1" w:tplc="6706D3A4" w:tentative="1">
      <w:start w:val="1"/>
      <w:numFmt w:val="bullet"/>
      <w:lvlText w:val="o"/>
      <w:lvlJc w:val="left"/>
      <w:pPr>
        <w:ind w:left="1080" w:hanging="360"/>
      </w:pPr>
      <w:rPr>
        <w:rFonts w:ascii="Courier New" w:hAnsi="Courier New" w:cs="Courier New" w:hint="default"/>
      </w:rPr>
    </w:lvl>
    <w:lvl w:ilvl="2" w:tplc="B3EE1EF0" w:tentative="1">
      <w:start w:val="1"/>
      <w:numFmt w:val="bullet"/>
      <w:lvlText w:val=""/>
      <w:lvlJc w:val="left"/>
      <w:pPr>
        <w:ind w:left="1800" w:hanging="360"/>
      </w:pPr>
      <w:rPr>
        <w:rFonts w:ascii="Wingdings" w:hAnsi="Wingdings" w:hint="default"/>
      </w:rPr>
    </w:lvl>
    <w:lvl w:ilvl="3" w:tplc="1CD6B0B2" w:tentative="1">
      <w:start w:val="1"/>
      <w:numFmt w:val="bullet"/>
      <w:lvlText w:val=""/>
      <w:lvlJc w:val="left"/>
      <w:pPr>
        <w:ind w:left="2520" w:hanging="360"/>
      </w:pPr>
      <w:rPr>
        <w:rFonts w:ascii="Symbol" w:hAnsi="Symbol" w:hint="default"/>
      </w:rPr>
    </w:lvl>
    <w:lvl w:ilvl="4" w:tplc="1BDABEF6" w:tentative="1">
      <w:start w:val="1"/>
      <w:numFmt w:val="bullet"/>
      <w:lvlText w:val="o"/>
      <w:lvlJc w:val="left"/>
      <w:pPr>
        <w:ind w:left="3240" w:hanging="360"/>
      </w:pPr>
      <w:rPr>
        <w:rFonts w:ascii="Courier New" w:hAnsi="Courier New" w:cs="Courier New" w:hint="default"/>
      </w:rPr>
    </w:lvl>
    <w:lvl w:ilvl="5" w:tplc="77321A52" w:tentative="1">
      <w:start w:val="1"/>
      <w:numFmt w:val="bullet"/>
      <w:lvlText w:val=""/>
      <w:lvlJc w:val="left"/>
      <w:pPr>
        <w:ind w:left="3960" w:hanging="360"/>
      </w:pPr>
      <w:rPr>
        <w:rFonts w:ascii="Wingdings" w:hAnsi="Wingdings" w:hint="default"/>
      </w:rPr>
    </w:lvl>
    <w:lvl w:ilvl="6" w:tplc="05562136" w:tentative="1">
      <w:start w:val="1"/>
      <w:numFmt w:val="bullet"/>
      <w:lvlText w:val=""/>
      <w:lvlJc w:val="left"/>
      <w:pPr>
        <w:ind w:left="4680" w:hanging="360"/>
      </w:pPr>
      <w:rPr>
        <w:rFonts w:ascii="Symbol" w:hAnsi="Symbol" w:hint="default"/>
      </w:rPr>
    </w:lvl>
    <w:lvl w:ilvl="7" w:tplc="712AF49A" w:tentative="1">
      <w:start w:val="1"/>
      <w:numFmt w:val="bullet"/>
      <w:lvlText w:val="o"/>
      <w:lvlJc w:val="left"/>
      <w:pPr>
        <w:ind w:left="5400" w:hanging="360"/>
      </w:pPr>
      <w:rPr>
        <w:rFonts w:ascii="Courier New" w:hAnsi="Courier New" w:cs="Courier New" w:hint="default"/>
      </w:rPr>
    </w:lvl>
    <w:lvl w:ilvl="8" w:tplc="6CFC97F6" w:tentative="1">
      <w:start w:val="1"/>
      <w:numFmt w:val="bullet"/>
      <w:lvlText w:val=""/>
      <w:lvlJc w:val="left"/>
      <w:pPr>
        <w:ind w:left="6120" w:hanging="360"/>
      </w:pPr>
      <w:rPr>
        <w:rFonts w:ascii="Wingdings" w:hAnsi="Wingdings" w:hint="default"/>
      </w:rPr>
    </w:lvl>
  </w:abstractNum>
  <w:abstractNum w:abstractNumId="4">
    <w:nsid w:val="09B359BC"/>
    <w:multiLevelType w:val="multilevel"/>
    <w:tmpl w:val="864A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46FE4"/>
    <w:multiLevelType w:val="hybridMultilevel"/>
    <w:tmpl w:val="BCB88494"/>
    <w:lvl w:ilvl="0" w:tplc="5224CA12">
      <w:start w:val="1"/>
      <w:numFmt w:val="bullet"/>
      <w:lvlText w:val=""/>
      <w:lvlJc w:val="left"/>
      <w:pPr>
        <w:ind w:left="720" w:hanging="360"/>
      </w:pPr>
      <w:rPr>
        <w:rFonts w:ascii="Symbol" w:hAnsi="Symbol" w:hint="default"/>
      </w:rPr>
    </w:lvl>
    <w:lvl w:ilvl="1" w:tplc="8DF453C0" w:tentative="1">
      <w:start w:val="1"/>
      <w:numFmt w:val="bullet"/>
      <w:lvlText w:val="o"/>
      <w:lvlJc w:val="left"/>
      <w:pPr>
        <w:ind w:left="1440" w:hanging="360"/>
      </w:pPr>
      <w:rPr>
        <w:rFonts w:ascii="Courier New" w:hAnsi="Courier New" w:cs="Courier New" w:hint="default"/>
      </w:rPr>
    </w:lvl>
    <w:lvl w:ilvl="2" w:tplc="566E4286" w:tentative="1">
      <w:start w:val="1"/>
      <w:numFmt w:val="bullet"/>
      <w:lvlText w:val=""/>
      <w:lvlJc w:val="left"/>
      <w:pPr>
        <w:ind w:left="2160" w:hanging="360"/>
      </w:pPr>
      <w:rPr>
        <w:rFonts w:ascii="Wingdings" w:hAnsi="Wingdings" w:hint="default"/>
      </w:rPr>
    </w:lvl>
    <w:lvl w:ilvl="3" w:tplc="73B6771E" w:tentative="1">
      <w:start w:val="1"/>
      <w:numFmt w:val="bullet"/>
      <w:lvlText w:val=""/>
      <w:lvlJc w:val="left"/>
      <w:pPr>
        <w:ind w:left="2880" w:hanging="360"/>
      </w:pPr>
      <w:rPr>
        <w:rFonts w:ascii="Symbol" w:hAnsi="Symbol" w:hint="default"/>
      </w:rPr>
    </w:lvl>
    <w:lvl w:ilvl="4" w:tplc="3DFA14F8" w:tentative="1">
      <w:start w:val="1"/>
      <w:numFmt w:val="bullet"/>
      <w:lvlText w:val="o"/>
      <w:lvlJc w:val="left"/>
      <w:pPr>
        <w:ind w:left="3600" w:hanging="360"/>
      </w:pPr>
      <w:rPr>
        <w:rFonts w:ascii="Courier New" w:hAnsi="Courier New" w:cs="Courier New" w:hint="default"/>
      </w:rPr>
    </w:lvl>
    <w:lvl w:ilvl="5" w:tplc="C3AA0358" w:tentative="1">
      <w:start w:val="1"/>
      <w:numFmt w:val="bullet"/>
      <w:lvlText w:val=""/>
      <w:lvlJc w:val="left"/>
      <w:pPr>
        <w:ind w:left="4320" w:hanging="360"/>
      </w:pPr>
      <w:rPr>
        <w:rFonts w:ascii="Wingdings" w:hAnsi="Wingdings" w:hint="default"/>
      </w:rPr>
    </w:lvl>
    <w:lvl w:ilvl="6" w:tplc="AD46C786" w:tentative="1">
      <w:start w:val="1"/>
      <w:numFmt w:val="bullet"/>
      <w:lvlText w:val=""/>
      <w:lvlJc w:val="left"/>
      <w:pPr>
        <w:ind w:left="5040" w:hanging="360"/>
      </w:pPr>
      <w:rPr>
        <w:rFonts w:ascii="Symbol" w:hAnsi="Symbol" w:hint="default"/>
      </w:rPr>
    </w:lvl>
    <w:lvl w:ilvl="7" w:tplc="1D8A9FB8" w:tentative="1">
      <w:start w:val="1"/>
      <w:numFmt w:val="bullet"/>
      <w:lvlText w:val="o"/>
      <w:lvlJc w:val="left"/>
      <w:pPr>
        <w:ind w:left="5760" w:hanging="360"/>
      </w:pPr>
      <w:rPr>
        <w:rFonts w:ascii="Courier New" w:hAnsi="Courier New" w:cs="Courier New" w:hint="default"/>
      </w:rPr>
    </w:lvl>
    <w:lvl w:ilvl="8" w:tplc="E0D4B6E8" w:tentative="1">
      <w:start w:val="1"/>
      <w:numFmt w:val="bullet"/>
      <w:lvlText w:val=""/>
      <w:lvlJc w:val="left"/>
      <w:pPr>
        <w:ind w:left="6480" w:hanging="360"/>
      </w:pPr>
      <w:rPr>
        <w:rFonts w:ascii="Wingdings" w:hAnsi="Wingdings" w:hint="default"/>
      </w:rPr>
    </w:lvl>
  </w:abstractNum>
  <w:abstractNum w:abstractNumId="6">
    <w:nsid w:val="11854A7D"/>
    <w:multiLevelType w:val="hybridMultilevel"/>
    <w:tmpl w:val="974EF3E4"/>
    <w:lvl w:ilvl="0" w:tplc="BBFC2EE2">
      <w:start w:val="1"/>
      <w:numFmt w:val="bullet"/>
      <w:lvlText w:val="-"/>
      <w:lvlJc w:val="left"/>
      <w:pPr>
        <w:ind w:left="360" w:hanging="360"/>
      </w:pPr>
      <w:rPr>
        <w:rFonts w:ascii="Arial" w:eastAsia="Times New Roman" w:hAnsi="Arial" w:cs="Arial" w:hint="default"/>
      </w:rPr>
    </w:lvl>
    <w:lvl w:ilvl="1" w:tplc="01520716">
      <w:start w:val="1"/>
      <w:numFmt w:val="bullet"/>
      <w:lvlText w:val="o"/>
      <w:lvlJc w:val="left"/>
      <w:pPr>
        <w:ind w:left="1080" w:hanging="360"/>
      </w:pPr>
      <w:rPr>
        <w:rFonts w:ascii="Courier New" w:hAnsi="Courier New" w:cs="Courier New" w:hint="default"/>
      </w:rPr>
    </w:lvl>
    <w:lvl w:ilvl="2" w:tplc="47E803D6" w:tentative="1">
      <w:start w:val="1"/>
      <w:numFmt w:val="bullet"/>
      <w:lvlText w:val=""/>
      <w:lvlJc w:val="left"/>
      <w:pPr>
        <w:ind w:left="1800" w:hanging="360"/>
      </w:pPr>
      <w:rPr>
        <w:rFonts w:ascii="Wingdings" w:hAnsi="Wingdings" w:hint="default"/>
      </w:rPr>
    </w:lvl>
    <w:lvl w:ilvl="3" w:tplc="9550B706" w:tentative="1">
      <w:start w:val="1"/>
      <w:numFmt w:val="bullet"/>
      <w:lvlText w:val=""/>
      <w:lvlJc w:val="left"/>
      <w:pPr>
        <w:ind w:left="2520" w:hanging="360"/>
      </w:pPr>
      <w:rPr>
        <w:rFonts w:ascii="Symbol" w:hAnsi="Symbol" w:hint="default"/>
      </w:rPr>
    </w:lvl>
    <w:lvl w:ilvl="4" w:tplc="E8C0CEE6" w:tentative="1">
      <w:start w:val="1"/>
      <w:numFmt w:val="bullet"/>
      <w:lvlText w:val="o"/>
      <w:lvlJc w:val="left"/>
      <w:pPr>
        <w:ind w:left="3240" w:hanging="360"/>
      </w:pPr>
      <w:rPr>
        <w:rFonts w:ascii="Courier New" w:hAnsi="Courier New" w:cs="Courier New" w:hint="default"/>
      </w:rPr>
    </w:lvl>
    <w:lvl w:ilvl="5" w:tplc="FB00B4C4" w:tentative="1">
      <w:start w:val="1"/>
      <w:numFmt w:val="bullet"/>
      <w:lvlText w:val=""/>
      <w:lvlJc w:val="left"/>
      <w:pPr>
        <w:ind w:left="3960" w:hanging="360"/>
      </w:pPr>
      <w:rPr>
        <w:rFonts w:ascii="Wingdings" w:hAnsi="Wingdings" w:hint="default"/>
      </w:rPr>
    </w:lvl>
    <w:lvl w:ilvl="6" w:tplc="47447F50" w:tentative="1">
      <w:start w:val="1"/>
      <w:numFmt w:val="bullet"/>
      <w:lvlText w:val=""/>
      <w:lvlJc w:val="left"/>
      <w:pPr>
        <w:ind w:left="4680" w:hanging="360"/>
      </w:pPr>
      <w:rPr>
        <w:rFonts w:ascii="Symbol" w:hAnsi="Symbol" w:hint="default"/>
      </w:rPr>
    </w:lvl>
    <w:lvl w:ilvl="7" w:tplc="AF4CA9FE" w:tentative="1">
      <w:start w:val="1"/>
      <w:numFmt w:val="bullet"/>
      <w:lvlText w:val="o"/>
      <w:lvlJc w:val="left"/>
      <w:pPr>
        <w:ind w:left="5400" w:hanging="360"/>
      </w:pPr>
      <w:rPr>
        <w:rFonts w:ascii="Courier New" w:hAnsi="Courier New" w:cs="Courier New" w:hint="default"/>
      </w:rPr>
    </w:lvl>
    <w:lvl w:ilvl="8" w:tplc="2B060C40" w:tentative="1">
      <w:start w:val="1"/>
      <w:numFmt w:val="bullet"/>
      <w:lvlText w:val=""/>
      <w:lvlJc w:val="left"/>
      <w:pPr>
        <w:ind w:left="6120" w:hanging="360"/>
      </w:pPr>
      <w:rPr>
        <w:rFonts w:ascii="Wingdings" w:hAnsi="Wingdings" w:hint="default"/>
      </w:rPr>
    </w:lvl>
  </w:abstractNum>
  <w:abstractNum w:abstractNumId="7">
    <w:nsid w:val="125C1478"/>
    <w:multiLevelType w:val="multilevel"/>
    <w:tmpl w:val="EC08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54EF0"/>
    <w:multiLevelType w:val="hybridMultilevel"/>
    <w:tmpl w:val="564C2774"/>
    <w:lvl w:ilvl="0" w:tplc="204A20C2">
      <w:start w:val="1"/>
      <w:numFmt w:val="bullet"/>
      <w:lvlText w:val=""/>
      <w:lvlJc w:val="left"/>
      <w:pPr>
        <w:ind w:left="720" w:hanging="360"/>
      </w:pPr>
      <w:rPr>
        <w:rFonts w:ascii="Symbol" w:hAnsi="Symbol" w:hint="default"/>
      </w:rPr>
    </w:lvl>
    <w:lvl w:ilvl="1" w:tplc="0854FF9C">
      <w:start w:val="1"/>
      <w:numFmt w:val="bullet"/>
      <w:lvlText w:val="o"/>
      <w:lvlJc w:val="left"/>
      <w:pPr>
        <w:ind w:left="1440" w:hanging="360"/>
      </w:pPr>
      <w:rPr>
        <w:rFonts w:ascii="Courier New" w:hAnsi="Courier New" w:cs="Courier New" w:hint="default"/>
      </w:rPr>
    </w:lvl>
    <w:lvl w:ilvl="2" w:tplc="A1C81A8A" w:tentative="1">
      <w:start w:val="1"/>
      <w:numFmt w:val="bullet"/>
      <w:lvlText w:val=""/>
      <w:lvlJc w:val="left"/>
      <w:pPr>
        <w:ind w:left="2160" w:hanging="360"/>
      </w:pPr>
      <w:rPr>
        <w:rFonts w:ascii="Wingdings" w:hAnsi="Wingdings" w:hint="default"/>
      </w:rPr>
    </w:lvl>
    <w:lvl w:ilvl="3" w:tplc="82043104" w:tentative="1">
      <w:start w:val="1"/>
      <w:numFmt w:val="bullet"/>
      <w:lvlText w:val=""/>
      <w:lvlJc w:val="left"/>
      <w:pPr>
        <w:ind w:left="2880" w:hanging="360"/>
      </w:pPr>
      <w:rPr>
        <w:rFonts w:ascii="Symbol" w:hAnsi="Symbol" w:hint="default"/>
      </w:rPr>
    </w:lvl>
    <w:lvl w:ilvl="4" w:tplc="B91E476E" w:tentative="1">
      <w:start w:val="1"/>
      <w:numFmt w:val="bullet"/>
      <w:lvlText w:val="o"/>
      <w:lvlJc w:val="left"/>
      <w:pPr>
        <w:ind w:left="3600" w:hanging="360"/>
      </w:pPr>
      <w:rPr>
        <w:rFonts w:ascii="Courier New" w:hAnsi="Courier New" w:cs="Courier New" w:hint="default"/>
      </w:rPr>
    </w:lvl>
    <w:lvl w:ilvl="5" w:tplc="D5106C8C" w:tentative="1">
      <w:start w:val="1"/>
      <w:numFmt w:val="bullet"/>
      <w:lvlText w:val=""/>
      <w:lvlJc w:val="left"/>
      <w:pPr>
        <w:ind w:left="4320" w:hanging="360"/>
      </w:pPr>
      <w:rPr>
        <w:rFonts w:ascii="Wingdings" w:hAnsi="Wingdings" w:hint="default"/>
      </w:rPr>
    </w:lvl>
    <w:lvl w:ilvl="6" w:tplc="C284F9C8" w:tentative="1">
      <w:start w:val="1"/>
      <w:numFmt w:val="bullet"/>
      <w:lvlText w:val=""/>
      <w:lvlJc w:val="left"/>
      <w:pPr>
        <w:ind w:left="5040" w:hanging="360"/>
      </w:pPr>
      <w:rPr>
        <w:rFonts w:ascii="Symbol" w:hAnsi="Symbol" w:hint="default"/>
      </w:rPr>
    </w:lvl>
    <w:lvl w:ilvl="7" w:tplc="25C6A27E" w:tentative="1">
      <w:start w:val="1"/>
      <w:numFmt w:val="bullet"/>
      <w:lvlText w:val="o"/>
      <w:lvlJc w:val="left"/>
      <w:pPr>
        <w:ind w:left="5760" w:hanging="360"/>
      </w:pPr>
      <w:rPr>
        <w:rFonts w:ascii="Courier New" w:hAnsi="Courier New" w:cs="Courier New" w:hint="default"/>
      </w:rPr>
    </w:lvl>
    <w:lvl w:ilvl="8" w:tplc="39BEA8FE" w:tentative="1">
      <w:start w:val="1"/>
      <w:numFmt w:val="bullet"/>
      <w:lvlText w:val=""/>
      <w:lvlJc w:val="left"/>
      <w:pPr>
        <w:ind w:left="6480" w:hanging="360"/>
      </w:pPr>
      <w:rPr>
        <w:rFonts w:ascii="Wingdings" w:hAnsi="Wingdings" w:hint="default"/>
      </w:rPr>
    </w:lvl>
  </w:abstractNum>
  <w:abstractNum w:abstractNumId="9">
    <w:nsid w:val="13CE0D00"/>
    <w:multiLevelType w:val="multilevel"/>
    <w:tmpl w:val="F64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AE7DAB"/>
    <w:multiLevelType w:val="multilevel"/>
    <w:tmpl w:val="D802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184756"/>
    <w:multiLevelType w:val="hybridMultilevel"/>
    <w:tmpl w:val="D87C8B14"/>
    <w:lvl w:ilvl="0" w:tplc="6658968E">
      <w:start w:val="1"/>
      <w:numFmt w:val="bullet"/>
      <w:lvlText w:val=""/>
      <w:lvlJc w:val="left"/>
      <w:pPr>
        <w:ind w:left="720" w:hanging="360"/>
      </w:pPr>
      <w:rPr>
        <w:rFonts w:ascii="Symbol" w:hAnsi="Symbol" w:hint="default"/>
      </w:rPr>
    </w:lvl>
    <w:lvl w:ilvl="1" w:tplc="486A5AF6" w:tentative="1">
      <w:start w:val="1"/>
      <w:numFmt w:val="bullet"/>
      <w:lvlText w:val="o"/>
      <w:lvlJc w:val="left"/>
      <w:pPr>
        <w:ind w:left="1440" w:hanging="360"/>
      </w:pPr>
      <w:rPr>
        <w:rFonts w:ascii="Courier New" w:hAnsi="Courier New" w:cs="Courier New" w:hint="default"/>
      </w:rPr>
    </w:lvl>
    <w:lvl w:ilvl="2" w:tplc="F6F2489A" w:tentative="1">
      <w:start w:val="1"/>
      <w:numFmt w:val="bullet"/>
      <w:lvlText w:val=""/>
      <w:lvlJc w:val="left"/>
      <w:pPr>
        <w:ind w:left="2160" w:hanging="360"/>
      </w:pPr>
      <w:rPr>
        <w:rFonts w:ascii="Wingdings" w:hAnsi="Wingdings" w:hint="default"/>
      </w:rPr>
    </w:lvl>
    <w:lvl w:ilvl="3" w:tplc="A9CCA362" w:tentative="1">
      <w:start w:val="1"/>
      <w:numFmt w:val="bullet"/>
      <w:lvlText w:val=""/>
      <w:lvlJc w:val="left"/>
      <w:pPr>
        <w:ind w:left="2880" w:hanging="360"/>
      </w:pPr>
      <w:rPr>
        <w:rFonts w:ascii="Symbol" w:hAnsi="Symbol" w:hint="default"/>
      </w:rPr>
    </w:lvl>
    <w:lvl w:ilvl="4" w:tplc="7CBEEEB0" w:tentative="1">
      <w:start w:val="1"/>
      <w:numFmt w:val="bullet"/>
      <w:lvlText w:val="o"/>
      <w:lvlJc w:val="left"/>
      <w:pPr>
        <w:ind w:left="3600" w:hanging="360"/>
      </w:pPr>
      <w:rPr>
        <w:rFonts w:ascii="Courier New" w:hAnsi="Courier New" w:cs="Courier New" w:hint="default"/>
      </w:rPr>
    </w:lvl>
    <w:lvl w:ilvl="5" w:tplc="825EC050" w:tentative="1">
      <w:start w:val="1"/>
      <w:numFmt w:val="bullet"/>
      <w:lvlText w:val=""/>
      <w:lvlJc w:val="left"/>
      <w:pPr>
        <w:ind w:left="4320" w:hanging="360"/>
      </w:pPr>
      <w:rPr>
        <w:rFonts w:ascii="Wingdings" w:hAnsi="Wingdings" w:hint="default"/>
      </w:rPr>
    </w:lvl>
    <w:lvl w:ilvl="6" w:tplc="36D27242" w:tentative="1">
      <w:start w:val="1"/>
      <w:numFmt w:val="bullet"/>
      <w:lvlText w:val=""/>
      <w:lvlJc w:val="left"/>
      <w:pPr>
        <w:ind w:left="5040" w:hanging="360"/>
      </w:pPr>
      <w:rPr>
        <w:rFonts w:ascii="Symbol" w:hAnsi="Symbol" w:hint="default"/>
      </w:rPr>
    </w:lvl>
    <w:lvl w:ilvl="7" w:tplc="E53CC6EE" w:tentative="1">
      <w:start w:val="1"/>
      <w:numFmt w:val="bullet"/>
      <w:lvlText w:val="o"/>
      <w:lvlJc w:val="left"/>
      <w:pPr>
        <w:ind w:left="5760" w:hanging="360"/>
      </w:pPr>
      <w:rPr>
        <w:rFonts w:ascii="Courier New" w:hAnsi="Courier New" w:cs="Courier New" w:hint="default"/>
      </w:rPr>
    </w:lvl>
    <w:lvl w:ilvl="8" w:tplc="32A8DF62" w:tentative="1">
      <w:start w:val="1"/>
      <w:numFmt w:val="bullet"/>
      <w:lvlText w:val=""/>
      <w:lvlJc w:val="left"/>
      <w:pPr>
        <w:ind w:left="6480" w:hanging="360"/>
      </w:pPr>
      <w:rPr>
        <w:rFonts w:ascii="Wingdings" w:hAnsi="Wingdings" w:hint="default"/>
      </w:rPr>
    </w:lvl>
  </w:abstractNum>
  <w:abstractNum w:abstractNumId="12">
    <w:nsid w:val="1A4E6616"/>
    <w:multiLevelType w:val="multilevel"/>
    <w:tmpl w:val="44B0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77276F"/>
    <w:multiLevelType w:val="hybridMultilevel"/>
    <w:tmpl w:val="F82EC280"/>
    <w:lvl w:ilvl="0" w:tplc="2C7851A6">
      <w:start w:val="4"/>
      <w:numFmt w:val="bullet"/>
      <w:lvlText w:val="-"/>
      <w:lvlJc w:val="left"/>
      <w:pPr>
        <w:ind w:left="720" w:hanging="360"/>
      </w:pPr>
      <w:rPr>
        <w:rFonts w:ascii="Arial" w:eastAsia="Times New Roman" w:hAnsi="Arial" w:cs="Arial" w:hint="default"/>
      </w:rPr>
    </w:lvl>
    <w:lvl w:ilvl="1" w:tplc="A04C0AD6" w:tentative="1">
      <w:start w:val="1"/>
      <w:numFmt w:val="bullet"/>
      <w:lvlText w:val="o"/>
      <w:lvlJc w:val="left"/>
      <w:pPr>
        <w:ind w:left="1440" w:hanging="360"/>
      </w:pPr>
      <w:rPr>
        <w:rFonts w:ascii="Courier New" w:hAnsi="Courier New" w:cs="Courier New" w:hint="default"/>
      </w:rPr>
    </w:lvl>
    <w:lvl w:ilvl="2" w:tplc="016A86A8" w:tentative="1">
      <w:start w:val="1"/>
      <w:numFmt w:val="bullet"/>
      <w:lvlText w:val=""/>
      <w:lvlJc w:val="left"/>
      <w:pPr>
        <w:ind w:left="2160" w:hanging="360"/>
      </w:pPr>
      <w:rPr>
        <w:rFonts w:ascii="Wingdings" w:hAnsi="Wingdings" w:hint="default"/>
      </w:rPr>
    </w:lvl>
    <w:lvl w:ilvl="3" w:tplc="564AB5F8" w:tentative="1">
      <w:start w:val="1"/>
      <w:numFmt w:val="bullet"/>
      <w:lvlText w:val=""/>
      <w:lvlJc w:val="left"/>
      <w:pPr>
        <w:ind w:left="2880" w:hanging="360"/>
      </w:pPr>
      <w:rPr>
        <w:rFonts w:ascii="Symbol" w:hAnsi="Symbol" w:hint="default"/>
      </w:rPr>
    </w:lvl>
    <w:lvl w:ilvl="4" w:tplc="688C38C0" w:tentative="1">
      <w:start w:val="1"/>
      <w:numFmt w:val="bullet"/>
      <w:lvlText w:val="o"/>
      <w:lvlJc w:val="left"/>
      <w:pPr>
        <w:ind w:left="3600" w:hanging="360"/>
      </w:pPr>
      <w:rPr>
        <w:rFonts w:ascii="Courier New" w:hAnsi="Courier New" w:cs="Courier New" w:hint="default"/>
      </w:rPr>
    </w:lvl>
    <w:lvl w:ilvl="5" w:tplc="7D187F6A" w:tentative="1">
      <w:start w:val="1"/>
      <w:numFmt w:val="bullet"/>
      <w:lvlText w:val=""/>
      <w:lvlJc w:val="left"/>
      <w:pPr>
        <w:ind w:left="4320" w:hanging="360"/>
      </w:pPr>
      <w:rPr>
        <w:rFonts w:ascii="Wingdings" w:hAnsi="Wingdings" w:hint="default"/>
      </w:rPr>
    </w:lvl>
    <w:lvl w:ilvl="6" w:tplc="8FD6A9D8" w:tentative="1">
      <w:start w:val="1"/>
      <w:numFmt w:val="bullet"/>
      <w:lvlText w:val=""/>
      <w:lvlJc w:val="left"/>
      <w:pPr>
        <w:ind w:left="5040" w:hanging="360"/>
      </w:pPr>
      <w:rPr>
        <w:rFonts w:ascii="Symbol" w:hAnsi="Symbol" w:hint="default"/>
      </w:rPr>
    </w:lvl>
    <w:lvl w:ilvl="7" w:tplc="6F5A2DD4" w:tentative="1">
      <w:start w:val="1"/>
      <w:numFmt w:val="bullet"/>
      <w:lvlText w:val="o"/>
      <w:lvlJc w:val="left"/>
      <w:pPr>
        <w:ind w:left="5760" w:hanging="360"/>
      </w:pPr>
      <w:rPr>
        <w:rFonts w:ascii="Courier New" w:hAnsi="Courier New" w:cs="Courier New" w:hint="default"/>
      </w:rPr>
    </w:lvl>
    <w:lvl w:ilvl="8" w:tplc="8C4470D0" w:tentative="1">
      <w:start w:val="1"/>
      <w:numFmt w:val="bullet"/>
      <w:lvlText w:val=""/>
      <w:lvlJc w:val="left"/>
      <w:pPr>
        <w:ind w:left="6480" w:hanging="360"/>
      </w:pPr>
      <w:rPr>
        <w:rFonts w:ascii="Wingdings" w:hAnsi="Wingdings" w:hint="default"/>
      </w:rPr>
    </w:lvl>
  </w:abstractNum>
  <w:abstractNum w:abstractNumId="14">
    <w:nsid w:val="1CC20821"/>
    <w:multiLevelType w:val="hybridMultilevel"/>
    <w:tmpl w:val="1C6A5C20"/>
    <w:lvl w:ilvl="0" w:tplc="0070141E">
      <w:start w:val="1"/>
      <w:numFmt w:val="bullet"/>
      <w:lvlText w:val=""/>
      <w:lvlJc w:val="left"/>
      <w:pPr>
        <w:ind w:left="720" w:hanging="360"/>
      </w:pPr>
      <w:rPr>
        <w:rFonts w:ascii="Symbol" w:hAnsi="Symbol" w:hint="default"/>
      </w:rPr>
    </w:lvl>
    <w:lvl w:ilvl="1" w:tplc="3F6A26B2" w:tentative="1">
      <w:start w:val="1"/>
      <w:numFmt w:val="bullet"/>
      <w:lvlText w:val="o"/>
      <w:lvlJc w:val="left"/>
      <w:pPr>
        <w:ind w:left="1440" w:hanging="360"/>
      </w:pPr>
      <w:rPr>
        <w:rFonts w:ascii="Courier New" w:hAnsi="Courier New" w:cs="Courier New" w:hint="default"/>
      </w:rPr>
    </w:lvl>
    <w:lvl w:ilvl="2" w:tplc="D1AC2E8E" w:tentative="1">
      <w:start w:val="1"/>
      <w:numFmt w:val="bullet"/>
      <w:lvlText w:val=""/>
      <w:lvlJc w:val="left"/>
      <w:pPr>
        <w:ind w:left="2160" w:hanging="360"/>
      </w:pPr>
      <w:rPr>
        <w:rFonts w:ascii="Wingdings" w:hAnsi="Wingdings" w:hint="default"/>
      </w:rPr>
    </w:lvl>
    <w:lvl w:ilvl="3" w:tplc="7EFC0DE0" w:tentative="1">
      <w:start w:val="1"/>
      <w:numFmt w:val="bullet"/>
      <w:lvlText w:val=""/>
      <w:lvlJc w:val="left"/>
      <w:pPr>
        <w:ind w:left="2880" w:hanging="360"/>
      </w:pPr>
      <w:rPr>
        <w:rFonts w:ascii="Symbol" w:hAnsi="Symbol" w:hint="default"/>
      </w:rPr>
    </w:lvl>
    <w:lvl w:ilvl="4" w:tplc="9A30C46C" w:tentative="1">
      <w:start w:val="1"/>
      <w:numFmt w:val="bullet"/>
      <w:lvlText w:val="o"/>
      <w:lvlJc w:val="left"/>
      <w:pPr>
        <w:ind w:left="3600" w:hanging="360"/>
      </w:pPr>
      <w:rPr>
        <w:rFonts w:ascii="Courier New" w:hAnsi="Courier New" w:cs="Courier New" w:hint="default"/>
      </w:rPr>
    </w:lvl>
    <w:lvl w:ilvl="5" w:tplc="FF9477B4" w:tentative="1">
      <w:start w:val="1"/>
      <w:numFmt w:val="bullet"/>
      <w:lvlText w:val=""/>
      <w:lvlJc w:val="left"/>
      <w:pPr>
        <w:ind w:left="4320" w:hanging="360"/>
      </w:pPr>
      <w:rPr>
        <w:rFonts w:ascii="Wingdings" w:hAnsi="Wingdings" w:hint="default"/>
      </w:rPr>
    </w:lvl>
    <w:lvl w:ilvl="6" w:tplc="BEC8A16E" w:tentative="1">
      <w:start w:val="1"/>
      <w:numFmt w:val="bullet"/>
      <w:lvlText w:val=""/>
      <w:lvlJc w:val="left"/>
      <w:pPr>
        <w:ind w:left="5040" w:hanging="360"/>
      </w:pPr>
      <w:rPr>
        <w:rFonts w:ascii="Symbol" w:hAnsi="Symbol" w:hint="default"/>
      </w:rPr>
    </w:lvl>
    <w:lvl w:ilvl="7" w:tplc="87A4401C" w:tentative="1">
      <w:start w:val="1"/>
      <w:numFmt w:val="bullet"/>
      <w:lvlText w:val="o"/>
      <w:lvlJc w:val="left"/>
      <w:pPr>
        <w:ind w:left="5760" w:hanging="360"/>
      </w:pPr>
      <w:rPr>
        <w:rFonts w:ascii="Courier New" w:hAnsi="Courier New" w:cs="Courier New" w:hint="default"/>
      </w:rPr>
    </w:lvl>
    <w:lvl w:ilvl="8" w:tplc="C3FC19C0" w:tentative="1">
      <w:start w:val="1"/>
      <w:numFmt w:val="bullet"/>
      <w:lvlText w:val=""/>
      <w:lvlJc w:val="left"/>
      <w:pPr>
        <w:ind w:left="6480" w:hanging="360"/>
      </w:pPr>
      <w:rPr>
        <w:rFonts w:ascii="Wingdings" w:hAnsi="Wingdings" w:hint="default"/>
      </w:rPr>
    </w:lvl>
  </w:abstractNum>
  <w:abstractNum w:abstractNumId="15">
    <w:nsid w:val="1DEC10D6"/>
    <w:multiLevelType w:val="hybridMultilevel"/>
    <w:tmpl w:val="8BFA62EC"/>
    <w:lvl w:ilvl="0" w:tplc="CE5C3B80">
      <w:start w:val="49"/>
      <w:numFmt w:val="bullet"/>
      <w:lvlText w:val="-"/>
      <w:lvlJc w:val="left"/>
      <w:pPr>
        <w:ind w:left="720" w:hanging="360"/>
      </w:pPr>
      <w:rPr>
        <w:rFonts w:ascii="Arial" w:eastAsia="Times New Roman" w:hAnsi="Arial" w:cs="Arial" w:hint="default"/>
      </w:rPr>
    </w:lvl>
    <w:lvl w:ilvl="1" w:tplc="012088AE" w:tentative="1">
      <w:start w:val="1"/>
      <w:numFmt w:val="bullet"/>
      <w:lvlText w:val="o"/>
      <w:lvlJc w:val="left"/>
      <w:pPr>
        <w:ind w:left="1440" w:hanging="360"/>
      </w:pPr>
      <w:rPr>
        <w:rFonts w:ascii="Courier New" w:hAnsi="Courier New" w:cs="Courier New" w:hint="default"/>
      </w:rPr>
    </w:lvl>
    <w:lvl w:ilvl="2" w:tplc="EE3E7E96" w:tentative="1">
      <w:start w:val="1"/>
      <w:numFmt w:val="bullet"/>
      <w:lvlText w:val=""/>
      <w:lvlJc w:val="left"/>
      <w:pPr>
        <w:ind w:left="2160" w:hanging="360"/>
      </w:pPr>
      <w:rPr>
        <w:rFonts w:ascii="Wingdings" w:hAnsi="Wingdings" w:hint="default"/>
      </w:rPr>
    </w:lvl>
    <w:lvl w:ilvl="3" w:tplc="B4DAB5C4" w:tentative="1">
      <w:start w:val="1"/>
      <w:numFmt w:val="bullet"/>
      <w:lvlText w:val=""/>
      <w:lvlJc w:val="left"/>
      <w:pPr>
        <w:ind w:left="2880" w:hanging="360"/>
      </w:pPr>
      <w:rPr>
        <w:rFonts w:ascii="Symbol" w:hAnsi="Symbol" w:hint="default"/>
      </w:rPr>
    </w:lvl>
    <w:lvl w:ilvl="4" w:tplc="9982BD0A" w:tentative="1">
      <w:start w:val="1"/>
      <w:numFmt w:val="bullet"/>
      <w:lvlText w:val="o"/>
      <w:lvlJc w:val="left"/>
      <w:pPr>
        <w:ind w:left="3600" w:hanging="360"/>
      </w:pPr>
      <w:rPr>
        <w:rFonts w:ascii="Courier New" w:hAnsi="Courier New" w:cs="Courier New" w:hint="default"/>
      </w:rPr>
    </w:lvl>
    <w:lvl w:ilvl="5" w:tplc="A620A6A4" w:tentative="1">
      <w:start w:val="1"/>
      <w:numFmt w:val="bullet"/>
      <w:lvlText w:val=""/>
      <w:lvlJc w:val="left"/>
      <w:pPr>
        <w:ind w:left="4320" w:hanging="360"/>
      </w:pPr>
      <w:rPr>
        <w:rFonts w:ascii="Wingdings" w:hAnsi="Wingdings" w:hint="default"/>
      </w:rPr>
    </w:lvl>
    <w:lvl w:ilvl="6" w:tplc="7886380A" w:tentative="1">
      <w:start w:val="1"/>
      <w:numFmt w:val="bullet"/>
      <w:lvlText w:val=""/>
      <w:lvlJc w:val="left"/>
      <w:pPr>
        <w:ind w:left="5040" w:hanging="360"/>
      </w:pPr>
      <w:rPr>
        <w:rFonts w:ascii="Symbol" w:hAnsi="Symbol" w:hint="default"/>
      </w:rPr>
    </w:lvl>
    <w:lvl w:ilvl="7" w:tplc="47CE1164" w:tentative="1">
      <w:start w:val="1"/>
      <w:numFmt w:val="bullet"/>
      <w:lvlText w:val="o"/>
      <w:lvlJc w:val="left"/>
      <w:pPr>
        <w:ind w:left="5760" w:hanging="360"/>
      </w:pPr>
      <w:rPr>
        <w:rFonts w:ascii="Courier New" w:hAnsi="Courier New" w:cs="Courier New" w:hint="default"/>
      </w:rPr>
    </w:lvl>
    <w:lvl w:ilvl="8" w:tplc="8032905A" w:tentative="1">
      <w:start w:val="1"/>
      <w:numFmt w:val="bullet"/>
      <w:lvlText w:val=""/>
      <w:lvlJc w:val="left"/>
      <w:pPr>
        <w:ind w:left="6480" w:hanging="360"/>
      </w:pPr>
      <w:rPr>
        <w:rFonts w:ascii="Wingdings" w:hAnsi="Wingdings" w:hint="default"/>
      </w:rPr>
    </w:lvl>
  </w:abstractNum>
  <w:abstractNum w:abstractNumId="16">
    <w:nsid w:val="1F3A26A0"/>
    <w:multiLevelType w:val="hybridMultilevel"/>
    <w:tmpl w:val="CD9C512C"/>
    <w:lvl w:ilvl="0" w:tplc="B4F00502">
      <w:start w:val="4"/>
      <w:numFmt w:val="bullet"/>
      <w:lvlText w:val="-"/>
      <w:lvlJc w:val="left"/>
      <w:pPr>
        <w:ind w:left="720" w:hanging="360"/>
      </w:pPr>
      <w:rPr>
        <w:rFonts w:ascii="Calibri" w:eastAsiaTheme="minorHAnsi" w:hAnsi="Calibri" w:cs="Calibri" w:hint="default"/>
      </w:rPr>
    </w:lvl>
    <w:lvl w:ilvl="1" w:tplc="80DAC3AA" w:tentative="1">
      <w:start w:val="1"/>
      <w:numFmt w:val="bullet"/>
      <w:lvlText w:val="o"/>
      <w:lvlJc w:val="left"/>
      <w:pPr>
        <w:ind w:left="1440" w:hanging="360"/>
      </w:pPr>
      <w:rPr>
        <w:rFonts w:ascii="Courier New" w:hAnsi="Courier New" w:cs="Courier New" w:hint="default"/>
      </w:rPr>
    </w:lvl>
    <w:lvl w:ilvl="2" w:tplc="0C44EE80" w:tentative="1">
      <w:start w:val="1"/>
      <w:numFmt w:val="bullet"/>
      <w:lvlText w:val=""/>
      <w:lvlJc w:val="left"/>
      <w:pPr>
        <w:ind w:left="2160" w:hanging="360"/>
      </w:pPr>
      <w:rPr>
        <w:rFonts w:ascii="Wingdings" w:hAnsi="Wingdings" w:hint="default"/>
      </w:rPr>
    </w:lvl>
    <w:lvl w:ilvl="3" w:tplc="33802E70" w:tentative="1">
      <w:start w:val="1"/>
      <w:numFmt w:val="bullet"/>
      <w:lvlText w:val=""/>
      <w:lvlJc w:val="left"/>
      <w:pPr>
        <w:ind w:left="2880" w:hanging="360"/>
      </w:pPr>
      <w:rPr>
        <w:rFonts w:ascii="Symbol" w:hAnsi="Symbol" w:hint="default"/>
      </w:rPr>
    </w:lvl>
    <w:lvl w:ilvl="4" w:tplc="D2360F78" w:tentative="1">
      <w:start w:val="1"/>
      <w:numFmt w:val="bullet"/>
      <w:lvlText w:val="o"/>
      <w:lvlJc w:val="left"/>
      <w:pPr>
        <w:ind w:left="3600" w:hanging="360"/>
      </w:pPr>
      <w:rPr>
        <w:rFonts w:ascii="Courier New" w:hAnsi="Courier New" w:cs="Courier New" w:hint="default"/>
      </w:rPr>
    </w:lvl>
    <w:lvl w:ilvl="5" w:tplc="ED3CA704" w:tentative="1">
      <w:start w:val="1"/>
      <w:numFmt w:val="bullet"/>
      <w:lvlText w:val=""/>
      <w:lvlJc w:val="left"/>
      <w:pPr>
        <w:ind w:left="4320" w:hanging="360"/>
      </w:pPr>
      <w:rPr>
        <w:rFonts w:ascii="Wingdings" w:hAnsi="Wingdings" w:hint="default"/>
      </w:rPr>
    </w:lvl>
    <w:lvl w:ilvl="6" w:tplc="F4D65F66" w:tentative="1">
      <w:start w:val="1"/>
      <w:numFmt w:val="bullet"/>
      <w:lvlText w:val=""/>
      <w:lvlJc w:val="left"/>
      <w:pPr>
        <w:ind w:left="5040" w:hanging="360"/>
      </w:pPr>
      <w:rPr>
        <w:rFonts w:ascii="Symbol" w:hAnsi="Symbol" w:hint="default"/>
      </w:rPr>
    </w:lvl>
    <w:lvl w:ilvl="7" w:tplc="60E0C700" w:tentative="1">
      <w:start w:val="1"/>
      <w:numFmt w:val="bullet"/>
      <w:lvlText w:val="o"/>
      <w:lvlJc w:val="left"/>
      <w:pPr>
        <w:ind w:left="5760" w:hanging="360"/>
      </w:pPr>
      <w:rPr>
        <w:rFonts w:ascii="Courier New" w:hAnsi="Courier New" w:cs="Courier New" w:hint="default"/>
      </w:rPr>
    </w:lvl>
    <w:lvl w:ilvl="8" w:tplc="C8F033B4" w:tentative="1">
      <w:start w:val="1"/>
      <w:numFmt w:val="bullet"/>
      <w:lvlText w:val=""/>
      <w:lvlJc w:val="left"/>
      <w:pPr>
        <w:ind w:left="6480" w:hanging="360"/>
      </w:pPr>
      <w:rPr>
        <w:rFonts w:ascii="Wingdings" w:hAnsi="Wingdings" w:hint="default"/>
      </w:rPr>
    </w:lvl>
  </w:abstractNum>
  <w:abstractNum w:abstractNumId="17">
    <w:nsid w:val="219D3CF1"/>
    <w:multiLevelType w:val="multilevel"/>
    <w:tmpl w:val="6E9E1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6B3863"/>
    <w:multiLevelType w:val="hybridMultilevel"/>
    <w:tmpl w:val="B136FF72"/>
    <w:lvl w:ilvl="0" w:tplc="2DB85038">
      <w:start w:val="49"/>
      <w:numFmt w:val="bullet"/>
      <w:lvlText w:val="-"/>
      <w:lvlJc w:val="left"/>
      <w:pPr>
        <w:ind w:left="720" w:hanging="360"/>
      </w:pPr>
      <w:rPr>
        <w:rFonts w:ascii="Calibri" w:eastAsiaTheme="minorHAnsi" w:hAnsi="Calibri" w:cstheme="minorBidi" w:hint="default"/>
      </w:rPr>
    </w:lvl>
    <w:lvl w:ilvl="1" w:tplc="D5D63430" w:tentative="1">
      <w:start w:val="1"/>
      <w:numFmt w:val="bullet"/>
      <w:lvlText w:val="o"/>
      <w:lvlJc w:val="left"/>
      <w:pPr>
        <w:ind w:left="1440" w:hanging="360"/>
      </w:pPr>
      <w:rPr>
        <w:rFonts w:ascii="Courier New" w:hAnsi="Courier New" w:cs="Courier New" w:hint="default"/>
      </w:rPr>
    </w:lvl>
    <w:lvl w:ilvl="2" w:tplc="A5B20BF6" w:tentative="1">
      <w:start w:val="1"/>
      <w:numFmt w:val="bullet"/>
      <w:lvlText w:val=""/>
      <w:lvlJc w:val="left"/>
      <w:pPr>
        <w:ind w:left="2160" w:hanging="360"/>
      </w:pPr>
      <w:rPr>
        <w:rFonts w:ascii="Wingdings" w:hAnsi="Wingdings" w:hint="default"/>
      </w:rPr>
    </w:lvl>
    <w:lvl w:ilvl="3" w:tplc="54A6F3C0" w:tentative="1">
      <w:start w:val="1"/>
      <w:numFmt w:val="bullet"/>
      <w:lvlText w:val=""/>
      <w:lvlJc w:val="left"/>
      <w:pPr>
        <w:ind w:left="2880" w:hanging="360"/>
      </w:pPr>
      <w:rPr>
        <w:rFonts w:ascii="Symbol" w:hAnsi="Symbol" w:hint="default"/>
      </w:rPr>
    </w:lvl>
    <w:lvl w:ilvl="4" w:tplc="D82E111A" w:tentative="1">
      <w:start w:val="1"/>
      <w:numFmt w:val="bullet"/>
      <w:lvlText w:val="o"/>
      <w:lvlJc w:val="left"/>
      <w:pPr>
        <w:ind w:left="3600" w:hanging="360"/>
      </w:pPr>
      <w:rPr>
        <w:rFonts w:ascii="Courier New" w:hAnsi="Courier New" w:cs="Courier New" w:hint="default"/>
      </w:rPr>
    </w:lvl>
    <w:lvl w:ilvl="5" w:tplc="500A241E" w:tentative="1">
      <w:start w:val="1"/>
      <w:numFmt w:val="bullet"/>
      <w:lvlText w:val=""/>
      <w:lvlJc w:val="left"/>
      <w:pPr>
        <w:ind w:left="4320" w:hanging="360"/>
      </w:pPr>
      <w:rPr>
        <w:rFonts w:ascii="Wingdings" w:hAnsi="Wingdings" w:hint="default"/>
      </w:rPr>
    </w:lvl>
    <w:lvl w:ilvl="6" w:tplc="DCF4027E" w:tentative="1">
      <w:start w:val="1"/>
      <w:numFmt w:val="bullet"/>
      <w:lvlText w:val=""/>
      <w:lvlJc w:val="left"/>
      <w:pPr>
        <w:ind w:left="5040" w:hanging="360"/>
      </w:pPr>
      <w:rPr>
        <w:rFonts w:ascii="Symbol" w:hAnsi="Symbol" w:hint="default"/>
      </w:rPr>
    </w:lvl>
    <w:lvl w:ilvl="7" w:tplc="EEC6C1B4" w:tentative="1">
      <w:start w:val="1"/>
      <w:numFmt w:val="bullet"/>
      <w:lvlText w:val="o"/>
      <w:lvlJc w:val="left"/>
      <w:pPr>
        <w:ind w:left="5760" w:hanging="360"/>
      </w:pPr>
      <w:rPr>
        <w:rFonts w:ascii="Courier New" w:hAnsi="Courier New" w:cs="Courier New" w:hint="default"/>
      </w:rPr>
    </w:lvl>
    <w:lvl w:ilvl="8" w:tplc="AE9C0750" w:tentative="1">
      <w:start w:val="1"/>
      <w:numFmt w:val="bullet"/>
      <w:lvlText w:val=""/>
      <w:lvlJc w:val="left"/>
      <w:pPr>
        <w:ind w:left="6480" w:hanging="360"/>
      </w:pPr>
      <w:rPr>
        <w:rFonts w:ascii="Wingdings" w:hAnsi="Wingdings" w:hint="default"/>
      </w:rPr>
    </w:lvl>
  </w:abstractNum>
  <w:abstractNum w:abstractNumId="19">
    <w:nsid w:val="2D251510"/>
    <w:multiLevelType w:val="hybridMultilevel"/>
    <w:tmpl w:val="5712A894"/>
    <w:lvl w:ilvl="0" w:tplc="377AB7C6">
      <w:start w:val="1"/>
      <w:numFmt w:val="bullet"/>
      <w:lvlText w:val=""/>
      <w:lvlJc w:val="left"/>
      <w:pPr>
        <w:ind w:left="720" w:hanging="360"/>
      </w:pPr>
      <w:rPr>
        <w:rFonts w:ascii="Symbol" w:hAnsi="Symbol" w:hint="default"/>
      </w:rPr>
    </w:lvl>
    <w:lvl w:ilvl="1" w:tplc="A380E714" w:tentative="1">
      <w:start w:val="1"/>
      <w:numFmt w:val="bullet"/>
      <w:lvlText w:val="o"/>
      <w:lvlJc w:val="left"/>
      <w:pPr>
        <w:ind w:left="1440" w:hanging="360"/>
      </w:pPr>
      <w:rPr>
        <w:rFonts w:ascii="Courier New" w:hAnsi="Courier New" w:cs="Courier New" w:hint="default"/>
      </w:rPr>
    </w:lvl>
    <w:lvl w:ilvl="2" w:tplc="A1CC7DA2" w:tentative="1">
      <w:start w:val="1"/>
      <w:numFmt w:val="bullet"/>
      <w:lvlText w:val=""/>
      <w:lvlJc w:val="left"/>
      <w:pPr>
        <w:ind w:left="2160" w:hanging="360"/>
      </w:pPr>
      <w:rPr>
        <w:rFonts w:ascii="Wingdings" w:hAnsi="Wingdings" w:hint="default"/>
      </w:rPr>
    </w:lvl>
    <w:lvl w:ilvl="3" w:tplc="21C02924" w:tentative="1">
      <w:start w:val="1"/>
      <w:numFmt w:val="bullet"/>
      <w:lvlText w:val=""/>
      <w:lvlJc w:val="left"/>
      <w:pPr>
        <w:ind w:left="2880" w:hanging="360"/>
      </w:pPr>
      <w:rPr>
        <w:rFonts w:ascii="Symbol" w:hAnsi="Symbol" w:hint="default"/>
      </w:rPr>
    </w:lvl>
    <w:lvl w:ilvl="4" w:tplc="C3F29AC2" w:tentative="1">
      <w:start w:val="1"/>
      <w:numFmt w:val="bullet"/>
      <w:lvlText w:val="o"/>
      <w:lvlJc w:val="left"/>
      <w:pPr>
        <w:ind w:left="3600" w:hanging="360"/>
      </w:pPr>
      <w:rPr>
        <w:rFonts w:ascii="Courier New" w:hAnsi="Courier New" w:cs="Courier New" w:hint="default"/>
      </w:rPr>
    </w:lvl>
    <w:lvl w:ilvl="5" w:tplc="B1244A10" w:tentative="1">
      <w:start w:val="1"/>
      <w:numFmt w:val="bullet"/>
      <w:lvlText w:val=""/>
      <w:lvlJc w:val="left"/>
      <w:pPr>
        <w:ind w:left="4320" w:hanging="360"/>
      </w:pPr>
      <w:rPr>
        <w:rFonts w:ascii="Wingdings" w:hAnsi="Wingdings" w:hint="default"/>
      </w:rPr>
    </w:lvl>
    <w:lvl w:ilvl="6" w:tplc="974EFE86" w:tentative="1">
      <w:start w:val="1"/>
      <w:numFmt w:val="bullet"/>
      <w:lvlText w:val=""/>
      <w:lvlJc w:val="left"/>
      <w:pPr>
        <w:ind w:left="5040" w:hanging="360"/>
      </w:pPr>
      <w:rPr>
        <w:rFonts w:ascii="Symbol" w:hAnsi="Symbol" w:hint="default"/>
      </w:rPr>
    </w:lvl>
    <w:lvl w:ilvl="7" w:tplc="E760FF4A" w:tentative="1">
      <w:start w:val="1"/>
      <w:numFmt w:val="bullet"/>
      <w:lvlText w:val="o"/>
      <w:lvlJc w:val="left"/>
      <w:pPr>
        <w:ind w:left="5760" w:hanging="360"/>
      </w:pPr>
      <w:rPr>
        <w:rFonts w:ascii="Courier New" w:hAnsi="Courier New" w:cs="Courier New" w:hint="default"/>
      </w:rPr>
    </w:lvl>
    <w:lvl w:ilvl="8" w:tplc="3F2E352A" w:tentative="1">
      <w:start w:val="1"/>
      <w:numFmt w:val="bullet"/>
      <w:lvlText w:val=""/>
      <w:lvlJc w:val="left"/>
      <w:pPr>
        <w:ind w:left="6480" w:hanging="360"/>
      </w:pPr>
      <w:rPr>
        <w:rFonts w:ascii="Wingdings" w:hAnsi="Wingdings" w:hint="default"/>
      </w:rPr>
    </w:lvl>
  </w:abstractNum>
  <w:abstractNum w:abstractNumId="20">
    <w:nsid w:val="2F3C4125"/>
    <w:multiLevelType w:val="hybridMultilevel"/>
    <w:tmpl w:val="56CEB2E8"/>
    <w:lvl w:ilvl="0" w:tplc="663215C2">
      <w:start w:val="1300"/>
      <w:numFmt w:val="bullet"/>
      <w:lvlText w:val="-"/>
      <w:lvlJc w:val="left"/>
      <w:pPr>
        <w:ind w:left="1080" w:hanging="360"/>
      </w:pPr>
      <w:rPr>
        <w:rFonts w:ascii="Arial" w:eastAsia="Times New Roman" w:hAnsi="Arial" w:cs="Arial" w:hint="default"/>
      </w:rPr>
    </w:lvl>
    <w:lvl w:ilvl="1" w:tplc="121401B6" w:tentative="1">
      <w:start w:val="1"/>
      <w:numFmt w:val="bullet"/>
      <w:lvlText w:val="o"/>
      <w:lvlJc w:val="left"/>
      <w:pPr>
        <w:ind w:left="1800" w:hanging="360"/>
      </w:pPr>
      <w:rPr>
        <w:rFonts w:ascii="Courier New" w:hAnsi="Courier New" w:cs="Courier New" w:hint="default"/>
      </w:rPr>
    </w:lvl>
    <w:lvl w:ilvl="2" w:tplc="043CB0F2" w:tentative="1">
      <w:start w:val="1"/>
      <w:numFmt w:val="bullet"/>
      <w:lvlText w:val=""/>
      <w:lvlJc w:val="left"/>
      <w:pPr>
        <w:ind w:left="2520" w:hanging="360"/>
      </w:pPr>
      <w:rPr>
        <w:rFonts w:ascii="Wingdings" w:hAnsi="Wingdings" w:hint="default"/>
      </w:rPr>
    </w:lvl>
    <w:lvl w:ilvl="3" w:tplc="A99E8D7E" w:tentative="1">
      <w:start w:val="1"/>
      <w:numFmt w:val="bullet"/>
      <w:lvlText w:val=""/>
      <w:lvlJc w:val="left"/>
      <w:pPr>
        <w:ind w:left="3240" w:hanging="360"/>
      </w:pPr>
      <w:rPr>
        <w:rFonts w:ascii="Symbol" w:hAnsi="Symbol" w:hint="default"/>
      </w:rPr>
    </w:lvl>
    <w:lvl w:ilvl="4" w:tplc="C08C311A" w:tentative="1">
      <w:start w:val="1"/>
      <w:numFmt w:val="bullet"/>
      <w:lvlText w:val="o"/>
      <w:lvlJc w:val="left"/>
      <w:pPr>
        <w:ind w:left="3960" w:hanging="360"/>
      </w:pPr>
      <w:rPr>
        <w:rFonts w:ascii="Courier New" w:hAnsi="Courier New" w:cs="Courier New" w:hint="default"/>
      </w:rPr>
    </w:lvl>
    <w:lvl w:ilvl="5" w:tplc="089C8FA6" w:tentative="1">
      <w:start w:val="1"/>
      <w:numFmt w:val="bullet"/>
      <w:lvlText w:val=""/>
      <w:lvlJc w:val="left"/>
      <w:pPr>
        <w:ind w:left="4680" w:hanging="360"/>
      </w:pPr>
      <w:rPr>
        <w:rFonts w:ascii="Wingdings" w:hAnsi="Wingdings" w:hint="default"/>
      </w:rPr>
    </w:lvl>
    <w:lvl w:ilvl="6" w:tplc="5F96822C" w:tentative="1">
      <w:start w:val="1"/>
      <w:numFmt w:val="bullet"/>
      <w:lvlText w:val=""/>
      <w:lvlJc w:val="left"/>
      <w:pPr>
        <w:ind w:left="5400" w:hanging="360"/>
      </w:pPr>
      <w:rPr>
        <w:rFonts w:ascii="Symbol" w:hAnsi="Symbol" w:hint="default"/>
      </w:rPr>
    </w:lvl>
    <w:lvl w:ilvl="7" w:tplc="2FA8BC14" w:tentative="1">
      <w:start w:val="1"/>
      <w:numFmt w:val="bullet"/>
      <w:lvlText w:val="o"/>
      <w:lvlJc w:val="left"/>
      <w:pPr>
        <w:ind w:left="6120" w:hanging="360"/>
      </w:pPr>
      <w:rPr>
        <w:rFonts w:ascii="Courier New" w:hAnsi="Courier New" w:cs="Courier New" w:hint="default"/>
      </w:rPr>
    </w:lvl>
    <w:lvl w:ilvl="8" w:tplc="BAC0FFD6" w:tentative="1">
      <w:start w:val="1"/>
      <w:numFmt w:val="bullet"/>
      <w:lvlText w:val=""/>
      <w:lvlJc w:val="left"/>
      <w:pPr>
        <w:ind w:left="6840" w:hanging="360"/>
      </w:pPr>
      <w:rPr>
        <w:rFonts w:ascii="Wingdings" w:hAnsi="Wingdings" w:hint="default"/>
      </w:rPr>
    </w:lvl>
  </w:abstractNum>
  <w:abstractNum w:abstractNumId="21">
    <w:nsid w:val="314604BF"/>
    <w:multiLevelType w:val="hybridMultilevel"/>
    <w:tmpl w:val="4F7A5CAE"/>
    <w:lvl w:ilvl="0" w:tplc="5C16345E">
      <w:start w:val="4"/>
      <w:numFmt w:val="bullet"/>
      <w:lvlText w:val="-"/>
      <w:lvlJc w:val="left"/>
      <w:pPr>
        <w:ind w:left="1080" w:hanging="360"/>
      </w:pPr>
      <w:rPr>
        <w:rFonts w:ascii="Calibri" w:eastAsiaTheme="minorHAnsi" w:hAnsi="Calibri" w:cs="Calibri" w:hint="default"/>
      </w:rPr>
    </w:lvl>
    <w:lvl w:ilvl="1" w:tplc="5A4C78E6" w:tentative="1">
      <w:start w:val="1"/>
      <w:numFmt w:val="bullet"/>
      <w:lvlText w:val="o"/>
      <w:lvlJc w:val="left"/>
      <w:pPr>
        <w:ind w:left="1800" w:hanging="360"/>
      </w:pPr>
      <w:rPr>
        <w:rFonts w:ascii="Courier New" w:hAnsi="Courier New" w:cs="Courier New" w:hint="default"/>
      </w:rPr>
    </w:lvl>
    <w:lvl w:ilvl="2" w:tplc="9EFCCE9A" w:tentative="1">
      <w:start w:val="1"/>
      <w:numFmt w:val="bullet"/>
      <w:lvlText w:val=""/>
      <w:lvlJc w:val="left"/>
      <w:pPr>
        <w:ind w:left="2520" w:hanging="360"/>
      </w:pPr>
      <w:rPr>
        <w:rFonts w:ascii="Wingdings" w:hAnsi="Wingdings" w:hint="default"/>
      </w:rPr>
    </w:lvl>
    <w:lvl w:ilvl="3" w:tplc="A3568F8C" w:tentative="1">
      <w:start w:val="1"/>
      <w:numFmt w:val="bullet"/>
      <w:lvlText w:val=""/>
      <w:lvlJc w:val="left"/>
      <w:pPr>
        <w:ind w:left="3240" w:hanging="360"/>
      </w:pPr>
      <w:rPr>
        <w:rFonts w:ascii="Symbol" w:hAnsi="Symbol" w:hint="default"/>
      </w:rPr>
    </w:lvl>
    <w:lvl w:ilvl="4" w:tplc="8126FBB4" w:tentative="1">
      <w:start w:val="1"/>
      <w:numFmt w:val="bullet"/>
      <w:lvlText w:val="o"/>
      <w:lvlJc w:val="left"/>
      <w:pPr>
        <w:ind w:left="3960" w:hanging="360"/>
      </w:pPr>
      <w:rPr>
        <w:rFonts w:ascii="Courier New" w:hAnsi="Courier New" w:cs="Courier New" w:hint="default"/>
      </w:rPr>
    </w:lvl>
    <w:lvl w:ilvl="5" w:tplc="EB1AF2E0" w:tentative="1">
      <w:start w:val="1"/>
      <w:numFmt w:val="bullet"/>
      <w:lvlText w:val=""/>
      <w:lvlJc w:val="left"/>
      <w:pPr>
        <w:ind w:left="4680" w:hanging="360"/>
      </w:pPr>
      <w:rPr>
        <w:rFonts w:ascii="Wingdings" w:hAnsi="Wingdings" w:hint="default"/>
      </w:rPr>
    </w:lvl>
    <w:lvl w:ilvl="6" w:tplc="1688C076" w:tentative="1">
      <w:start w:val="1"/>
      <w:numFmt w:val="bullet"/>
      <w:lvlText w:val=""/>
      <w:lvlJc w:val="left"/>
      <w:pPr>
        <w:ind w:left="5400" w:hanging="360"/>
      </w:pPr>
      <w:rPr>
        <w:rFonts w:ascii="Symbol" w:hAnsi="Symbol" w:hint="default"/>
      </w:rPr>
    </w:lvl>
    <w:lvl w:ilvl="7" w:tplc="102CD22C" w:tentative="1">
      <w:start w:val="1"/>
      <w:numFmt w:val="bullet"/>
      <w:lvlText w:val="o"/>
      <w:lvlJc w:val="left"/>
      <w:pPr>
        <w:ind w:left="6120" w:hanging="360"/>
      </w:pPr>
      <w:rPr>
        <w:rFonts w:ascii="Courier New" w:hAnsi="Courier New" w:cs="Courier New" w:hint="default"/>
      </w:rPr>
    </w:lvl>
    <w:lvl w:ilvl="8" w:tplc="619CF9FA" w:tentative="1">
      <w:start w:val="1"/>
      <w:numFmt w:val="bullet"/>
      <w:lvlText w:val=""/>
      <w:lvlJc w:val="left"/>
      <w:pPr>
        <w:ind w:left="6840" w:hanging="360"/>
      </w:pPr>
      <w:rPr>
        <w:rFonts w:ascii="Wingdings" w:hAnsi="Wingdings" w:hint="default"/>
      </w:rPr>
    </w:lvl>
  </w:abstractNum>
  <w:abstractNum w:abstractNumId="22">
    <w:nsid w:val="339775D9"/>
    <w:multiLevelType w:val="hybridMultilevel"/>
    <w:tmpl w:val="90208338"/>
    <w:lvl w:ilvl="0" w:tplc="9C3C3D3E">
      <w:start w:val="1"/>
      <w:numFmt w:val="bullet"/>
      <w:lvlText w:val=""/>
      <w:lvlJc w:val="left"/>
      <w:pPr>
        <w:ind w:left="720" w:hanging="360"/>
      </w:pPr>
      <w:rPr>
        <w:rFonts w:ascii="Symbol" w:hAnsi="Symbol" w:hint="default"/>
      </w:rPr>
    </w:lvl>
    <w:lvl w:ilvl="1" w:tplc="F28C905C" w:tentative="1">
      <w:start w:val="1"/>
      <w:numFmt w:val="bullet"/>
      <w:lvlText w:val="o"/>
      <w:lvlJc w:val="left"/>
      <w:pPr>
        <w:ind w:left="1440" w:hanging="360"/>
      </w:pPr>
      <w:rPr>
        <w:rFonts w:ascii="Courier New" w:hAnsi="Courier New" w:cs="Courier New" w:hint="default"/>
      </w:rPr>
    </w:lvl>
    <w:lvl w:ilvl="2" w:tplc="951257A8" w:tentative="1">
      <w:start w:val="1"/>
      <w:numFmt w:val="bullet"/>
      <w:lvlText w:val=""/>
      <w:lvlJc w:val="left"/>
      <w:pPr>
        <w:ind w:left="2160" w:hanging="360"/>
      </w:pPr>
      <w:rPr>
        <w:rFonts w:ascii="Wingdings" w:hAnsi="Wingdings" w:hint="default"/>
      </w:rPr>
    </w:lvl>
    <w:lvl w:ilvl="3" w:tplc="4E7E9F0A" w:tentative="1">
      <w:start w:val="1"/>
      <w:numFmt w:val="bullet"/>
      <w:lvlText w:val=""/>
      <w:lvlJc w:val="left"/>
      <w:pPr>
        <w:ind w:left="2880" w:hanging="360"/>
      </w:pPr>
      <w:rPr>
        <w:rFonts w:ascii="Symbol" w:hAnsi="Symbol" w:hint="default"/>
      </w:rPr>
    </w:lvl>
    <w:lvl w:ilvl="4" w:tplc="AC0E2302" w:tentative="1">
      <w:start w:val="1"/>
      <w:numFmt w:val="bullet"/>
      <w:lvlText w:val="o"/>
      <w:lvlJc w:val="left"/>
      <w:pPr>
        <w:ind w:left="3600" w:hanging="360"/>
      </w:pPr>
      <w:rPr>
        <w:rFonts w:ascii="Courier New" w:hAnsi="Courier New" w:cs="Courier New" w:hint="default"/>
      </w:rPr>
    </w:lvl>
    <w:lvl w:ilvl="5" w:tplc="8C38C0F0" w:tentative="1">
      <w:start w:val="1"/>
      <w:numFmt w:val="bullet"/>
      <w:lvlText w:val=""/>
      <w:lvlJc w:val="left"/>
      <w:pPr>
        <w:ind w:left="4320" w:hanging="360"/>
      </w:pPr>
      <w:rPr>
        <w:rFonts w:ascii="Wingdings" w:hAnsi="Wingdings" w:hint="default"/>
      </w:rPr>
    </w:lvl>
    <w:lvl w:ilvl="6" w:tplc="2DC421DC" w:tentative="1">
      <w:start w:val="1"/>
      <w:numFmt w:val="bullet"/>
      <w:lvlText w:val=""/>
      <w:lvlJc w:val="left"/>
      <w:pPr>
        <w:ind w:left="5040" w:hanging="360"/>
      </w:pPr>
      <w:rPr>
        <w:rFonts w:ascii="Symbol" w:hAnsi="Symbol" w:hint="default"/>
      </w:rPr>
    </w:lvl>
    <w:lvl w:ilvl="7" w:tplc="6972BC80" w:tentative="1">
      <w:start w:val="1"/>
      <w:numFmt w:val="bullet"/>
      <w:lvlText w:val="o"/>
      <w:lvlJc w:val="left"/>
      <w:pPr>
        <w:ind w:left="5760" w:hanging="360"/>
      </w:pPr>
      <w:rPr>
        <w:rFonts w:ascii="Courier New" w:hAnsi="Courier New" w:cs="Courier New" w:hint="default"/>
      </w:rPr>
    </w:lvl>
    <w:lvl w:ilvl="8" w:tplc="F98C0AF4" w:tentative="1">
      <w:start w:val="1"/>
      <w:numFmt w:val="bullet"/>
      <w:lvlText w:val=""/>
      <w:lvlJc w:val="left"/>
      <w:pPr>
        <w:ind w:left="6480" w:hanging="360"/>
      </w:pPr>
      <w:rPr>
        <w:rFonts w:ascii="Wingdings" w:hAnsi="Wingdings" w:hint="default"/>
      </w:rPr>
    </w:lvl>
  </w:abstractNum>
  <w:abstractNum w:abstractNumId="23">
    <w:nsid w:val="33AF043B"/>
    <w:multiLevelType w:val="multilevel"/>
    <w:tmpl w:val="DBD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4A5A0B"/>
    <w:multiLevelType w:val="hybridMultilevel"/>
    <w:tmpl w:val="4FF010BC"/>
    <w:lvl w:ilvl="0" w:tplc="B8E4840E">
      <w:start w:val="1"/>
      <w:numFmt w:val="bullet"/>
      <w:lvlText w:val="-"/>
      <w:lvlJc w:val="left"/>
      <w:pPr>
        <w:ind w:left="720" w:hanging="360"/>
      </w:pPr>
      <w:rPr>
        <w:rFonts w:ascii="Calibri" w:eastAsiaTheme="minorHAnsi" w:hAnsi="Calibri" w:cs="Calibri" w:hint="default"/>
      </w:rPr>
    </w:lvl>
    <w:lvl w:ilvl="1" w:tplc="A22ABF7E" w:tentative="1">
      <w:start w:val="1"/>
      <w:numFmt w:val="bullet"/>
      <w:lvlText w:val="o"/>
      <w:lvlJc w:val="left"/>
      <w:pPr>
        <w:ind w:left="1440" w:hanging="360"/>
      </w:pPr>
      <w:rPr>
        <w:rFonts w:ascii="Courier New" w:hAnsi="Courier New" w:cs="Courier New" w:hint="default"/>
      </w:rPr>
    </w:lvl>
    <w:lvl w:ilvl="2" w:tplc="CC348C54" w:tentative="1">
      <w:start w:val="1"/>
      <w:numFmt w:val="bullet"/>
      <w:lvlText w:val=""/>
      <w:lvlJc w:val="left"/>
      <w:pPr>
        <w:ind w:left="2160" w:hanging="360"/>
      </w:pPr>
      <w:rPr>
        <w:rFonts w:ascii="Wingdings" w:hAnsi="Wingdings" w:hint="default"/>
      </w:rPr>
    </w:lvl>
    <w:lvl w:ilvl="3" w:tplc="EB827F78" w:tentative="1">
      <w:start w:val="1"/>
      <w:numFmt w:val="bullet"/>
      <w:lvlText w:val=""/>
      <w:lvlJc w:val="left"/>
      <w:pPr>
        <w:ind w:left="2880" w:hanging="360"/>
      </w:pPr>
      <w:rPr>
        <w:rFonts w:ascii="Symbol" w:hAnsi="Symbol" w:hint="default"/>
      </w:rPr>
    </w:lvl>
    <w:lvl w:ilvl="4" w:tplc="B5CABC90" w:tentative="1">
      <w:start w:val="1"/>
      <w:numFmt w:val="bullet"/>
      <w:lvlText w:val="o"/>
      <w:lvlJc w:val="left"/>
      <w:pPr>
        <w:ind w:left="3600" w:hanging="360"/>
      </w:pPr>
      <w:rPr>
        <w:rFonts w:ascii="Courier New" w:hAnsi="Courier New" w:cs="Courier New" w:hint="default"/>
      </w:rPr>
    </w:lvl>
    <w:lvl w:ilvl="5" w:tplc="54B2964A" w:tentative="1">
      <w:start w:val="1"/>
      <w:numFmt w:val="bullet"/>
      <w:lvlText w:val=""/>
      <w:lvlJc w:val="left"/>
      <w:pPr>
        <w:ind w:left="4320" w:hanging="360"/>
      </w:pPr>
      <w:rPr>
        <w:rFonts w:ascii="Wingdings" w:hAnsi="Wingdings" w:hint="default"/>
      </w:rPr>
    </w:lvl>
    <w:lvl w:ilvl="6" w:tplc="371482F6" w:tentative="1">
      <w:start w:val="1"/>
      <w:numFmt w:val="bullet"/>
      <w:lvlText w:val=""/>
      <w:lvlJc w:val="left"/>
      <w:pPr>
        <w:ind w:left="5040" w:hanging="360"/>
      </w:pPr>
      <w:rPr>
        <w:rFonts w:ascii="Symbol" w:hAnsi="Symbol" w:hint="default"/>
      </w:rPr>
    </w:lvl>
    <w:lvl w:ilvl="7" w:tplc="A46EAA7C" w:tentative="1">
      <w:start w:val="1"/>
      <w:numFmt w:val="bullet"/>
      <w:lvlText w:val="o"/>
      <w:lvlJc w:val="left"/>
      <w:pPr>
        <w:ind w:left="5760" w:hanging="360"/>
      </w:pPr>
      <w:rPr>
        <w:rFonts w:ascii="Courier New" w:hAnsi="Courier New" w:cs="Courier New" w:hint="default"/>
      </w:rPr>
    </w:lvl>
    <w:lvl w:ilvl="8" w:tplc="F0DEFB5A" w:tentative="1">
      <w:start w:val="1"/>
      <w:numFmt w:val="bullet"/>
      <w:lvlText w:val=""/>
      <w:lvlJc w:val="left"/>
      <w:pPr>
        <w:ind w:left="6480" w:hanging="360"/>
      </w:pPr>
      <w:rPr>
        <w:rFonts w:ascii="Wingdings" w:hAnsi="Wingdings" w:hint="default"/>
      </w:rPr>
    </w:lvl>
  </w:abstractNum>
  <w:abstractNum w:abstractNumId="25">
    <w:nsid w:val="3F0D182B"/>
    <w:multiLevelType w:val="hybridMultilevel"/>
    <w:tmpl w:val="A1E8CF68"/>
    <w:lvl w:ilvl="0" w:tplc="CF0A4CEE">
      <w:start w:val="1"/>
      <w:numFmt w:val="bullet"/>
      <w:lvlText w:val=""/>
      <w:lvlJc w:val="left"/>
      <w:pPr>
        <w:ind w:left="720" w:hanging="360"/>
      </w:pPr>
      <w:rPr>
        <w:rFonts w:ascii="Symbol" w:hAnsi="Symbol" w:hint="default"/>
      </w:rPr>
    </w:lvl>
    <w:lvl w:ilvl="1" w:tplc="BF0EFD24" w:tentative="1">
      <w:start w:val="1"/>
      <w:numFmt w:val="bullet"/>
      <w:lvlText w:val="o"/>
      <w:lvlJc w:val="left"/>
      <w:pPr>
        <w:ind w:left="1440" w:hanging="360"/>
      </w:pPr>
      <w:rPr>
        <w:rFonts w:ascii="Courier New" w:hAnsi="Courier New" w:cs="Courier New" w:hint="default"/>
      </w:rPr>
    </w:lvl>
    <w:lvl w:ilvl="2" w:tplc="EC2AB626" w:tentative="1">
      <w:start w:val="1"/>
      <w:numFmt w:val="bullet"/>
      <w:lvlText w:val=""/>
      <w:lvlJc w:val="left"/>
      <w:pPr>
        <w:ind w:left="2160" w:hanging="360"/>
      </w:pPr>
      <w:rPr>
        <w:rFonts w:ascii="Wingdings" w:hAnsi="Wingdings" w:hint="default"/>
      </w:rPr>
    </w:lvl>
    <w:lvl w:ilvl="3" w:tplc="546C47F2" w:tentative="1">
      <w:start w:val="1"/>
      <w:numFmt w:val="bullet"/>
      <w:lvlText w:val=""/>
      <w:lvlJc w:val="left"/>
      <w:pPr>
        <w:ind w:left="2880" w:hanging="360"/>
      </w:pPr>
      <w:rPr>
        <w:rFonts w:ascii="Symbol" w:hAnsi="Symbol" w:hint="default"/>
      </w:rPr>
    </w:lvl>
    <w:lvl w:ilvl="4" w:tplc="7D2437BA" w:tentative="1">
      <w:start w:val="1"/>
      <w:numFmt w:val="bullet"/>
      <w:lvlText w:val="o"/>
      <w:lvlJc w:val="left"/>
      <w:pPr>
        <w:ind w:left="3600" w:hanging="360"/>
      </w:pPr>
      <w:rPr>
        <w:rFonts w:ascii="Courier New" w:hAnsi="Courier New" w:cs="Courier New" w:hint="default"/>
      </w:rPr>
    </w:lvl>
    <w:lvl w:ilvl="5" w:tplc="691CF73A" w:tentative="1">
      <w:start w:val="1"/>
      <w:numFmt w:val="bullet"/>
      <w:lvlText w:val=""/>
      <w:lvlJc w:val="left"/>
      <w:pPr>
        <w:ind w:left="4320" w:hanging="360"/>
      </w:pPr>
      <w:rPr>
        <w:rFonts w:ascii="Wingdings" w:hAnsi="Wingdings" w:hint="default"/>
      </w:rPr>
    </w:lvl>
    <w:lvl w:ilvl="6" w:tplc="38B6197C" w:tentative="1">
      <w:start w:val="1"/>
      <w:numFmt w:val="bullet"/>
      <w:lvlText w:val=""/>
      <w:lvlJc w:val="left"/>
      <w:pPr>
        <w:ind w:left="5040" w:hanging="360"/>
      </w:pPr>
      <w:rPr>
        <w:rFonts w:ascii="Symbol" w:hAnsi="Symbol" w:hint="default"/>
      </w:rPr>
    </w:lvl>
    <w:lvl w:ilvl="7" w:tplc="0E46D518" w:tentative="1">
      <w:start w:val="1"/>
      <w:numFmt w:val="bullet"/>
      <w:lvlText w:val="o"/>
      <w:lvlJc w:val="left"/>
      <w:pPr>
        <w:ind w:left="5760" w:hanging="360"/>
      </w:pPr>
      <w:rPr>
        <w:rFonts w:ascii="Courier New" w:hAnsi="Courier New" w:cs="Courier New" w:hint="default"/>
      </w:rPr>
    </w:lvl>
    <w:lvl w:ilvl="8" w:tplc="78CED322" w:tentative="1">
      <w:start w:val="1"/>
      <w:numFmt w:val="bullet"/>
      <w:lvlText w:val=""/>
      <w:lvlJc w:val="left"/>
      <w:pPr>
        <w:ind w:left="6480" w:hanging="360"/>
      </w:pPr>
      <w:rPr>
        <w:rFonts w:ascii="Wingdings" w:hAnsi="Wingdings" w:hint="default"/>
      </w:rPr>
    </w:lvl>
  </w:abstractNum>
  <w:abstractNum w:abstractNumId="26">
    <w:nsid w:val="452550B4"/>
    <w:multiLevelType w:val="hybridMultilevel"/>
    <w:tmpl w:val="28CEAD7C"/>
    <w:lvl w:ilvl="0" w:tplc="E0B8B7BE">
      <w:start w:val="2"/>
      <w:numFmt w:val="bullet"/>
      <w:lvlText w:val="-"/>
      <w:lvlJc w:val="left"/>
      <w:pPr>
        <w:ind w:left="1080" w:hanging="360"/>
      </w:pPr>
      <w:rPr>
        <w:rFonts w:ascii="Arial" w:eastAsiaTheme="minorHAnsi" w:hAnsi="Arial" w:cs="Arial" w:hint="default"/>
      </w:rPr>
    </w:lvl>
    <w:lvl w:ilvl="1" w:tplc="80F839BA" w:tentative="1">
      <w:start w:val="1"/>
      <w:numFmt w:val="bullet"/>
      <w:lvlText w:val="o"/>
      <w:lvlJc w:val="left"/>
      <w:pPr>
        <w:ind w:left="1800" w:hanging="360"/>
      </w:pPr>
      <w:rPr>
        <w:rFonts w:ascii="Courier New" w:hAnsi="Courier New" w:cs="Courier New" w:hint="default"/>
      </w:rPr>
    </w:lvl>
    <w:lvl w:ilvl="2" w:tplc="25908AF4" w:tentative="1">
      <w:start w:val="1"/>
      <w:numFmt w:val="bullet"/>
      <w:lvlText w:val=""/>
      <w:lvlJc w:val="left"/>
      <w:pPr>
        <w:ind w:left="2520" w:hanging="360"/>
      </w:pPr>
      <w:rPr>
        <w:rFonts w:ascii="Wingdings" w:hAnsi="Wingdings" w:hint="default"/>
      </w:rPr>
    </w:lvl>
    <w:lvl w:ilvl="3" w:tplc="3CACEE48" w:tentative="1">
      <w:start w:val="1"/>
      <w:numFmt w:val="bullet"/>
      <w:lvlText w:val=""/>
      <w:lvlJc w:val="left"/>
      <w:pPr>
        <w:ind w:left="3240" w:hanging="360"/>
      </w:pPr>
      <w:rPr>
        <w:rFonts w:ascii="Symbol" w:hAnsi="Symbol" w:hint="default"/>
      </w:rPr>
    </w:lvl>
    <w:lvl w:ilvl="4" w:tplc="F49CBE92" w:tentative="1">
      <w:start w:val="1"/>
      <w:numFmt w:val="bullet"/>
      <w:lvlText w:val="o"/>
      <w:lvlJc w:val="left"/>
      <w:pPr>
        <w:ind w:left="3960" w:hanging="360"/>
      </w:pPr>
      <w:rPr>
        <w:rFonts w:ascii="Courier New" w:hAnsi="Courier New" w:cs="Courier New" w:hint="default"/>
      </w:rPr>
    </w:lvl>
    <w:lvl w:ilvl="5" w:tplc="73864206" w:tentative="1">
      <w:start w:val="1"/>
      <w:numFmt w:val="bullet"/>
      <w:lvlText w:val=""/>
      <w:lvlJc w:val="left"/>
      <w:pPr>
        <w:ind w:left="4680" w:hanging="360"/>
      </w:pPr>
      <w:rPr>
        <w:rFonts w:ascii="Wingdings" w:hAnsi="Wingdings" w:hint="default"/>
      </w:rPr>
    </w:lvl>
    <w:lvl w:ilvl="6" w:tplc="722210B6" w:tentative="1">
      <w:start w:val="1"/>
      <w:numFmt w:val="bullet"/>
      <w:lvlText w:val=""/>
      <w:lvlJc w:val="left"/>
      <w:pPr>
        <w:ind w:left="5400" w:hanging="360"/>
      </w:pPr>
      <w:rPr>
        <w:rFonts w:ascii="Symbol" w:hAnsi="Symbol" w:hint="default"/>
      </w:rPr>
    </w:lvl>
    <w:lvl w:ilvl="7" w:tplc="8D7666EE" w:tentative="1">
      <w:start w:val="1"/>
      <w:numFmt w:val="bullet"/>
      <w:lvlText w:val="o"/>
      <w:lvlJc w:val="left"/>
      <w:pPr>
        <w:ind w:left="6120" w:hanging="360"/>
      </w:pPr>
      <w:rPr>
        <w:rFonts w:ascii="Courier New" w:hAnsi="Courier New" w:cs="Courier New" w:hint="default"/>
      </w:rPr>
    </w:lvl>
    <w:lvl w:ilvl="8" w:tplc="23165E60" w:tentative="1">
      <w:start w:val="1"/>
      <w:numFmt w:val="bullet"/>
      <w:lvlText w:val=""/>
      <w:lvlJc w:val="left"/>
      <w:pPr>
        <w:ind w:left="6840" w:hanging="360"/>
      </w:pPr>
      <w:rPr>
        <w:rFonts w:ascii="Wingdings" w:hAnsi="Wingdings" w:hint="default"/>
      </w:rPr>
    </w:lvl>
  </w:abstractNum>
  <w:abstractNum w:abstractNumId="27">
    <w:nsid w:val="45884203"/>
    <w:multiLevelType w:val="hybridMultilevel"/>
    <w:tmpl w:val="DDBE7680"/>
    <w:lvl w:ilvl="0" w:tplc="59BC0472">
      <w:start w:val="4"/>
      <w:numFmt w:val="bullet"/>
      <w:lvlText w:val="-"/>
      <w:lvlJc w:val="left"/>
      <w:pPr>
        <w:ind w:left="720" w:hanging="360"/>
      </w:pPr>
      <w:rPr>
        <w:rFonts w:ascii="Calibri" w:eastAsiaTheme="minorHAnsi" w:hAnsi="Calibri" w:cs="Calibri" w:hint="default"/>
      </w:rPr>
    </w:lvl>
    <w:lvl w:ilvl="1" w:tplc="DBB67B6E" w:tentative="1">
      <w:start w:val="1"/>
      <w:numFmt w:val="bullet"/>
      <w:lvlText w:val="o"/>
      <w:lvlJc w:val="left"/>
      <w:pPr>
        <w:ind w:left="1440" w:hanging="360"/>
      </w:pPr>
      <w:rPr>
        <w:rFonts w:ascii="Courier New" w:hAnsi="Courier New" w:cs="Courier New" w:hint="default"/>
      </w:rPr>
    </w:lvl>
    <w:lvl w:ilvl="2" w:tplc="A2004B42" w:tentative="1">
      <w:start w:val="1"/>
      <w:numFmt w:val="bullet"/>
      <w:lvlText w:val=""/>
      <w:lvlJc w:val="left"/>
      <w:pPr>
        <w:ind w:left="2160" w:hanging="360"/>
      </w:pPr>
      <w:rPr>
        <w:rFonts w:ascii="Wingdings" w:hAnsi="Wingdings" w:hint="default"/>
      </w:rPr>
    </w:lvl>
    <w:lvl w:ilvl="3" w:tplc="AA506264" w:tentative="1">
      <w:start w:val="1"/>
      <w:numFmt w:val="bullet"/>
      <w:lvlText w:val=""/>
      <w:lvlJc w:val="left"/>
      <w:pPr>
        <w:ind w:left="2880" w:hanging="360"/>
      </w:pPr>
      <w:rPr>
        <w:rFonts w:ascii="Symbol" w:hAnsi="Symbol" w:hint="default"/>
      </w:rPr>
    </w:lvl>
    <w:lvl w:ilvl="4" w:tplc="2CD0A4F0" w:tentative="1">
      <w:start w:val="1"/>
      <w:numFmt w:val="bullet"/>
      <w:lvlText w:val="o"/>
      <w:lvlJc w:val="left"/>
      <w:pPr>
        <w:ind w:left="3600" w:hanging="360"/>
      </w:pPr>
      <w:rPr>
        <w:rFonts w:ascii="Courier New" w:hAnsi="Courier New" w:cs="Courier New" w:hint="default"/>
      </w:rPr>
    </w:lvl>
    <w:lvl w:ilvl="5" w:tplc="19EA94CA" w:tentative="1">
      <w:start w:val="1"/>
      <w:numFmt w:val="bullet"/>
      <w:lvlText w:val=""/>
      <w:lvlJc w:val="left"/>
      <w:pPr>
        <w:ind w:left="4320" w:hanging="360"/>
      </w:pPr>
      <w:rPr>
        <w:rFonts w:ascii="Wingdings" w:hAnsi="Wingdings" w:hint="default"/>
      </w:rPr>
    </w:lvl>
    <w:lvl w:ilvl="6" w:tplc="97783F86" w:tentative="1">
      <w:start w:val="1"/>
      <w:numFmt w:val="bullet"/>
      <w:lvlText w:val=""/>
      <w:lvlJc w:val="left"/>
      <w:pPr>
        <w:ind w:left="5040" w:hanging="360"/>
      </w:pPr>
      <w:rPr>
        <w:rFonts w:ascii="Symbol" w:hAnsi="Symbol" w:hint="default"/>
      </w:rPr>
    </w:lvl>
    <w:lvl w:ilvl="7" w:tplc="58C04F94" w:tentative="1">
      <w:start w:val="1"/>
      <w:numFmt w:val="bullet"/>
      <w:lvlText w:val="o"/>
      <w:lvlJc w:val="left"/>
      <w:pPr>
        <w:ind w:left="5760" w:hanging="360"/>
      </w:pPr>
      <w:rPr>
        <w:rFonts w:ascii="Courier New" w:hAnsi="Courier New" w:cs="Courier New" w:hint="default"/>
      </w:rPr>
    </w:lvl>
    <w:lvl w:ilvl="8" w:tplc="42FE5A04" w:tentative="1">
      <w:start w:val="1"/>
      <w:numFmt w:val="bullet"/>
      <w:lvlText w:val=""/>
      <w:lvlJc w:val="left"/>
      <w:pPr>
        <w:ind w:left="6480" w:hanging="360"/>
      </w:pPr>
      <w:rPr>
        <w:rFonts w:ascii="Wingdings" w:hAnsi="Wingdings" w:hint="default"/>
      </w:rPr>
    </w:lvl>
  </w:abstractNum>
  <w:abstractNum w:abstractNumId="28">
    <w:nsid w:val="48192EB5"/>
    <w:multiLevelType w:val="hybridMultilevel"/>
    <w:tmpl w:val="15407A7C"/>
    <w:lvl w:ilvl="0" w:tplc="0B16A45A">
      <w:start w:val="1"/>
      <w:numFmt w:val="bullet"/>
      <w:lvlText w:val="-"/>
      <w:lvlJc w:val="left"/>
      <w:pPr>
        <w:ind w:left="360" w:hanging="360"/>
      </w:pPr>
      <w:rPr>
        <w:rFonts w:ascii="Arial" w:eastAsia="Times New Roman" w:hAnsi="Arial" w:cs="Arial" w:hint="default"/>
        <w:i/>
        <w:color w:val="000000"/>
      </w:rPr>
    </w:lvl>
    <w:lvl w:ilvl="1" w:tplc="C34005E2" w:tentative="1">
      <w:start w:val="1"/>
      <w:numFmt w:val="bullet"/>
      <w:lvlText w:val="o"/>
      <w:lvlJc w:val="left"/>
      <w:pPr>
        <w:ind w:left="1080" w:hanging="360"/>
      </w:pPr>
      <w:rPr>
        <w:rFonts w:ascii="Courier New" w:hAnsi="Courier New" w:cs="Courier New" w:hint="default"/>
      </w:rPr>
    </w:lvl>
    <w:lvl w:ilvl="2" w:tplc="FD3ED2D6" w:tentative="1">
      <w:start w:val="1"/>
      <w:numFmt w:val="bullet"/>
      <w:lvlText w:val=""/>
      <w:lvlJc w:val="left"/>
      <w:pPr>
        <w:ind w:left="1800" w:hanging="360"/>
      </w:pPr>
      <w:rPr>
        <w:rFonts w:ascii="Wingdings" w:hAnsi="Wingdings" w:hint="default"/>
      </w:rPr>
    </w:lvl>
    <w:lvl w:ilvl="3" w:tplc="E6E0B07A" w:tentative="1">
      <w:start w:val="1"/>
      <w:numFmt w:val="bullet"/>
      <w:lvlText w:val=""/>
      <w:lvlJc w:val="left"/>
      <w:pPr>
        <w:ind w:left="2520" w:hanging="360"/>
      </w:pPr>
      <w:rPr>
        <w:rFonts w:ascii="Symbol" w:hAnsi="Symbol" w:hint="default"/>
      </w:rPr>
    </w:lvl>
    <w:lvl w:ilvl="4" w:tplc="AE4C3BBA" w:tentative="1">
      <w:start w:val="1"/>
      <w:numFmt w:val="bullet"/>
      <w:lvlText w:val="o"/>
      <w:lvlJc w:val="left"/>
      <w:pPr>
        <w:ind w:left="3240" w:hanging="360"/>
      </w:pPr>
      <w:rPr>
        <w:rFonts w:ascii="Courier New" w:hAnsi="Courier New" w:cs="Courier New" w:hint="default"/>
      </w:rPr>
    </w:lvl>
    <w:lvl w:ilvl="5" w:tplc="CD2E068A" w:tentative="1">
      <w:start w:val="1"/>
      <w:numFmt w:val="bullet"/>
      <w:lvlText w:val=""/>
      <w:lvlJc w:val="left"/>
      <w:pPr>
        <w:ind w:left="3960" w:hanging="360"/>
      </w:pPr>
      <w:rPr>
        <w:rFonts w:ascii="Wingdings" w:hAnsi="Wingdings" w:hint="default"/>
      </w:rPr>
    </w:lvl>
    <w:lvl w:ilvl="6" w:tplc="2ABE2676" w:tentative="1">
      <w:start w:val="1"/>
      <w:numFmt w:val="bullet"/>
      <w:lvlText w:val=""/>
      <w:lvlJc w:val="left"/>
      <w:pPr>
        <w:ind w:left="4680" w:hanging="360"/>
      </w:pPr>
      <w:rPr>
        <w:rFonts w:ascii="Symbol" w:hAnsi="Symbol" w:hint="default"/>
      </w:rPr>
    </w:lvl>
    <w:lvl w:ilvl="7" w:tplc="FD0C4E84" w:tentative="1">
      <w:start w:val="1"/>
      <w:numFmt w:val="bullet"/>
      <w:lvlText w:val="o"/>
      <w:lvlJc w:val="left"/>
      <w:pPr>
        <w:ind w:left="5400" w:hanging="360"/>
      </w:pPr>
      <w:rPr>
        <w:rFonts w:ascii="Courier New" w:hAnsi="Courier New" w:cs="Courier New" w:hint="default"/>
      </w:rPr>
    </w:lvl>
    <w:lvl w:ilvl="8" w:tplc="96F22EC6" w:tentative="1">
      <w:start w:val="1"/>
      <w:numFmt w:val="bullet"/>
      <w:lvlText w:val=""/>
      <w:lvlJc w:val="left"/>
      <w:pPr>
        <w:ind w:left="6120" w:hanging="360"/>
      </w:pPr>
      <w:rPr>
        <w:rFonts w:ascii="Wingdings" w:hAnsi="Wingdings" w:hint="default"/>
      </w:rPr>
    </w:lvl>
  </w:abstractNum>
  <w:abstractNum w:abstractNumId="29">
    <w:nsid w:val="487443A1"/>
    <w:multiLevelType w:val="hybridMultilevel"/>
    <w:tmpl w:val="94D63D32"/>
    <w:lvl w:ilvl="0" w:tplc="7754404E">
      <w:start w:val="1"/>
      <w:numFmt w:val="bullet"/>
      <w:lvlText w:val=""/>
      <w:lvlJc w:val="left"/>
      <w:pPr>
        <w:ind w:left="1440" w:hanging="360"/>
      </w:pPr>
      <w:rPr>
        <w:rFonts w:ascii="Symbol" w:hAnsi="Symbol" w:hint="default"/>
      </w:rPr>
    </w:lvl>
    <w:lvl w:ilvl="1" w:tplc="66B6F164" w:tentative="1">
      <w:start w:val="1"/>
      <w:numFmt w:val="bullet"/>
      <w:lvlText w:val="o"/>
      <w:lvlJc w:val="left"/>
      <w:pPr>
        <w:ind w:left="2160" w:hanging="360"/>
      </w:pPr>
      <w:rPr>
        <w:rFonts w:ascii="Courier New" w:hAnsi="Courier New" w:cs="Courier New" w:hint="default"/>
      </w:rPr>
    </w:lvl>
    <w:lvl w:ilvl="2" w:tplc="17EAE578" w:tentative="1">
      <w:start w:val="1"/>
      <w:numFmt w:val="bullet"/>
      <w:lvlText w:val=""/>
      <w:lvlJc w:val="left"/>
      <w:pPr>
        <w:ind w:left="2880" w:hanging="360"/>
      </w:pPr>
      <w:rPr>
        <w:rFonts w:ascii="Wingdings" w:hAnsi="Wingdings" w:hint="default"/>
      </w:rPr>
    </w:lvl>
    <w:lvl w:ilvl="3" w:tplc="F094FE74" w:tentative="1">
      <w:start w:val="1"/>
      <w:numFmt w:val="bullet"/>
      <w:lvlText w:val=""/>
      <w:lvlJc w:val="left"/>
      <w:pPr>
        <w:ind w:left="3600" w:hanging="360"/>
      </w:pPr>
      <w:rPr>
        <w:rFonts w:ascii="Symbol" w:hAnsi="Symbol" w:hint="default"/>
      </w:rPr>
    </w:lvl>
    <w:lvl w:ilvl="4" w:tplc="545CDFB8" w:tentative="1">
      <w:start w:val="1"/>
      <w:numFmt w:val="bullet"/>
      <w:lvlText w:val="o"/>
      <w:lvlJc w:val="left"/>
      <w:pPr>
        <w:ind w:left="4320" w:hanging="360"/>
      </w:pPr>
      <w:rPr>
        <w:rFonts w:ascii="Courier New" w:hAnsi="Courier New" w:cs="Courier New" w:hint="default"/>
      </w:rPr>
    </w:lvl>
    <w:lvl w:ilvl="5" w:tplc="4F947176" w:tentative="1">
      <w:start w:val="1"/>
      <w:numFmt w:val="bullet"/>
      <w:lvlText w:val=""/>
      <w:lvlJc w:val="left"/>
      <w:pPr>
        <w:ind w:left="5040" w:hanging="360"/>
      </w:pPr>
      <w:rPr>
        <w:rFonts w:ascii="Wingdings" w:hAnsi="Wingdings" w:hint="default"/>
      </w:rPr>
    </w:lvl>
    <w:lvl w:ilvl="6" w:tplc="376CA60C" w:tentative="1">
      <w:start w:val="1"/>
      <w:numFmt w:val="bullet"/>
      <w:lvlText w:val=""/>
      <w:lvlJc w:val="left"/>
      <w:pPr>
        <w:ind w:left="5760" w:hanging="360"/>
      </w:pPr>
      <w:rPr>
        <w:rFonts w:ascii="Symbol" w:hAnsi="Symbol" w:hint="default"/>
      </w:rPr>
    </w:lvl>
    <w:lvl w:ilvl="7" w:tplc="A2A4ED2A" w:tentative="1">
      <w:start w:val="1"/>
      <w:numFmt w:val="bullet"/>
      <w:lvlText w:val="o"/>
      <w:lvlJc w:val="left"/>
      <w:pPr>
        <w:ind w:left="6480" w:hanging="360"/>
      </w:pPr>
      <w:rPr>
        <w:rFonts w:ascii="Courier New" w:hAnsi="Courier New" w:cs="Courier New" w:hint="default"/>
      </w:rPr>
    </w:lvl>
    <w:lvl w:ilvl="8" w:tplc="EDFA142A" w:tentative="1">
      <w:start w:val="1"/>
      <w:numFmt w:val="bullet"/>
      <w:lvlText w:val=""/>
      <w:lvlJc w:val="left"/>
      <w:pPr>
        <w:ind w:left="7200" w:hanging="360"/>
      </w:pPr>
      <w:rPr>
        <w:rFonts w:ascii="Wingdings" w:hAnsi="Wingdings" w:hint="default"/>
      </w:rPr>
    </w:lvl>
  </w:abstractNum>
  <w:abstractNum w:abstractNumId="30">
    <w:nsid w:val="4A5D0778"/>
    <w:multiLevelType w:val="hybridMultilevel"/>
    <w:tmpl w:val="C672BB6A"/>
    <w:lvl w:ilvl="0" w:tplc="791EF0B6">
      <w:start w:val="1"/>
      <w:numFmt w:val="bullet"/>
      <w:lvlText w:val=""/>
      <w:lvlJc w:val="left"/>
      <w:pPr>
        <w:ind w:left="360" w:hanging="360"/>
      </w:pPr>
      <w:rPr>
        <w:rFonts w:ascii="Symbol" w:hAnsi="Symbol" w:hint="default"/>
      </w:rPr>
    </w:lvl>
    <w:lvl w:ilvl="1" w:tplc="FDBA587A" w:tentative="1">
      <w:start w:val="1"/>
      <w:numFmt w:val="bullet"/>
      <w:lvlText w:val="o"/>
      <w:lvlJc w:val="left"/>
      <w:pPr>
        <w:ind w:left="1440" w:hanging="360"/>
      </w:pPr>
      <w:rPr>
        <w:rFonts w:ascii="Courier New" w:hAnsi="Courier New" w:cs="Courier New" w:hint="default"/>
      </w:rPr>
    </w:lvl>
    <w:lvl w:ilvl="2" w:tplc="B28C236A" w:tentative="1">
      <w:start w:val="1"/>
      <w:numFmt w:val="bullet"/>
      <w:lvlText w:val=""/>
      <w:lvlJc w:val="left"/>
      <w:pPr>
        <w:ind w:left="2160" w:hanging="360"/>
      </w:pPr>
      <w:rPr>
        <w:rFonts w:ascii="Wingdings" w:hAnsi="Wingdings" w:hint="default"/>
      </w:rPr>
    </w:lvl>
    <w:lvl w:ilvl="3" w:tplc="E0B64D2E" w:tentative="1">
      <w:start w:val="1"/>
      <w:numFmt w:val="bullet"/>
      <w:lvlText w:val=""/>
      <w:lvlJc w:val="left"/>
      <w:pPr>
        <w:ind w:left="2880" w:hanging="360"/>
      </w:pPr>
      <w:rPr>
        <w:rFonts w:ascii="Symbol" w:hAnsi="Symbol" w:hint="default"/>
      </w:rPr>
    </w:lvl>
    <w:lvl w:ilvl="4" w:tplc="6992A6F4" w:tentative="1">
      <w:start w:val="1"/>
      <w:numFmt w:val="bullet"/>
      <w:lvlText w:val="o"/>
      <w:lvlJc w:val="left"/>
      <w:pPr>
        <w:ind w:left="3600" w:hanging="360"/>
      </w:pPr>
      <w:rPr>
        <w:rFonts w:ascii="Courier New" w:hAnsi="Courier New" w:cs="Courier New" w:hint="default"/>
      </w:rPr>
    </w:lvl>
    <w:lvl w:ilvl="5" w:tplc="5E58C774" w:tentative="1">
      <w:start w:val="1"/>
      <w:numFmt w:val="bullet"/>
      <w:lvlText w:val=""/>
      <w:lvlJc w:val="left"/>
      <w:pPr>
        <w:ind w:left="4320" w:hanging="360"/>
      </w:pPr>
      <w:rPr>
        <w:rFonts w:ascii="Wingdings" w:hAnsi="Wingdings" w:hint="default"/>
      </w:rPr>
    </w:lvl>
    <w:lvl w:ilvl="6" w:tplc="50903966" w:tentative="1">
      <w:start w:val="1"/>
      <w:numFmt w:val="bullet"/>
      <w:lvlText w:val=""/>
      <w:lvlJc w:val="left"/>
      <w:pPr>
        <w:ind w:left="5040" w:hanging="360"/>
      </w:pPr>
      <w:rPr>
        <w:rFonts w:ascii="Symbol" w:hAnsi="Symbol" w:hint="default"/>
      </w:rPr>
    </w:lvl>
    <w:lvl w:ilvl="7" w:tplc="8A5A2CD8" w:tentative="1">
      <w:start w:val="1"/>
      <w:numFmt w:val="bullet"/>
      <w:lvlText w:val="o"/>
      <w:lvlJc w:val="left"/>
      <w:pPr>
        <w:ind w:left="5760" w:hanging="360"/>
      </w:pPr>
      <w:rPr>
        <w:rFonts w:ascii="Courier New" w:hAnsi="Courier New" w:cs="Courier New" w:hint="default"/>
      </w:rPr>
    </w:lvl>
    <w:lvl w:ilvl="8" w:tplc="DB6C813E" w:tentative="1">
      <w:start w:val="1"/>
      <w:numFmt w:val="bullet"/>
      <w:lvlText w:val=""/>
      <w:lvlJc w:val="left"/>
      <w:pPr>
        <w:ind w:left="6480" w:hanging="360"/>
      </w:pPr>
      <w:rPr>
        <w:rFonts w:ascii="Wingdings" w:hAnsi="Wingdings" w:hint="default"/>
      </w:rPr>
    </w:lvl>
  </w:abstractNum>
  <w:abstractNum w:abstractNumId="31">
    <w:nsid w:val="4CA106EE"/>
    <w:multiLevelType w:val="hybridMultilevel"/>
    <w:tmpl w:val="9A2AC2BA"/>
    <w:lvl w:ilvl="0" w:tplc="61D0BE0A">
      <w:start w:val="1"/>
      <w:numFmt w:val="bullet"/>
      <w:lvlText w:val=""/>
      <w:lvlJc w:val="left"/>
      <w:pPr>
        <w:ind w:left="360" w:hanging="360"/>
      </w:pPr>
      <w:rPr>
        <w:rFonts w:ascii="Symbol" w:hAnsi="Symbol" w:hint="default"/>
      </w:rPr>
    </w:lvl>
    <w:lvl w:ilvl="1" w:tplc="3AC2A9D6" w:tentative="1">
      <w:start w:val="1"/>
      <w:numFmt w:val="bullet"/>
      <w:lvlText w:val="o"/>
      <w:lvlJc w:val="left"/>
      <w:pPr>
        <w:ind w:left="1440" w:hanging="360"/>
      </w:pPr>
      <w:rPr>
        <w:rFonts w:ascii="Courier New" w:hAnsi="Courier New" w:cs="Courier New" w:hint="default"/>
      </w:rPr>
    </w:lvl>
    <w:lvl w:ilvl="2" w:tplc="EFBCA948" w:tentative="1">
      <w:start w:val="1"/>
      <w:numFmt w:val="bullet"/>
      <w:lvlText w:val=""/>
      <w:lvlJc w:val="left"/>
      <w:pPr>
        <w:ind w:left="2160" w:hanging="360"/>
      </w:pPr>
      <w:rPr>
        <w:rFonts w:ascii="Wingdings" w:hAnsi="Wingdings" w:hint="default"/>
      </w:rPr>
    </w:lvl>
    <w:lvl w:ilvl="3" w:tplc="A1689178" w:tentative="1">
      <w:start w:val="1"/>
      <w:numFmt w:val="bullet"/>
      <w:lvlText w:val=""/>
      <w:lvlJc w:val="left"/>
      <w:pPr>
        <w:ind w:left="2880" w:hanging="360"/>
      </w:pPr>
      <w:rPr>
        <w:rFonts w:ascii="Symbol" w:hAnsi="Symbol" w:hint="default"/>
      </w:rPr>
    </w:lvl>
    <w:lvl w:ilvl="4" w:tplc="2EA269F6" w:tentative="1">
      <w:start w:val="1"/>
      <w:numFmt w:val="bullet"/>
      <w:lvlText w:val="o"/>
      <w:lvlJc w:val="left"/>
      <w:pPr>
        <w:ind w:left="3600" w:hanging="360"/>
      </w:pPr>
      <w:rPr>
        <w:rFonts w:ascii="Courier New" w:hAnsi="Courier New" w:cs="Courier New" w:hint="default"/>
      </w:rPr>
    </w:lvl>
    <w:lvl w:ilvl="5" w:tplc="97B2ECC2" w:tentative="1">
      <w:start w:val="1"/>
      <w:numFmt w:val="bullet"/>
      <w:lvlText w:val=""/>
      <w:lvlJc w:val="left"/>
      <w:pPr>
        <w:ind w:left="4320" w:hanging="360"/>
      </w:pPr>
      <w:rPr>
        <w:rFonts w:ascii="Wingdings" w:hAnsi="Wingdings" w:hint="default"/>
      </w:rPr>
    </w:lvl>
    <w:lvl w:ilvl="6" w:tplc="6FE2B102" w:tentative="1">
      <w:start w:val="1"/>
      <w:numFmt w:val="bullet"/>
      <w:lvlText w:val=""/>
      <w:lvlJc w:val="left"/>
      <w:pPr>
        <w:ind w:left="5040" w:hanging="360"/>
      </w:pPr>
      <w:rPr>
        <w:rFonts w:ascii="Symbol" w:hAnsi="Symbol" w:hint="default"/>
      </w:rPr>
    </w:lvl>
    <w:lvl w:ilvl="7" w:tplc="289AEFD0" w:tentative="1">
      <w:start w:val="1"/>
      <w:numFmt w:val="bullet"/>
      <w:lvlText w:val="o"/>
      <w:lvlJc w:val="left"/>
      <w:pPr>
        <w:ind w:left="5760" w:hanging="360"/>
      </w:pPr>
      <w:rPr>
        <w:rFonts w:ascii="Courier New" w:hAnsi="Courier New" w:cs="Courier New" w:hint="default"/>
      </w:rPr>
    </w:lvl>
    <w:lvl w:ilvl="8" w:tplc="9AF41A24" w:tentative="1">
      <w:start w:val="1"/>
      <w:numFmt w:val="bullet"/>
      <w:lvlText w:val=""/>
      <w:lvlJc w:val="left"/>
      <w:pPr>
        <w:ind w:left="6480" w:hanging="360"/>
      </w:pPr>
      <w:rPr>
        <w:rFonts w:ascii="Wingdings" w:hAnsi="Wingdings" w:hint="default"/>
      </w:rPr>
    </w:lvl>
  </w:abstractNum>
  <w:abstractNum w:abstractNumId="32">
    <w:nsid w:val="4EB0049D"/>
    <w:multiLevelType w:val="hybridMultilevel"/>
    <w:tmpl w:val="B1ACB3D4"/>
    <w:lvl w:ilvl="0" w:tplc="4314E4EC">
      <w:start w:val="1300"/>
      <w:numFmt w:val="bullet"/>
      <w:lvlText w:val="-"/>
      <w:lvlJc w:val="left"/>
      <w:pPr>
        <w:ind w:left="1080" w:hanging="360"/>
      </w:pPr>
      <w:rPr>
        <w:rFonts w:ascii="Arial" w:eastAsia="Times New Roman" w:hAnsi="Arial" w:cs="Arial" w:hint="default"/>
      </w:rPr>
    </w:lvl>
    <w:lvl w:ilvl="1" w:tplc="E754316E" w:tentative="1">
      <w:start w:val="1"/>
      <w:numFmt w:val="bullet"/>
      <w:lvlText w:val="o"/>
      <w:lvlJc w:val="left"/>
      <w:pPr>
        <w:ind w:left="1800" w:hanging="360"/>
      </w:pPr>
      <w:rPr>
        <w:rFonts w:ascii="Courier New" w:hAnsi="Courier New" w:cs="Courier New" w:hint="default"/>
      </w:rPr>
    </w:lvl>
    <w:lvl w:ilvl="2" w:tplc="CA48E4D2" w:tentative="1">
      <w:start w:val="1"/>
      <w:numFmt w:val="bullet"/>
      <w:lvlText w:val=""/>
      <w:lvlJc w:val="left"/>
      <w:pPr>
        <w:ind w:left="2520" w:hanging="360"/>
      </w:pPr>
      <w:rPr>
        <w:rFonts w:ascii="Wingdings" w:hAnsi="Wingdings" w:hint="default"/>
      </w:rPr>
    </w:lvl>
    <w:lvl w:ilvl="3" w:tplc="0BEEF758" w:tentative="1">
      <w:start w:val="1"/>
      <w:numFmt w:val="bullet"/>
      <w:lvlText w:val=""/>
      <w:lvlJc w:val="left"/>
      <w:pPr>
        <w:ind w:left="3240" w:hanging="360"/>
      </w:pPr>
      <w:rPr>
        <w:rFonts w:ascii="Symbol" w:hAnsi="Symbol" w:hint="default"/>
      </w:rPr>
    </w:lvl>
    <w:lvl w:ilvl="4" w:tplc="A1FE129E" w:tentative="1">
      <w:start w:val="1"/>
      <w:numFmt w:val="bullet"/>
      <w:lvlText w:val="o"/>
      <w:lvlJc w:val="left"/>
      <w:pPr>
        <w:ind w:left="3960" w:hanging="360"/>
      </w:pPr>
      <w:rPr>
        <w:rFonts w:ascii="Courier New" w:hAnsi="Courier New" w:cs="Courier New" w:hint="default"/>
      </w:rPr>
    </w:lvl>
    <w:lvl w:ilvl="5" w:tplc="86DAF0E0" w:tentative="1">
      <w:start w:val="1"/>
      <w:numFmt w:val="bullet"/>
      <w:lvlText w:val=""/>
      <w:lvlJc w:val="left"/>
      <w:pPr>
        <w:ind w:left="4680" w:hanging="360"/>
      </w:pPr>
      <w:rPr>
        <w:rFonts w:ascii="Wingdings" w:hAnsi="Wingdings" w:hint="default"/>
      </w:rPr>
    </w:lvl>
    <w:lvl w:ilvl="6" w:tplc="529C9132" w:tentative="1">
      <w:start w:val="1"/>
      <w:numFmt w:val="bullet"/>
      <w:lvlText w:val=""/>
      <w:lvlJc w:val="left"/>
      <w:pPr>
        <w:ind w:left="5400" w:hanging="360"/>
      </w:pPr>
      <w:rPr>
        <w:rFonts w:ascii="Symbol" w:hAnsi="Symbol" w:hint="default"/>
      </w:rPr>
    </w:lvl>
    <w:lvl w:ilvl="7" w:tplc="BA7E1440" w:tentative="1">
      <w:start w:val="1"/>
      <w:numFmt w:val="bullet"/>
      <w:lvlText w:val="o"/>
      <w:lvlJc w:val="left"/>
      <w:pPr>
        <w:ind w:left="6120" w:hanging="360"/>
      </w:pPr>
      <w:rPr>
        <w:rFonts w:ascii="Courier New" w:hAnsi="Courier New" w:cs="Courier New" w:hint="default"/>
      </w:rPr>
    </w:lvl>
    <w:lvl w:ilvl="8" w:tplc="4B124742" w:tentative="1">
      <w:start w:val="1"/>
      <w:numFmt w:val="bullet"/>
      <w:lvlText w:val=""/>
      <w:lvlJc w:val="left"/>
      <w:pPr>
        <w:ind w:left="6840" w:hanging="360"/>
      </w:pPr>
      <w:rPr>
        <w:rFonts w:ascii="Wingdings" w:hAnsi="Wingdings" w:hint="default"/>
      </w:rPr>
    </w:lvl>
  </w:abstractNum>
  <w:abstractNum w:abstractNumId="33">
    <w:nsid w:val="559D378E"/>
    <w:multiLevelType w:val="hybridMultilevel"/>
    <w:tmpl w:val="160ABD78"/>
    <w:lvl w:ilvl="0" w:tplc="13D07A4C">
      <w:start w:val="1"/>
      <w:numFmt w:val="bullet"/>
      <w:lvlText w:val=""/>
      <w:lvlJc w:val="left"/>
      <w:pPr>
        <w:ind w:left="720" w:hanging="360"/>
      </w:pPr>
      <w:rPr>
        <w:rFonts w:ascii="Symbol" w:hAnsi="Symbol" w:hint="default"/>
      </w:rPr>
    </w:lvl>
    <w:lvl w:ilvl="1" w:tplc="541AC726" w:tentative="1">
      <w:start w:val="1"/>
      <w:numFmt w:val="bullet"/>
      <w:lvlText w:val="o"/>
      <w:lvlJc w:val="left"/>
      <w:pPr>
        <w:ind w:left="1440" w:hanging="360"/>
      </w:pPr>
      <w:rPr>
        <w:rFonts w:ascii="Courier New" w:hAnsi="Courier New" w:cs="Courier New" w:hint="default"/>
      </w:rPr>
    </w:lvl>
    <w:lvl w:ilvl="2" w:tplc="871A6B7A" w:tentative="1">
      <w:start w:val="1"/>
      <w:numFmt w:val="bullet"/>
      <w:lvlText w:val=""/>
      <w:lvlJc w:val="left"/>
      <w:pPr>
        <w:ind w:left="2160" w:hanging="360"/>
      </w:pPr>
      <w:rPr>
        <w:rFonts w:ascii="Wingdings" w:hAnsi="Wingdings" w:hint="default"/>
      </w:rPr>
    </w:lvl>
    <w:lvl w:ilvl="3" w:tplc="A15CF966" w:tentative="1">
      <w:start w:val="1"/>
      <w:numFmt w:val="bullet"/>
      <w:lvlText w:val=""/>
      <w:lvlJc w:val="left"/>
      <w:pPr>
        <w:ind w:left="2880" w:hanging="360"/>
      </w:pPr>
      <w:rPr>
        <w:rFonts w:ascii="Symbol" w:hAnsi="Symbol" w:hint="default"/>
      </w:rPr>
    </w:lvl>
    <w:lvl w:ilvl="4" w:tplc="4E2C7300" w:tentative="1">
      <w:start w:val="1"/>
      <w:numFmt w:val="bullet"/>
      <w:lvlText w:val="o"/>
      <w:lvlJc w:val="left"/>
      <w:pPr>
        <w:ind w:left="3600" w:hanging="360"/>
      </w:pPr>
      <w:rPr>
        <w:rFonts w:ascii="Courier New" w:hAnsi="Courier New" w:cs="Courier New" w:hint="default"/>
      </w:rPr>
    </w:lvl>
    <w:lvl w:ilvl="5" w:tplc="606A26A4" w:tentative="1">
      <w:start w:val="1"/>
      <w:numFmt w:val="bullet"/>
      <w:lvlText w:val=""/>
      <w:lvlJc w:val="left"/>
      <w:pPr>
        <w:ind w:left="4320" w:hanging="360"/>
      </w:pPr>
      <w:rPr>
        <w:rFonts w:ascii="Wingdings" w:hAnsi="Wingdings" w:hint="default"/>
      </w:rPr>
    </w:lvl>
    <w:lvl w:ilvl="6" w:tplc="D8DE7F4A" w:tentative="1">
      <w:start w:val="1"/>
      <w:numFmt w:val="bullet"/>
      <w:lvlText w:val=""/>
      <w:lvlJc w:val="left"/>
      <w:pPr>
        <w:ind w:left="5040" w:hanging="360"/>
      </w:pPr>
      <w:rPr>
        <w:rFonts w:ascii="Symbol" w:hAnsi="Symbol" w:hint="default"/>
      </w:rPr>
    </w:lvl>
    <w:lvl w:ilvl="7" w:tplc="9FA65500" w:tentative="1">
      <w:start w:val="1"/>
      <w:numFmt w:val="bullet"/>
      <w:lvlText w:val="o"/>
      <w:lvlJc w:val="left"/>
      <w:pPr>
        <w:ind w:left="5760" w:hanging="360"/>
      </w:pPr>
      <w:rPr>
        <w:rFonts w:ascii="Courier New" w:hAnsi="Courier New" w:cs="Courier New" w:hint="default"/>
      </w:rPr>
    </w:lvl>
    <w:lvl w:ilvl="8" w:tplc="6682F574" w:tentative="1">
      <w:start w:val="1"/>
      <w:numFmt w:val="bullet"/>
      <w:lvlText w:val=""/>
      <w:lvlJc w:val="left"/>
      <w:pPr>
        <w:ind w:left="6480" w:hanging="360"/>
      </w:pPr>
      <w:rPr>
        <w:rFonts w:ascii="Wingdings" w:hAnsi="Wingdings" w:hint="default"/>
      </w:rPr>
    </w:lvl>
  </w:abstractNum>
  <w:abstractNum w:abstractNumId="34">
    <w:nsid w:val="56D56513"/>
    <w:multiLevelType w:val="multilevel"/>
    <w:tmpl w:val="D32A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32056A"/>
    <w:multiLevelType w:val="hybridMultilevel"/>
    <w:tmpl w:val="BC9E89A2"/>
    <w:lvl w:ilvl="0" w:tplc="EB3E4948">
      <w:start w:val="1"/>
      <w:numFmt w:val="bullet"/>
      <w:lvlText w:val=""/>
      <w:lvlJc w:val="left"/>
      <w:pPr>
        <w:ind w:left="720" w:hanging="360"/>
      </w:pPr>
      <w:rPr>
        <w:rFonts w:ascii="Wingdings" w:hAnsi="Wingdings" w:hint="default"/>
      </w:rPr>
    </w:lvl>
    <w:lvl w:ilvl="1" w:tplc="A7BC5856">
      <w:start w:val="1"/>
      <w:numFmt w:val="bullet"/>
      <w:lvlText w:val="o"/>
      <w:lvlJc w:val="left"/>
      <w:pPr>
        <w:ind w:left="1440" w:hanging="360"/>
      </w:pPr>
      <w:rPr>
        <w:rFonts w:ascii="Courier New" w:hAnsi="Courier New" w:cs="Courier New" w:hint="default"/>
      </w:rPr>
    </w:lvl>
    <w:lvl w:ilvl="2" w:tplc="667AB894" w:tentative="1">
      <w:start w:val="1"/>
      <w:numFmt w:val="bullet"/>
      <w:lvlText w:val=""/>
      <w:lvlJc w:val="left"/>
      <w:pPr>
        <w:ind w:left="2160" w:hanging="360"/>
      </w:pPr>
      <w:rPr>
        <w:rFonts w:ascii="Wingdings" w:hAnsi="Wingdings" w:hint="default"/>
      </w:rPr>
    </w:lvl>
    <w:lvl w:ilvl="3" w:tplc="97D06A3A" w:tentative="1">
      <w:start w:val="1"/>
      <w:numFmt w:val="bullet"/>
      <w:lvlText w:val=""/>
      <w:lvlJc w:val="left"/>
      <w:pPr>
        <w:ind w:left="2880" w:hanging="360"/>
      </w:pPr>
      <w:rPr>
        <w:rFonts w:ascii="Symbol" w:hAnsi="Symbol" w:hint="default"/>
      </w:rPr>
    </w:lvl>
    <w:lvl w:ilvl="4" w:tplc="AA4CBCFE" w:tentative="1">
      <w:start w:val="1"/>
      <w:numFmt w:val="bullet"/>
      <w:lvlText w:val="o"/>
      <w:lvlJc w:val="left"/>
      <w:pPr>
        <w:ind w:left="3600" w:hanging="360"/>
      </w:pPr>
      <w:rPr>
        <w:rFonts w:ascii="Courier New" w:hAnsi="Courier New" w:cs="Courier New" w:hint="default"/>
      </w:rPr>
    </w:lvl>
    <w:lvl w:ilvl="5" w:tplc="CE04F64A" w:tentative="1">
      <w:start w:val="1"/>
      <w:numFmt w:val="bullet"/>
      <w:lvlText w:val=""/>
      <w:lvlJc w:val="left"/>
      <w:pPr>
        <w:ind w:left="4320" w:hanging="360"/>
      </w:pPr>
      <w:rPr>
        <w:rFonts w:ascii="Wingdings" w:hAnsi="Wingdings" w:hint="default"/>
      </w:rPr>
    </w:lvl>
    <w:lvl w:ilvl="6" w:tplc="21C4E900" w:tentative="1">
      <w:start w:val="1"/>
      <w:numFmt w:val="bullet"/>
      <w:lvlText w:val=""/>
      <w:lvlJc w:val="left"/>
      <w:pPr>
        <w:ind w:left="5040" w:hanging="360"/>
      </w:pPr>
      <w:rPr>
        <w:rFonts w:ascii="Symbol" w:hAnsi="Symbol" w:hint="default"/>
      </w:rPr>
    </w:lvl>
    <w:lvl w:ilvl="7" w:tplc="44F86972" w:tentative="1">
      <w:start w:val="1"/>
      <w:numFmt w:val="bullet"/>
      <w:lvlText w:val="o"/>
      <w:lvlJc w:val="left"/>
      <w:pPr>
        <w:ind w:left="5760" w:hanging="360"/>
      </w:pPr>
      <w:rPr>
        <w:rFonts w:ascii="Courier New" w:hAnsi="Courier New" w:cs="Courier New" w:hint="default"/>
      </w:rPr>
    </w:lvl>
    <w:lvl w:ilvl="8" w:tplc="9F1EEB58" w:tentative="1">
      <w:start w:val="1"/>
      <w:numFmt w:val="bullet"/>
      <w:lvlText w:val=""/>
      <w:lvlJc w:val="left"/>
      <w:pPr>
        <w:ind w:left="6480" w:hanging="360"/>
      </w:pPr>
      <w:rPr>
        <w:rFonts w:ascii="Wingdings" w:hAnsi="Wingdings" w:hint="default"/>
      </w:rPr>
    </w:lvl>
  </w:abstractNum>
  <w:abstractNum w:abstractNumId="36">
    <w:nsid w:val="5DDA2B69"/>
    <w:multiLevelType w:val="hybridMultilevel"/>
    <w:tmpl w:val="661EEF7C"/>
    <w:lvl w:ilvl="0" w:tplc="9F948F28">
      <w:start w:val="49"/>
      <w:numFmt w:val="bullet"/>
      <w:lvlText w:val="-"/>
      <w:lvlJc w:val="left"/>
      <w:pPr>
        <w:ind w:left="720" w:hanging="360"/>
      </w:pPr>
      <w:rPr>
        <w:rFonts w:ascii="Arial" w:eastAsia="Times New Roman" w:hAnsi="Arial" w:cs="Arial" w:hint="default"/>
      </w:rPr>
    </w:lvl>
    <w:lvl w:ilvl="1" w:tplc="9DB8169A" w:tentative="1">
      <w:start w:val="1"/>
      <w:numFmt w:val="bullet"/>
      <w:lvlText w:val="o"/>
      <w:lvlJc w:val="left"/>
      <w:pPr>
        <w:ind w:left="1440" w:hanging="360"/>
      </w:pPr>
      <w:rPr>
        <w:rFonts w:ascii="Courier New" w:hAnsi="Courier New" w:cs="Courier New" w:hint="default"/>
      </w:rPr>
    </w:lvl>
    <w:lvl w:ilvl="2" w:tplc="7042FCD0" w:tentative="1">
      <w:start w:val="1"/>
      <w:numFmt w:val="bullet"/>
      <w:lvlText w:val=""/>
      <w:lvlJc w:val="left"/>
      <w:pPr>
        <w:ind w:left="2160" w:hanging="360"/>
      </w:pPr>
      <w:rPr>
        <w:rFonts w:ascii="Wingdings" w:hAnsi="Wingdings" w:hint="default"/>
      </w:rPr>
    </w:lvl>
    <w:lvl w:ilvl="3" w:tplc="58F42536" w:tentative="1">
      <w:start w:val="1"/>
      <w:numFmt w:val="bullet"/>
      <w:lvlText w:val=""/>
      <w:lvlJc w:val="left"/>
      <w:pPr>
        <w:ind w:left="2880" w:hanging="360"/>
      </w:pPr>
      <w:rPr>
        <w:rFonts w:ascii="Symbol" w:hAnsi="Symbol" w:hint="default"/>
      </w:rPr>
    </w:lvl>
    <w:lvl w:ilvl="4" w:tplc="EBE8A1A0" w:tentative="1">
      <w:start w:val="1"/>
      <w:numFmt w:val="bullet"/>
      <w:lvlText w:val="o"/>
      <w:lvlJc w:val="left"/>
      <w:pPr>
        <w:ind w:left="3600" w:hanging="360"/>
      </w:pPr>
      <w:rPr>
        <w:rFonts w:ascii="Courier New" w:hAnsi="Courier New" w:cs="Courier New" w:hint="default"/>
      </w:rPr>
    </w:lvl>
    <w:lvl w:ilvl="5" w:tplc="F68AD6B0" w:tentative="1">
      <w:start w:val="1"/>
      <w:numFmt w:val="bullet"/>
      <w:lvlText w:val=""/>
      <w:lvlJc w:val="left"/>
      <w:pPr>
        <w:ind w:left="4320" w:hanging="360"/>
      </w:pPr>
      <w:rPr>
        <w:rFonts w:ascii="Wingdings" w:hAnsi="Wingdings" w:hint="default"/>
      </w:rPr>
    </w:lvl>
    <w:lvl w:ilvl="6" w:tplc="B67A08A0" w:tentative="1">
      <w:start w:val="1"/>
      <w:numFmt w:val="bullet"/>
      <w:lvlText w:val=""/>
      <w:lvlJc w:val="left"/>
      <w:pPr>
        <w:ind w:left="5040" w:hanging="360"/>
      </w:pPr>
      <w:rPr>
        <w:rFonts w:ascii="Symbol" w:hAnsi="Symbol" w:hint="default"/>
      </w:rPr>
    </w:lvl>
    <w:lvl w:ilvl="7" w:tplc="22D2226E" w:tentative="1">
      <w:start w:val="1"/>
      <w:numFmt w:val="bullet"/>
      <w:lvlText w:val="o"/>
      <w:lvlJc w:val="left"/>
      <w:pPr>
        <w:ind w:left="5760" w:hanging="360"/>
      </w:pPr>
      <w:rPr>
        <w:rFonts w:ascii="Courier New" w:hAnsi="Courier New" w:cs="Courier New" w:hint="default"/>
      </w:rPr>
    </w:lvl>
    <w:lvl w:ilvl="8" w:tplc="1B98E11C" w:tentative="1">
      <w:start w:val="1"/>
      <w:numFmt w:val="bullet"/>
      <w:lvlText w:val=""/>
      <w:lvlJc w:val="left"/>
      <w:pPr>
        <w:ind w:left="6480" w:hanging="360"/>
      </w:pPr>
      <w:rPr>
        <w:rFonts w:ascii="Wingdings" w:hAnsi="Wingdings" w:hint="default"/>
      </w:rPr>
    </w:lvl>
  </w:abstractNum>
  <w:abstractNum w:abstractNumId="37">
    <w:nsid w:val="63156739"/>
    <w:multiLevelType w:val="multilevel"/>
    <w:tmpl w:val="9D600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AF7F81"/>
    <w:multiLevelType w:val="hybridMultilevel"/>
    <w:tmpl w:val="2DBE1FAA"/>
    <w:lvl w:ilvl="0" w:tplc="0414ACE6">
      <w:start w:val="1"/>
      <w:numFmt w:val="bullet"/>
      <w:lvlText w:val=""/>
      <w:lvlJc w:val="left"/>
      <w:pPr>
        <w:ind w:left="720" w:hanging="360"/>
      </w:pPr>
      <w:rPr>
        <w:rFonts w:ascii="Symbol" w:hAnsi="Symbol" w:hint="default"/>
      </w:rPr>
    </w:lvl>
    <w:lvl w:ilvl="1" w:tplc="635AC9A2" w:tentative="1">
      <w:start w:val="1"/>
      <w:numFmt w:val="bullet"/>
      <w:lvlText w:val="o"/>
      <w:lvlJc w:val="left"/>
      <w:pPr>
        <w:ind w:left="2160" w:hanging="360"/>
      </w:pPr>
      <w:rPr>
        <w:rFonts w:ascii="Courier New" w:hAnsi="Courier New" w:cs="Courier New" w:hint="default"/>
      </w:rPr>
    </w:lvl>
    <w:lvl w:ilvl="2" w:tplc="EC4828CE" w:tentative="1">
      <w:start w:val="1"/>
      <w:numFmt w:val="bullet"/>
      <w:lvlText w:val=""/>
      <w:lvlJc w:val="left"/>
      <w:pPr>
        <w:ind w:left="2880" w:hanging="360"/>
      </w:pPr>
      <w:rPr>
        <w:rFonts w:ascii="Wingdings" w:hAnsi="Wingdings" w:hint="default"/>
      </w:rPr>
    </w:lvl>
    <w:lvl w:ilvl="3" w:tplc="F3383360" w:tentative="1">
      <w:start w:val="1"/>
      <w:numFmt w:val="bullet"/>
      <w:lvlText w:val=""/>
      <w:lvlJc w:val="left"/>
      <w:pPr>
        <w:ind w:left="3600" w:hanging="360"/>
      </w:pPr>
      <w:rPr>
        <w:rFonts w:ascii="Symbol" w:hAnsi="Symbol" w:hint="default"/>
      </w:rPr>
    </w:lvl>
    <w:lvl w:ilvl="4" w:tplc="3CF02554" w:tentative="1">
      <w:start w:val="1"/>
      <w:numFmt w:val="bullet"/>
      <w:lvlText w:val="o"/>
      <w:lvlJc w:val="left"/>
      <w:pPr>
        <w:ind w:left="4320" w:hanging="360"/>
      </w:pPr>
      <w:rPr>
        <w:rFonts w:ascii="Courier New" w:hAnsi="Courier New" w:cs="Courier New" w:hint="default"/>
      </w:rPr>
    </w:lvl>
    <w:lvl w:ilvl="5" w:tplc="590A65AA" w:tentative="1">
      <w:start w:val="1"/>
      <w:numFmt w:val="bullet"/>
      <w:lvlText w:val=""/>
      <w:lvlJc w:val="left"/>
      <w:pPr>
        <w:ind w:left="5040" w:hanging="360"/>
      </w:pPr>
      <w:rPr>
        <w:rFonts w:ascii="Wingdings" w:hAnsi="Wingdings" w:hint="default"/>
      </w:rPr>
    </w:lvl>
    <w:lvl w:ilvl="6" w:tplc="B33A5004" w:tentative="1">
      <w:start w:val="1"/>
      <w:numFmt w:val="bullet"/>
      <w:lvlText w:val=""/>
      <w:lvlJc w:val="left"/>
      <w:pPr>
        <w:ind w:left="5760" w:hanging="360"/>
      </w:pPr>
      <w:rPr>
        <w:rFonts w:ascii="Symbol" w:hAnsi="Symbol" w:hint="default"/>
      </w:rPr>
    </w:lvl>
    <w:lvl w:ilvl="7" w:tplc="1890D608" w:tentative="1">
      <w:start w:val="1"/>
      <w:numFmt w:val="bullet"/>
      <w:lvlText w:val="o"/>
      <w:lvlJc w:val="left"/>
      <w:pPr>
        <w:ind w:left="6480" w:hanging="360"/>
      </w:pPr>
      <w:rPr>
        <w:rFonts w:ascii="Courier New" w:hAnsi="Courier New" w:cs="Courier New" w:hint="default"/>
      </w:rPr>
    </w:lvl>
    <w:lvl w:ilvl="8" w:tplc="91F260E2" w:tentative="1">
      <w:start w:val="1"/>
      <w:numFmt w:val="bullet"/>
      <w:lvlText w:val=""/>
      <w:lvlJc w:val="left"/>
      <w:pPr>
        <w:ind w:left="7200" w:hanging="360"/>
      </w:pPr>
      <w:rPr>
        <w:rFonts w:ascii="Wingdings" w:hAnsi="Wingdings" w:hint="default"/>
      </w:rPr>
    </w:lvl>
  </w:abstractNum>
  <w:abstractNum w:abstractNumId="39">
    <w:nsid w:val="6C250E84"/>
    <w:multiLevelType w:val="hybridMultilevel"/>
    <w:tmpl w:val="E1A4091A"/>
    <w:lvl w:ilvl="0" w:tplc="D02CC8AE">
      <w:start w:val="1300"/>
      <w:numFmt w:val="bullet"/>
      <w:lvlText w:val="-"/>
      <w:lvlJc w:val="left"/>
      <w:pPr>
        <w:ind w:left="720" w:hanging="360"/>
      </w:pPr>
      <w:rPr>
        <w:rFonts w:ascii="Times New Roman" w:eastAsia="Times New Roman" w:hAnsi="Times New Roman" w:cs="Times New Roman" w:hint="default"/>
      </w:rPr>
    </w:lvl>
    <w:lvl w:ilvl="1" w:tplc="37D0869C" w:tentative="1">
      <w:start w:val="1"/>
      <w:numFmt w:val="bullet"/>
      <w:lvlText w:val="o"/>
      <w:lvlJc w:val="left"/>
      <w:pPr>
        <w:ind w:left="1440" w:hanging="360"/>
      </w:pPr>
      <w:rPr>
        <w:rFonts w:ascii="Courier New" w:hAnsi="Courier New" w:cs="Courier New" w:hint="default"/>
      </w:rPr>
    </w:lvl>
    <w:lvl w:ilvl="2" w:tplc="8AC64A8E" w:tentative="1">
      <w:start w:val="1"/>
      <w:numFmt w:val="bullet"/>
      <w:lvlText w:val=""/>
      <w:lvlJc w:val="left"/>
      <w:pPr>
        <w:ind w:left="2160" w:hanging="360"/>
      </w:pPr>
      <w:rPr>
        <w:rFonts w:ascii="Wingdings" w:hAnsi="Wingdings" w:hint="default"/>
      </w:rPr>
    </w:lvl>
    <w:lvl w:ilvl="3" w:tplc="84C4C076" w:tentative="1">
      <w:start w:val="1"/>
      <w:numFmt w:val="bullet"/>
      <w:lvlText w:val=""/>
      <w:lvlJc w:val="left"/>
      <w:pPr>
        <w:ind w:left="2880" w:hanging="360"/>
      </w:pPr>
      <w:rPr>
        <w:rFonts w:ascii="Symbol" w:hAnsi="Symbol" w:hint="default"/>
      </w:rPr>
    </w:lvl>
    <w:lvl w:ilvl="4" w:tplc="EBCA602C" w:tentative="1">
      <w:start w:val="1"/>
      <w:numFmt w:val="bullet"/>
      <w:lvlText w:val="o"/>
      <w:lvlJc w:val="left"/>
      <w:pPr>
        <w:ind w:left="3600" w:hanging="360"/>
      </w:pPr>
      <w:rPr>
        <w:rFonts w:ascii="Courier New" w:hAnsi="Courier New" w:cs="Courier New" w:hint="default"/>
      </w:rPr>
    </w:lvl>
    <w:lvl w:ilvl="5" w:tplc="1458B046" w:tentative="1">
      <w:start w:val="1"/>
      <w:numFmt w:val="bullet"/>
      <w:lvlText w:val=""/>
      <w:lvlJc w:val="left"/>
      <w:pPr>
        <w:ind w:left="4320" w:hanging="360"/>
      </w:pPr>
      <w:rPr>
        <w:rFonts w:ascii="Wingdings" w:hAnsi="Wingdings" w:hint="default"/>
      </w:rPr>
    </w:lvl>
    <w:lvl w:ilvl="6" w:tplc="1082C23A" w:tentative="1">
      <w:start w:val="1"/>
      <w:numFmt w:val="bullet"/>
      <w:lvlText w:val=""/>
      <w:lvlJc w:val="left"/>
      <w:pPr>
        <w:ind w:left="5040" w:hanging="360"/>
      </w:pPr>
      <w:rPr>
        <w:rFonts w:ascii="Symbol" w:hAnsi="Symbol" w:hint="default"/>
      </w:rPr>
    </w:lvl>
    <w:lvl w:ilvl="7" w:tplc="D3CCC100" w:tentative="1">
      <w:start w:val="1"/>
      <w:numFmt w:val="bullet"/>
      <w:lvlText w:val="o"/>
      <w:lvlJc w:val="left"/>
      <w:pPr>
        <w:ind w:left="5760" w:hanging="360"/>
      </w:pPr>
      <w:rPr>
        <w:rFonts w:ascii="Courier New" w:hAnsi="Courier New" w:cs="Courier New" w:hint="default"/>
      </w:rPr>
    </w:lvl>
    <w:lvl w:ilvl="8" w:tplc="9D7C2A0A" w:tentative="1">
      <w:start w:val="1"/>
      <w:numFmt w:val="bullet"/>
      <w:lvlText w:val=""/>
      <w:lvlJc w:val="left"/>
      <w:pPr>
        <w:ind w:left="6480" w:hanging="360"/>
      </w:pPr>
      <w:rPr>
        <w:rFonts w:ascii="Wingdings" w:hAnsi="Wingdings" w:hint="default"/>
      </w:rPr>
    </w:lvl>
  </w:abstractNum>
  <w:abstractNum w:abstractNumId="40">
    <w:nsid w:val="6D93694A"/>
    <w:multiLevelType w:val="multilevel"/>
    <w:tmpl w:val="111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062129"/>
    <w:multiLevelType w:val="hybridMultilevel"/>
    <w:tmpl w:val="7D40A506"/>
    <w:lvl w:ilvl="0" w:tplc="9D9CD494">
      <w:start w:val="49"/>
      <w:numFmt w:val="bullet"/>
      <w:lvlText w:val="-"/>
      <w:lvlJc w:val="left"/>
      <w:pPr>
        <w:ind w:left="720" w:hanging="360"/>
      </w:pPr>
      <w:rPr>
        <w:rFonts w:ascii="Calibri" w:eastAsiaTheme="minorHAnsi" w:hAnsi="Calibri" w:cstheme="minorBidi" w:hint="default"/>
      </w:rPr>
    </w:lvl>
    <w:lvl w:ilvl="1" w:tplc="DE5C145E">
      <w:start w:val="1"/>
      <w:numFmt w:val="bullet"/>
      <w:lvlText w:val="o"/>
      <w:lvlJc w:val="left"/>
      <w:pPr>
        <w:ind w:left="1440" w:hanging="360"/>
      </w:pPr>
      <w:rPr>
        <w:rFonts w:ascii="Courier New" w:hAnsi="Courier New" w:cs="Courier New" w:hint="default"/>
      </w:rPr>
    </w:lvl>
    <w:lvl w:ilvl="2" w:tplc="E2964486">
      <w:start w:val="1"/>
      <w:numFmt w:val="bullet"/>
      <w:lvlText w:val=""/>
      <w:lvlJc w:val="left"/>
      <w:pPr>
        <w:ind w:left="2160" w:hanging="360"/>
      </w:pPr>
      <w:rPr>
        <w:rFonts w:ascii="Wingdings" w:hAnsi="Wingdings" w:hint="default"/>
      </w:rPr>
    </w:lvl>
    <w:lvl w:ilvl="3" w:tplc="1A0A627A" w:tentative="1">
      <w:start w:val="1"/>
      <w:numFmt w:val="bullet"/>
      <w:lvlText w:val=""/>
      <w:lvlJc w:val="left"/>
      <w:pPr>
        <w:ind w:left="2880" w:hanging="360"/>
      </w:pPr>
      <w:rPr>
        <w:rFonts w:ascii="Symbol" w:hAnsi="Symbol" w:hint="default"/>
      </w:rPr>
    </w:lvl>
    <w:lvl w:ilvl="4" w:tplc="555042E8" w:tentative="1">
      <w:start w:val="1"/>
      <w:numFmt w:val="bullet"/>
      <w:lvlText w:val="o"/>
      <w:lvlJc w:val="left"/>
      <w:pPr>
        <w:ind w:left="3600" w:hanging="360"/>
      </w:pPr>
      <w:rPr>
        <w:rFonts w:ascii="Courier New" w:hAnsi="Courier New" w:cs="Courier New" w:hint="default"/>
      </w:rPr>
    </w:lvl>
    <w:lvl w:ilvl="5" w:tplc="135E3F96" w:tentative="1">
      <w:start w:val="1"/>
      <w:numFmt w:val="bullet"/>
      <w:lvlText w:val=""/>
      <w:lvlJc w:val="left"/>
      <w:pPr>
        <w:ind w:left="4320" w:hanging="360"/>
      </w:pPr>
      <w:rPr>
        <w:rFonts w:ascii="Wingdings" w:hAnsi="Wingdings" w:hint="default"/>
      </w:rPr>
    </w:lvl>
    <w:lvl w:ilvl="6" w:tplc="E336191E" w:tentative="1">
      <w:start w:val="1"/>
      <w:numFmt w:val="bullet"/>
      <w:lvlText w:val=""/>
      <w:lvlJc w:val="left"/>
      <w:pPr>
        <w:ind w:left="5040" w:hanging="360"/>
      </w:pPr>
      <w:rPr>
        <w:rFonts w:ascii="Symbol" w:hAnsi="Symbol" w:hint="default"/>
      </w:rPr>
    </w:lvl>
    <w:lvl w:ilvl="7" w:tplc="0AE67DB8" w:tentative="1">
      <w:start w:val="1"/>
      <w:numFmt w:val="bullet"/>
      <w:lvlText w:val="o"/>
      <w:lvlJc w:val="left"/>
      <w:pPr>
        <w:ind w:left="5760" w:hanging="360"/>
      </w:pPr>
      <w:rPr>
        <w:rFonts w:ascii="Courier New" w:hAnsi="Courier New" w:cs="Courier New" w:hint="default"/>
      </w:rPr>
    </w:lvl>
    <w:lvl w:ilvl="8" w:tplc="9092BEA6" w:tentative="1">
      <w:start w:val="1"/>
      <w:numFmt w:val="bullet"/>
      <w:lvlText w:val=""/>
      <w:lvlJc w:val="left"/>
      <w:pPr>
        <w:ind w:left="6480" w:hanging="360"/>
      </w:pPr>
      <w:rPr>
        <w:rFonts w:ascii="Wingdings" w:hAnsi="Wingdings" w:hint="default"/>
      </w:rPr>
    </w:lvl>
  </w:abstractNum>
  <w:abstractNum w:abstractNumId="42">
    <w:nsid w:val="7294575E"/>
    <w:multiLevelType w:val="hybridMultilevel"/>
    <w:tmpl w:val="FBEC51F6"/>
    <w:lvl w:ilvl="0" w:tplc="3D72A104">
      <w:start w:val="49"/>
      <w:numFmt w:val="bullet"/>
      <w:lvlText w:val="-"/>
      <w:lvlJc w:val="left"/>
      <w:pPr>
        <w:ind w:left="720" w:hanging="360"/>
      </w:pPr>
      <w:rPr>
        <w:rFonts w:ascii="Arial" w:eastAsia="Times New Roman" w:hAnsi="Arial" w:cs="Arial" w:hint="default"/>
      </w:rPr>
    </w:lvl>
    <w:lvl w:ilvl="1" w:tplc="A114F10C" w:tentative="1">
      <w:start w:val="1"/>
      <w:numFmt w:val="bullet"/>
      <w:lvlText w:val="o"/>
      <w:lvlJc w:val="left"/>
      <w:pPr>
        <w:ind w:left="1440" w:hanging="360"/>
      </w:pPr>
      <w:rPr>
        <w:rFonts w:ascii="Courier New" w:hAnsi="Courier New" w:cs="Courier New" w:hint="default"/>
      </w:rPr>
    </w:lvl>
    <w:lvl w:ilvl="2" w:tplc="E8686678" w:tentative="1">
      <w:start w:val="1"/>
      <w:numFmt w:val="bullet"/>
      <w:lvlText w:val=""/>
      <w:lvlJc w:val="left"/>
      <w:pPr>
        <w:ind w:left="2160" w:hanging="360"/>
      </w:pPr>
      <w:rPr>
        <w:rFonts w:ascii="Wingdings" w:hAnsi="Wingdings" w:hint="default"/>
      </w:rPr>
    </w:lvl>
    <w:lvl w:ilvl="3" w:tplc="69C89A52" w:tentative="1">
      <w:start w:val="1"/>
      <w:numFmt w:val="bullet"/>
      <w:lvlText w:val=""/>
      <w:lvlJc w:val="left"/>
      <w:pPr>
        <w:ind w:left="2880" w:hanging="360"/>
      </w:pPr>
      <w:rPr>
        <w:rFonts w:ascii="Symbol" w:hAnsi="Symbol" w:hint="default"/>
      </w:rPr>
    </w:lvl>
    <w:lvl w:ilvl="4" w:tplc="D8967462" w:tentative="1">
      <w:start w:val="1"/>
      <w:numFmt w:val="bullet"/>
      <w:lvlText w:val="o"/>
      <w:lvlJc w:val="left"/>
      <w:pPr>
        <w:ind w:left="3600" w:hanging="360"/>
      </w:pPr>
      <w:rPr>
        <w:rFonts w:ascii="Courier New" w:hAnsi="Courier New" w:cs="Courier New" w:hint="default"/>
      </w:rPr>
    </w:lvl>
    <w:lvl w:ilvl="5" w:tplc="3F5C3ACE" w:tentative="1">
      <w:start w:val="1"/>
      <w:numFmt w:val="bullet"/>
      <w:lvlText w:val=""/>
      <w:lvlJc w:val="left"/>
      <w:pPr>
        <w:ind w:left="4320" w:hanging="360"/>
      </w:pPr>
      <w:rPr>
        <w:rFonts w:ascii="Wingdings" w:hAnsi="Wingdings" w:hint="default"/>
      </w:rPr>
    </w:lvl>
    <w:lvl w:ilvl="6" w:tplc="72F6DFB4" w:tentative="1">
      <w:start w:val="1"/>
      <w:numFmt w:val="bullet"/>
      <w:lvlText w:val=""/>
      <w:lvlJc w:val="left"/>
      <w:pPr>
        <w:ind w:left="5040" w:hanging="360"/>
      </w:pPr>
      <w:rPr>
        <w:rFonts w:ascii="Symbol" w:hAnsi="Symbol" w:hint="default"/>
      </w:rPr>
    </w:lvl>
    <w:lvl w:ilvl="7" w:tplc="7EA29818" w:tentative="1">
      <w:start w:val="1"/>
      <w:numFmt w:val="bullet"/>
      <w:lvlText w:val="o"/>
      <w:lvlJc w:val="left"/>
      <w:pPr>
        <w:ind w:left="5760" w:hanging="360"/>
      </w:pPr>
      <w:rPr>
        <w:rFonts w:ascii="Courier New" w:hAnsi="Courier New" w:cs="Courier New" w:hint="default"/>
      </w:rPr>
    </w:lvl>
    <w:lvl w:ilvl="8" w:tplc="5ED8195E" w:tentative="1">
      <w:start w:val="1"/>
      <w:numFmt w:val="bullet"/>
      <w:lvlText w:val=""/>
      <w:lvlJc w:val="left"/>
      <w:pPr>
        <w:ind w:left="6480" w:hanging="360"/>
      </w:pPr>
      <w:rPr>
        <w:rFonts w:ascii="Wingdings" w:hAnsi="Wingdings" w:hint="default"/>
      </w:rPr>
    </w:lvl>
  </w:abstractNum>
  <w:abstractNum w:abstractNumId="43">
    <w:nsid w:val="729F7E7E"/>
    <w:multiLevelType w:val="hybridMultilevel"/>
    <w:tmpl w:val="1054EC98"/>
    <w:lvl w:ilvl="0" w:tplc="9C9808CE">
      <w:start w:val="1"/>
      <w:numFmt w:val="bullet"/>
      <w:lvlText w:val=""/>
      <w:lvlJc w:val="left"/>
      <w:pPr>
        <w:ind w:left="720" w:hanging="360"/>
      </w:pPr>
      <w:rPr>
        <w:rFonts w:ascii="Symbol" w:hAnsi="Symbol" w:hint="default"/>
      </w:rPr>
    </w:lvl>
    <w:lvl w:ilvl="1" w:tplc="39BA11AA" w:tentative="1">
      <w:start w:val="1"/>
      <w:numFmt w:val="bullet"/>
      <w:lvlText w:val="o"/>
      <w:lvlJc w:val="left"/>
      <w:pPr>
        <w:ind w:left="1440" w:hanging="360"/>
      </w:pPr>
      <w:rPr>
        <w:rFonts w:ascii="Courier New" w:hAnsi="Courier New" w:cs="Courier New" w:hint="default"/>
      </w:rPr>
    </w:lvl>
    <w:lvl w:ilvl="2" w:tplc="F3943958" w:tentative="1">
      <w:start w:val="1"/>
      <w:numFmt w:val="bullet"/>
      <w:lvlText w:val=""/>
      <w:lvlJc w:val="left"/>
      <w:pPr>
        <w:ind w:left="2160" w:hanging="360"/>
      </w:pPr>
      <w:rPr>
        <w:rFonts w:ascii="Wingdings" w:hAnsi="Wingdings" w:hint="default"/>
      </w:rPr>
    </w:lvl>
    <w:lvl w:ilvl="3" w:tplc="7826D980" w:tentative="1">
      <w:start w:val="1"/>
      <w:numFmt w:val="bullet"/>
      <w:lvlText w:val=""/>
      <w:lvlJc w:val="left"/>
      <w:pPr>
        <w:ind w:left="2880" w:hanging="360"/>
      </w:pPr>
      <w:rPr>
        <w:rFonts w:ascii="Symbol" w:hAnsi="Symbol" w:hint="default"/>
      </w:rPr>
    </w:lvl>
    <w:lvl w:ilvl="4" w:tplc="B3821A9E" w:tentative="1">
      <w:start w:val="1"/>
      <w:numFmt w:val="bullet"/>
      <w:lvlText w:val="o"/>
      <w:lvlJc w:val="left"/>
      <w:pPr>
        <w:ind w:left="3600" w:hanging="360"/>
      </w:pPr>
      <w:rPr>
        <w:rFonts w:ascii="Courier New" w:hAnsi="Courier New" w:cs="Courier New" w:hint="default"/>
      </w:rPr>
    </w:lvl>
    <w:lvl w:ilvl="5" w:tplc="667651A6" w:tentative="1">
      <w:start w:val="1"/>
      <w:numFmt w:val="bullet"/>
      <w:lvlText w:val=""/>
      <w:lvlJc w:val="left"/>
      <w:pPr>
        <w:ind w:left="4320" w:hanging="360"/>
      </w:pPr>
      <w:rPr>
        <w:rFonts w:ascii="Wingdings" w:hAnsi="Wingdings" w:hint="default"/>
      </w:rPr>
    </w:lvl>
    <w:lvl w:ilvl="6" w:tplc="BACCCF8A" w:tentative="1">
      <w:start w:val="1"/>
      <w:numFmt w:val="bullet"/>
      <w:lvlText w:val=""/>
      <w:lvlJc w:val="left"/>
      <w:pPr>
        <w:ind w:left="5040" w:hanging="360"/>
      </w:pPr>
      <w:rPr>
        <w:rFonts w:ascii="Symbol" w:hAnsi="Symbol" w:hint="default"/>
      </w:rPr>
    </w:lvl>
    <w:lvl w:ilvl="7" w:tplc="A0AEA4A2" w:tentative="1">
      <w:start w:val="1"/>
      <w:numFmt w:val="bullet"/>
      <w:lvlText w:val="o"/>
      <w:lvlJc w:val="left"/>
      <w:pPr>
        <w:ind w:left="5760" w:hanging="360"/>
      </w:pPr>
      <w:rPr>
        <w:rFonts w:ascii="Courier New" w:hAnsi="Courier New" w:cs="Courier New" w:hint="default"/>
      </w:rPr>
    </w:lvl>
    <w:lvl w:ilvl="8" w:tplc="48043BF6" w:tentative="1">
      <w:start w:val="1"/>
      <w:numFmt w:val="bullet"/>
      <w:lvlText w:val=""/>
      <w:lvlJc w:val="left"/>
      <w:pPr>
        <w:ind w:left="6480" w:hanging="360"/>
      </w:pPr>
      <w:rPr>
        <w:rFonts w:ascii="Wingdings" w:hAnsi="Wingdings" w:hint="default"/>
      </w:rPr>
    </w:lvl>
  </w:abstractNum>
  <w:abstractNum w:abstractNumId="44">
    <w:nsid w:val="72E630A2"/>
    <w:multiLevelType w:val="hybridMultilevel"/>
    <w:tmpl w:val="0BB4413A"/>
    <w:lvl w:ilvl="0" w:tplc="8EDAB790">
      <w:start w:val="1"/>
      <w:numFmt w:val="bullet"/>
      <w:lvlText w:val=""/>
      <w:lvlJc w:val="left"/>
      <w:pPr>
        <w:ind w:left="720" w:hanging="360"/>
      </w:pPr>
      <w:rPr>
        <w:rFonts w:ascii="Symbol" w:hAnsi="Symbol" w:hint="default"/>
      </w:rPr>
    </w:lvl>
    <w:lvl w:ilvl="1" w:tplc="90D25500" w:tentative="1">
      <w:start w:val="1"/>
      <w:numFmt w:val="bullet"/>
      <w:lvlText w:val="o"/>
      <w:lvlJc w:val="left"/>
      <w:pPr>
        <w:ind w:left="1440" w:hanging="360"/>
      </w:pPr>
      <w:rPr>
        <w:rFonts w:ascii="Courier New" w:hAnsi="Courier New" w:cs="Courier New" w:hint="default"/>
      </w:rPr>
    </w:lvl>
    <w:lvl w:ilvl="2" w:tplc="75AA855C" w:tentative="1">
      <w:start w:val="1"/>
      <w:numFmt w:val="bullet"/>
      <w:lvlText w:val=""/>
      <w:lvlJc w:val="left"/>
      <w:pPr>
        <w:ind w:left="2160" w:hanging="360"/>
      </w:pPr>
      <w:rPr>
        <w:rFonts w:ascii="Wingdings" w:hAnsi="Wingdings" w:hint="default"/>
      </w:rPr>
    </w:lvl>
    <w:lvl w:ilvl="3" w:tplc="94C4C97C" w:tentative="1">
      <w:start w:val="1"/>
      <w:numFmt w:val="bullet"/>
      <w:lvlText w:val=""/>
      <w:lvlJc w:val="left"/>
      <w:pPr>
        <w:ind w:left="2880" w:hanging="360"/>
      </w:pPr>
      <w:rPr>
        <w:rFonts w:ascii="Symbol" w:hAnsi="Symbol" w:hint="default"/>
      </w:rPr>
    </w:lvl>
    <w:lvl w:ilvl="4" w:tplc="14D23F34" w:tentative="1">
      <w:start w:val="1"/>
      <w:numFmt w:val="bullet"/>
      <w:lvlText w:val="o"/>
      <w:lvlJc w:val="left"/>
      <w:pPr>
        <w:ind w:left="3600" w:hanging="360"/>
      </w:pPr>
      <w:rPr>
        <w:rFonts w:ascii="Courier New" w:hAnsi="Courier New" w:cs="Courier New" w:hint="default"/>
      </w:rPr>
    </w:lvl>
    <w:lvl w:ilvl="5" w:tplc="0B32FF96" w:tentative="1">
      <w:start w:val="1"/>
      <w:numFmt w:val="bullet"/>
      <w:lvlText w:val=""/>
      <w:lvlJc w:val="left"/>
      <w:pPr>
        <w:ind w:left="4320" w:hanging="360"/>
      </w:pPr>
      <w:rPr>
        <w:rFonts w:ascii="Wingdings" w:hAnsi="Wingdings" w:hint="default"/>
      </w:rPr>
    </w:lvl>
    <w:lvl w:ilvl="6" w:tplc="D8084B48" w:tentative="1">
      <w:start w:val="1"/>
      <w:numFmt w:val="bullet"/>
      <w:lvlText w:val=""/>
      <w:lvlJc w:val="left"/>
      <w:pPr>
        <w:ind w:left="5040" w:hanging="360"/>
      </w:pPr>
      <w:rPr>
        <w:rFonts w:ascii="Symbol" w:hAnsi="Symbol" w:hint="default"/>
      </w:rPr>
    </w:lvl>
    <w:lvl w:ilvl="7" w:tplc="7AB86C5A" w:tentative="1">
      <w:start w:val="1"/>
      <w:numFmt w:val="bullet"/>
      <w:lvlText w:val="o"/>
      <w:lvlJc w:val="left"/>
      <w:pPr>
        <w:ind w:left="5760" w:hanging="360"/>
      </w:pPr>
      <w:rPr>
        <w:rFonts w:ascii="Courier New" w:hAnsi="Courier New" w:cs="Courier New" w:hint="default"/>
      </w:rPr>
    </w:lvl>
    <w:lvl w:ilvl="8" w:tplc="4D3ED8E6" w:tentative="1">
      <w:start w:val="1"/>
      <w:numFmt w:val="bullet"/>
      <w:lvlText w:val=""/>
      <w:lvlJc w:val="left"/>
      <w:pPr>
        <w:ind w:left="6480" w:hanging="360"/>
      </w:pPr>
      <w:rPr>
        <w:rFonts w:ascii="Wingdings" w:hAnsi="Wingdings" w:hint="default"/>
      </w:rPr>
    </w:lvl>
  </w:abstractNum>
  <w:abstractNum w:abstractNumId="45">
    <w:nsid w:val="7BEF5859"/>
    <w:multiLevelType w:val="hybridMultilevel"/>
    <w:tmpl w:val="71B8120E"/>
    <w:lvl w:ilvl="0" w:tplc="CC3A8354">
      <w:start w:val="1"/>
      <w:numFmt w:val="bullet"/>
      <w:lvlText w:val="-"/>
      <w:lvlJc w:val="left"/>
      <w:pPr>
        <w:ind w:left="360" w:hanging="360"/>
      </w:pPr>
      <w:rPr>
        <w:rFonts w:ascii="Arial" w:eastAsia="Times New Roman" w:hAnsi="Arial" w:cs="Arial" w:hint="default"/>
      </w:rPr>
    </w:lvl>
    <w:lvl w:ilvl="1" w:tplc="C5D8A624">
      <w:start w:val="1"/>
      <w:numFmt w:val="bullet"/>
      <w:lvlText w:val="o"/>
      <w:lvlJc w:val="left"/>
      <w:pPr>
        <w:ind w:left="1080" w:hanging="360"/>
      </w:pPr>
      <w:rPr>
        <w:rFonts w:ascii="Courier New" w:hAnsi="Courier New" w:cs="Courier New" w:hint="default"/>
      </w:rPr>
    </w:lvl>
    <w:lvl w:ilvl="2" w:tplc="2EB8AC7A" w:tentative="1">
      <w:start w:val="1"/>
      <w:numFmt w:val="bullet"/>
      <w:lvlText w:val=""/>
      <w:lvlJc w:val="left"/>
      <w:pPr>
        <w:ind w:left="1800" w:hanging="360"/>
      </w:pPr>
      <w:rPr>
        <w:rFonts w:ascii="Wingdings" w:hAnsi="Wingdings" w:hint="default"/>
      </w:rPr>
    </w:lvl>
    <w:lvl w:ilvl="3" w:tplc="643A9202" w:tentative="1">
      <w:start w:val="1"/>
      <w:numFmt w:val="bullet"/>
      <w:lvlText w:val=""/>
      <w:lvlJc w:val="left"/>
      <w:pPr>
        <w:ind w:left="2520" w:hanging="360"/>
      </w:pPr>
      <w:rPr>
        <w:rFonts w:ascii="Symbol" w:hAnsi="Symbol" w:hint="default"/>
      </w:rPr>
    </w:lvl>
    <w:lvl w:ilvl="4" w:tplc="E3802668" w:tentative="1">
      <w:start w:val="1"/>
      <w:numFmt w:val="bullet"/>
      <w:lvlText w:val="o"/>
      <w:lvlJc w:val="left"/>
      <w:pPr>
        <w:ind w:left="3240" w:hanging="360"/>
      </w:pPr>
      <w:rPr>
        <w:rFonts w:ascii="Courier New" w:hAnsi="Courier New" w:cs="Courier New" w:hint="default"/>
      </w:rPr>
    </w:lvl>
    <w:lvl w:ilvl="5" w:tplc="EF427632" w:tentative="1">
      <w:start w:val="1"/>
      <w:numFmt w:val="bullet"/>
      <w:lvlText w:val=""/>
      <w:lvlJc w:val="left"/>
      <w:pPr>
        <w:ind w:left="3960" w:hanging="360"/>
      </w:pPr>
      <w:rPr>
        <w:rFonts w:ascii="Wingdings" w:hAnsi="Wingdings" w:hint="default"/>
      </w:rPr>
    </w:lvl>
    <w:lvl w:ilvl="6" w:tplc="D39496E6" w:tentative="1">
      <w:start w:val="1"/>
      <w:numFmt w:val="bullet"/>
      <w:lvlText w:val=""/>
      <w:lvlJc w:val="left"/>
      <w:pPr>
        <w:ind w:left="4680" w:hanging="360"/>
      </w:pPr>
      <w:rPr>
        <w:rFonts w:ascii="Symbol" w:hAnsi="Symbol" w:hint="default"/>
      </w:rPr>
    </w:lvl>
    <w:lvl w:ilvl="7" w:tplc="5CE65DF0" w:tentative="1">
      <w:start w:val="1"/>
      <w:numFmt w:val="bullet"/>
      <w:lvlText w:val="o"/>
      <w:lvlJc w:val="left"/>
      <w:pPr>
        <w:ind w:left="5400" w:hanging="360"/>
      </w:pPr>
      <w:rPr>
        <w:rFonts w:ascii="Courier New" w:hAnsi="Courier New" w:cs="Courier New" w:hint="default"/>
      </w:rPr>
    </w:lvl>
    <w:lvl w:ilvl="8" w:tplc="13504AF2" w:tentative="1">
      <w:start w:val="1"/>
      <w:numFmt w:val="bullet"/>
      <w:lvlText w:val=""/>
      <w:lvlJc w:val="left"/>
      <w:pPr>
        <w:ind w:left="6120" w:hanging="360"/>
      </w:pPr>
      <w:rPr>
        <w:rFonts w:ascii="Wingdings" w:hAnsi="Wingdings" w:hint="default"/>
      </w:rPr>
    </w:lvl>
  </w:abstractNum>
  <w:num w:numId="1">
    <w:abstractNumId w:val="40"/>
  </w:num>
  <w:num w:numId="2">
    <w:abstractNumId w:val="10"/>
  </w:num>
  <w:num w:numId="3">
    <w:abstractNumId w:val="7"/>
  </w:num>
  <w:num w:numId="4">
    <w:abstractNumId w:val="34"/>
  </w:num>
  <w:num w:numId="5">
    <w:abstractNumId w:val="0"/>
  </w:num>
  <w:num w:numId="6">
    <w:abstractNumId w:val="23"/>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2"/>
  </w:num>
  <w:num w:numId="9">
    <w:abstractNumId w:val="16"/>
  </w:num>
  <w:num w:numId="10">
    <w:abstractNumId w:val="21"/>
  </w:num>
  <w:num w:numId="11">
    <w:abstractNumId w:val="37"/>
  </w:num>
  <w:num w:numId="12">
    <w:abstractNumId w:val="27"/>
  </w:num>
  <w:num w:numId="13">
    <w:abstractNumId w:val="2"/>
  </w:num>
  <w:num w:numId="14">
    <w:abstractNumId w:val="17"/>
  </w:num>
  <w:num w:numId="15">
    <w:abstractNumId w:val="45"/>
  </w:num>
  <w:num w:numId="16">
    <w:abstractNumId w:val="3"/>
  </w:num>
  <w:num w:numId="17">
    <w:abstractNumId w:val="28"/>
  </w:num>
  <w:num w:numId="18">
    <w:abstractNumId w:val="31"/>
  </w:num>
  <w:num w:numId="19">
    <w:abstractNumId w:val="24"/>
  </w:num>
  <w:num w:numId="20">
    <w:abstractNumId w:val="30"/>
  </w:num>
  <w:num w:numId="21">
    <w:abstractNumId w:val="22"/>
  </w:num>
  <w:num w:numId="22">
    <w:abstractNumId w:val="11"/>
  </w:num>
  <w:num w:numId="23">
    <w:abstractNumId w:val="25"/>
  </w:num>
  <w:num w:numId="24">
    <w:abstractNumId w:val="8"/>
  </w:num>
  <w:num w:numId="25">
    <w:abstractNumId w:val="44"/>
  </w:num>
  <w:num w:numId="26">
    <w:abstractNumId w:val="5"/>
  </w:num>
  <w:num w:numId="27">
    <w:abstractNumId w:val="19"/>
  </w:num>
  <w:num w:numId="28">
    <w:abstractNumId w:val="33"/>
  </w:num>
  <w:num w:numId="29">
    <w:abstractNumId w:val="1"/>
  </w:num>
  <w:num w:numId="30">
    <w:abstractNumId w:val="18"/>
  </w:num>
  <w:num w:numId="31">
    <w:abstractNumId w:val="29"/>
  </w:num>
  <w:num w:numId="32">
    <w:abstractNumId w:val="38"/>
  </w:num>
  <w:num w:numId="33">
    <w:abstractNumId w:val="26"/>
  </w:num>
  <w:num w:numId="34">
    <w:abstractNumId w:val="20"/>
  </w:num>
  <w:num w:numId="35">
    <w:abstractNumId w:val="32"/>
  </w:num>
  <w:num w:numId="36">
    <w:abstractNumId w:val="39"/>
  </w:num>
  <w:num w:numId="37">
    <w:abstractNumId w:val="41"/>
  </w:num>
  <w:num w:numId="38">
    <w:abstractNumId w:val="42"/>
  </w:num>
  <w:num w:numId="39">
    <w:abstractNumId w:val="15"/>
  </w:num>
  <w:num w:numId="40">
    <w:abstractNumId w:val="36"/>
  </w:num>
  <w:num w:numId="41">
    <w:abstractNumId w:val="13"/>
  </w:num>
  <w:num w:numId="42">
    <w:abstractNumId w:val="43"/>
  </w:num>
  <w:num w:numId="43">
    <w:abstractNumId w:val="14"/>
  </w:num>
  <w:num w:numId="44">
    <w:abstractNumId w:val="35"/>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EE"/>
    <w:rsid w:val="00053C85"/>
    <w:rsid w:val="000609FF"/>
    <w:rsid w:val="000614A5"/>
    <w:rsid w:val="00070073"/>
    <w:rsid w:val="000A44DB"/>
    <w:rsid w:val="000B24EE"/>
    <w:rsid w:val="000B58A9"/>
    <w:rsid w:val="000D5A66"/>
    <w:rsid w:val="000F69FD"/>
    <w:rsid w:val="00116F39"/>
    <w:rsid w:val="00122E24"/>
    <w:rsid w:val="00146351"/>
    <w:rsid w:val="001704B5"/>
    <w:rsid w:val="00180F18"/>
    <w:rsid w:val="001A44B9"/>
    <w:rsid w:val="001C0DEE"/>
    <w:rsid w:val="001C60FC"/>
    <w:rsid w:val="001C6F86"/>
    <w:rsid w:val="001D74EF"/>
    <w:rsid w:val="001D7FD4"/>
    <w:rsid w:val="00202F6E"/>
    <w:rsid w:val="00214885"/>
    <w:rsid w:val="002157ED"/>
    <w:rsid w:val="00220CE5"/>
    <w:rsid w:val="002316CE"/>
    <w:rsid w:val="0023240C"/>
    <w:rsid w:val="00247D77"/>
    <w:rsid w:val="002574B6"/>
    <w:rsid w:val="00273809"/>
    <w:rsid w:val="002832EF"/>
    <w:rsid w:val="0028564A"/>
    <w:rsid w:val="00321E73"/>
    <w:rsid w:val="00325B7E"/>
    <w:rsid w:val="003279EC"/>
    <w:rsid w:val="00345002"/>
    <w:rsid w:val="00356EBB"/>
    <w:rsid w:val="00365057"/>
    <w:rsid w:val="00392CFA"/>
    <w:rsid w:val="003E7CDB"/>
    <w:rsid w:val="00433A32"/>
    <w:rsid w:val="00436378"/>
    <w:rsid w:val="0044028E"/>
    <w:rsid w:val="00441179"/>
    <w:rsid w:val="00452E0D"/>
    <w:rsid w:val="00455645"/>
    <w:rsid w:val="004614D1"/>
    <w:rsid w:val="00491780"/>
    <w:rsid w:val="004A7E56"/>
    <w:rsid w:val="004B60D3"/>
    <w:rsid w:val="004C7D22"/>
    <w:rsid w:val="004F17D5"/>
    <w:rsid w:val="005042F6"/>
    <w:rsid w:val="00515973"/>
    <w:rsid w:val="00532FAB"/>
    <w:rsid w:val="005336C5"/>
    <w:rsid w:val="005360F6"/>
    <w:rsid w:val="00545895"/>
    <w:rsid w:val="0054714D"/>
    <w:rsid w:val="00563657"/>
    <w:rsid w:val="00576419"/>
    <w:rsid w:val="005A4AAB"/>
    <w:rsid w:val="005D1BEC"/>
    <w:rsid w:val="005D3CFA"/>
    <w:rsid w:val="005F6475"/>
    <w:rsid w:val="006337DC"/>
    <w:rsid w:val="006461DB"/>
    <w:rsid w:val="006622E9"/>
    <w:rsid w:val="00675A68"/>
    <w:rsid w:val="006B690A"/>
    <w:rsid w:val="006E53C6"/>
    <w:rsid w:val="00711903"/>
    <w:rsid w:val="00722CBD"/>
    <w:rsid w:val="007363DC"/>
    <w:rsid w:val="00742723"/>
    <w:rsid w:val="00745EF4"/>
    <w:rsid w:val="0074757D"/>
    <w:rsid w:val="00762139"/>
    <w:rsid w:val="00767532"/>
    <w:rsid w:val="007806D0"/>
    <w:rsid w:val="0078238D"/>
    <w:rsid w:val="00784622"/>
    <w:rsid w:val="007C0186"/>
    <w:rsid w:val="007D4B43"/>
    <w:rsid w:val="00811B46"/>
    <w:rsid w:val="00815904"/>
    <w:rsid w:val="00815DB6"/>
    <w:rsid w:val="00827C06"/>
    <w:rsid w:val="00842A51"/>
    <w:rsid w:val="00857BE5"/>
    <w:rsid w:val="008602FE"/>
    <w:rsid w:val="00884002"/>
    <w:rsid w:val="00895A37"/>
    <w:rsid w:val="008A1F00"/>
    <w:rsid w:val="008A74FB"/>
    <w:rsid w:val="008D2544"/>
    <w:rsid w:val="008E7B25"/>
    <w:rsid w:val="008E7C75"/>
    <w:rsid w:val="008F632C"/>
    <w:rsid w:val="00902B77"/>
    <w:rsid w:val="00906593"/>
    <w:rsid w:val="0091671F"/>
    <w:rsid w:val="0092097E"/>
    <w:rsid w:val="00931D06"/>
    <w:rsid w:val="00936C2C"/>
    <w:rsid w:val="009469E5"/>
    <w:rsid w:val="00950BBD"/>
    <w:rsid w:val="009B3204"/>
    <w:rsid w:val="009E3080"/>
    <w:rsid w:val="009E4748"/>
    <w:rsid w:val="009F7756"/>
    <w:rsid w:val="00A4754D"/>
    <w:rsid w:val="00A47B2E"/>
    <w:rsid w:val="00A554C0"/>
    <w:rsid w:val="00A72B4C"/>
    <w:rsid w:val="00A860DF"/>
    <w:rsid w:val="00A950F7"/>
    <w:rsid w:val="00A96887"/>
    <w:rsid w:val="00AA5525"/>
    <w:rsid w:val="00AC253E"/>
    <w:rsid w:val="00AE4FBB"/>
    <w:rsid w:val="00AF19A9"/>
    <w:rsid w:val="00B004A9"/>
    <w:rsid w:val="00B13189"/>
    <w:rsid w:val="00B13779"/>
    <w:rsid w:val="00B2330F"/>
    <w:rsid w:val="00B2564B"/>
    <w:rsid w:val="00B27B11"/>
    <w:rsid w:val="00B469A5"/>
    <w:rsid w:val="00B773FF"/>
    <w:rsid w:val="00B82342"/>
    <w:rsid w:val="00B95CE8"/>
    <w:rsid w:val="00BA5C4B"/>
    <w:rsid w:val="00BC3BDC"/>
    <w:rsid w:val="00C24D86"/>
    <w:rsid w:val="00C4713F"/>
    <w:rsid w:val="00C505FD"/>
    <w:rsid w:val="00CB6398"/>
    <w:rsid w:val="00CD615C"/>
    <w:rsid w:val="00CF4687"/>
    <w:rsid w:val="00CF5A91"/>
    <w:rsid w:val="00D10856"/>
    <w:rsid w:val="00D217AA"/>
    <w:rsid w:val="00D31818"/>
    <w:rsid w:val="00D36F82"/>
    <w:rsid w:val="00D46728"/>
    <w:rsid w:val="00D511BE"/>
    <w:rsid w:val="00D64503"/>
    <w:rsid w:val="00D8027E"/>
    <w:rsid w:val="00D90D5D"/>
    <w:rsid w:val="00D92DEF"/>
    <w:rsid w:val="00D97131"/>
    <w:rsid w:val="00DB1745"/>
    <w:rsid w:val="00DC3646"/>
    <w:rsid w:val="00DD41E6"/>
    <w:rsid w:val="00DF666E"/>
    <w:rsid w:val="00E306AA"/>
    <w:rsid w:val="00E60186"/>
    <w:rsid w:val="00E71481"/>
    <w:rsid w:val="00E82DA7"/>
    <w:rsid w:val="00EB27F6"/>
    <w:rsid w:val="00EF5C18"/>
    <w:rsid w:val="00F0368B"/>
    <w:rsid w:val="00F30604"/>
    <w:rsid w:val="00F87DFE"/>
    <w:rsid w:val="00FC4499"/>
    <w:rsid w:val="00FD3D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0F"/>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customStyle="1" w:styleId="tooltip-tetherindexed-item">
    <w:name w:val="tooltip-tether__indexed-item"/>
    <w:basedOn w:val="Normal"/>
    <w:pPr>
      <w:spacing w:before="100" w:beforeAutospacing="1" w:after="100" w:afterAutospacing="1"/>
    </w:pPr>
  </w:style>
  <w:style w:type="paragraph" w:customStyle="1" w:styleId="p2">
    <w:name w:val="p2"/>
    <w:basedOn w:val="Normal"/>
    <w:rPr>
      <w:rFonts w:ascii="Helvetica" w:hAnsi="Helvetica"/>
      <w:sz w:val="18"/>
      <w:szCs w:val="18"/>
    </w:rPr>
  </w:style>
  <w:style w:type="paragraph" w:customStyle="1" w:styleId="p7">
    <w:name w:val="p7"/>
    <w:basedOn w:val="Normal"/>
    <w:rPr>
      <w:rFonts w:ascii="Helvetica" w:hAnsi="Helvetica"/>
      <w:color w:val="0433FF"/>
      <w:sz w:val="18"/>
      <w:szCs w:val="18"/>
    </w:rPr>
  </w:style>
  <w:style w:type="character" w:customStyle="1" w:styleId="s1">
    <w:name w:val="s1"/>
    <w:basedOn w:val="DefaultParagraphFont"/>
    <w:rPr>
      <w:rFonts w:ascii="Helvetica" w:hAnsi="Helvetica" w:hint="default"/>
      <w:sz w:val="12"/>
      <w:szCs w:val="1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xxmsonormal">
    <w:name w:val="xxmsonormal"/>
    <w:basedOn w:val="Normal"/>
    <w:pPr>
      <w:spacing w:before="100" w:beforeAutospacing="1" w:after="100" w:afterAutospacing="1"/>
    </w:p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Pr>
      <w:rFonts w:ascii="Times New Roman" w:eastAsia="Times New Roman" w:hAnsi="Times New Roman" w:cs="Times New Roman"/>
    </w:rPr>
  </w:style>
  <w:style w:type="paragraph" w:styleId="Caption">
    <w:name w:val="caption"/>
    <w:basedOn w:val="Normal"/>
    <w:next w:val="Normal"/>
    <w:uiPriority w:val="35"/>
    <w:unhideWhenUsed/>
    <w:qFormat/>
    <w:pPr>
      <w:spacing w:after="200"/>
    </w:pPr>
    <w:rPr>
      <w:rFonts w:eastAsiaTheme="minorEastAsia"/>
      <w:i/>
      <w:iCs/>
      <w:color w:val="44546A" w:themeColor="text2"/>
      <w:sz w:val="18"/>
      <w:szCs w:val="18"/>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PageNumber">
    <w:name w:val="page number"/>
    <w:basedOn w:val="DefaultParagraphFont"/>
    <w:uiPriority w:val="99"/>
    <w:semiHidden/>
    <w:unhideWhenUsed/>
  </w:style>
  <w:style w:type="character" w:customStyle="1" w:styleId="citationref">
    <w:name w:val="citationref"/>
    <w:basedOn w:val="DefaultParagraphFont"/>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LineNumber">
    <w:name w:val="line number"/>
    <w:basedOn w:val="DefaultParagraphFon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0F"/>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customStyle="1" w:styleId="tooltip-tetherindexed-item">
    <w:name w:val="tooltip-tether__indexed-item"/>
    <w:basedOn w:val="Normal"/>
    <w:pPr>
      <w:spacing w:before="100" w:beforeAutospacing="1" w:after="100" w:afterAutospacing="1"/>
    </w:pPr>
  </w:style>
  <w:style w:type="paragraph" w:customStyle="1" w:styleId="p2">
    <w:name w:val="p2"/>
    <w:basedOn w:val="Normal"/>
    <w:rPr>
      <w:rFonts w:ascii="Helvetica" w:hAnsi="Helvetica"/>
      <w:sz w:val="18"/>
      <w:szCs w:val="18"/>
    </w:rPr>
  </w:style>
  <w:style w:type="paragraph" w:customStyle="1" w:styleId="p7">
    <w:name w:val="p7"/>
    <w:basedOn w:val="Normal"/>
    <w:rPr>
      <w:rFonts w:ascii="Helvetica" w:hAnsi="Helvetica"/>
      <w:color w:val="0433FF"/>
      <w:sz w:val="18"/>
      <w:szCs w:val="18"/>
    </w:rPr>
  </w:style>
  <w:style w:type="character" w:customStyle="1" w:styleId="s1">
    <w:name w:val="s1"/>
    <w:basedOn w:val="DefaultParagraphFont"/>
    <w:rPr>
      <w:rFonts w:ascii="Helvetica" w:hAnsi="Helvetica" w:hint="default"/>
      <w:sz w:val="12"/>
      <w:szCs w:val="1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xxmsonormal">
    <w:name w:val="xxmsonormal"/>
    <w:basedOn w:val="Normal"/>
    <w:pPr>
      <w:spacing w:before="100" w:beforeAutospacing="1" w:after="100" w:afterAutospacing="1"/>
    </w:p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Pr>
      <w:rFonts w:ascii="Times New Roman" w:eastAsia="Times New Roman" w:hAnsi="Times New Roman" w:cs="Times New Roman"/>
    </w:rPr>
  </w:style>
  <w:style w:type="paragraph" w:styleId="Caption">
    <w:name w:val="caption"/>
    <w:basedOn w:val="Normal"/>
    <w:next w:val="Normal"/>
    <w:uiPriority w:val="35"/>
    <w:unhideWhenUsed/>
    <w:qFormat/>
    <w:pPr>
      <w:spacing w:after="200"/>
    </w:pPr>
    <w:rPr>
      <w:rFonts w:eastAsiaTheme="minorEastAsia"/>
      <w:i/>
      <w:iCs/>
      <w:color w:val="44546A" w:themeColor="text2"/>
      <w:sz w:val="18"/>
      <w:szCs w:val="18"/>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PageNumber">
    <w:name w:val="page number"/>
    <w:basedOn w:val="DefaultParagraphFont"/>
    <w:uiPriority w:val="99"/>
    <w:semiHidden/>
    <w:unhideWhenUsed/>
  </w:style>
  <w:style w:type="character" w:customStyle="1" w:styleId="citationref">
    <w:name w:val="citationref"/>
    <w:basedOn w:val="DefaultParagraphFont"/>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LineNumber">
    <w:name w:val="line number"/>
    <w:basedOn w:val="DefaultParagraphFon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s://clinicaltrials.gov/ct2/show/NCT03694366?term=NCT03694366&amp;rank=1"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QuickStyle" Target="diagrams/quickStyle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mailto:mlauria@integratehealth.org" TargetMode="External"/><Relationship Id="rId14" Type="http://schemas.openxmlformats.org/officeDocument/2006/relationships/header" Target="header3.xml"/><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305182-62BC-6741-A402-D8D74F7214B7}" type="doc">
      <dgm:prSet loTypeId="urn:microsoft.com/office/officeart/2005/8/layout/orgChart1#1" qsTypeId="urn:microsoft.com/office/officeart/2005/8/quickstyle/simple1" qsCatId="simple" csTypeId="urn:microsoft.com/office/officeart/2005/8/colors/accent0_1" csCatId="mainScheme" phldr="1"/>
      <dgm:spPr/>
      <dgm:t>
        <a:bodyPr/>
        <a:lstStyle/>
        <a:p>
          <a:endParaRPr lang="en-US"/>
        </a:p>
      </dgm:t>
    </dgm:pt>
    <dgm:pt modelId="{B6B5BD3E-678D-E345-92DF-B79D9D205BCA}">
      <dgm:prSet phldrT="[Text]" custT="1"/>
      <dgm:spPr/>
      <dgm:t>
        <a:bodyPr/>
        <a:lstStyle/>
        <a:p>
          <a:r>
            <a:rPr lang="fr-FR" sz="900"/>
            <a:t>Conseil consultatif de recherche du CHSL</a:t>
          </a:r>
          <a:endParaRPr lang="en-US" sz="900">
            <a:ln>
              <a:noFill/>
            </a:ln>
            <a:latin typeface="Arial" panose="020B0604020202020204" pitchFamily="34" charset="0"/>
            <a:cs typeface="Arial" panose="020B0604020202020204" pitchFamily="34" charset="0"/>
          </a:endParaRPr>
        </a:p>
      </dgm:t>
    </dgm:pt>
    <dgm:pt modelId="{DCD898DB-47C4-984F-9FE0-C97146D82345}" type="parTrans" cxnId="{29A468B7-4168-C943-8319-F4523DFFA8ED}">
      <dgm:prSet/>
      <dgm:spPr/>
      <dgm:t>
        <a:bodyPr/>
        <a:lstStyle/>
        <a:p>
          <a:endParaRPr lang="en-US" sz="1000">
            <a:ln>
              <a:noFill/>
            </a:ln>
            <a:latin typeface="Arial" panose="020B0604020202020204" pitchFamily="34" charset="0"/>
            <a:cs typeface="Arial" panose="020B0604020202020204" pitchFamily="34" charset="0"/>
          </a:endParaRPr>
        </a:p>
      </dgm:t>
    </dgm:pt>
    <dgm:pt modelId="{84A8B055-EAA9-9244-A6DC-B946768A9BA1}" type="sibTrans" cxnId="{29A468B7-4168-C943-8319-F4523DFFA8ED}">
      <dgm:prSet/>
      <dgm:spPr/>
      <dgm:t>
        <a:bodyPr/>
        <a:lstStyle/>
        <a:p>
          <a:endParaRPr lang="en-US" sz="1000">
            <a:ln>
              <a:noFill/>
            </a:ln>
            <a:latin typeface="Arial" panose="020B0604020202020204" pitchFamily="34" charset="0"/>
            <a:cs typeface="Arial" panose="020B0604020202020204" pitchFamily="34" charset="0"/>
          </a:endParaRPr>
        </a:p>
      </dgm:t>
    </dgm:pt>
    <dgm:pt modelId="{BA5068E1-0854-634C-B677-E1FF73A7899E}">
      <dgm:prSet phldrT="[Text]" custT="1"/>
      <dgm:spPr/>
      <dgm:t>
        <a:bodyPr/>
        <a:lstStyle/>
        <a:p>
          <a:r>
            <a:rPr lang="fr-FR" sz="900"/>
            <a:t>Méthodologie, conception et mise en œuvre de la recherche</a:t>
          </a:r>
          <a:endParaRPr lang="en-US" sz="900">
            <a:ln>
              <a:noFill/>
            </a:ln>
            <a:latin typeface="Arial" panose="020B0604020202020204" pitchFamily="34" charset="0"/>
            <a:cs typeface="Arial" panose="020B0604020202020204" pitchFamily="34" charset="0"/>
          </a:endParaRPr>
        </a:p>
      </dgm:t>
    </dgm:pt>
    <dgm:pt modelId="{A83FFAE9-474C-A949-8BF0-0F6CDE4EDAEF}">
      <dgm:prSet phldrT="[Text]" custT="1"/>
      <dgm:spPr/>
      <dgm:t>
        <a:bodyPr/>
        <a:lstStyle/>
        <a:p>
          <a:r>
            <a:rPr lang="fr-FR" sz="900"/>
            <a:t>Directeur général, CHSL </a:t>
          </a:r>
          <a:endParaRPr lang="en-US" sz="900">
            <a:ln>
              <a:noFill/>
            </a:ln>
            <a:latin typeface="Arial" panose="020B0604020202020204" pitchFamily="34" charset="0"/>
            <a:cs typeface="Arial" panose="020B0604020202020204" pitchFamily="34" charset="0"/>
          </a:endParaRPr>
        </a:p>
      </dgm:t>
    </dgm:pt>
    <dgm:pt modelId="{0947522F-AA9C-6D42-AA4E-AFCFE75A884A}" type="sibTrans" cxnId="{5AA4E169-5B12-4A41-A90E-E5F873CDDD81}">
      <dgm:prSet/>
      <dgm:spPr/>
      <dgm:t>
        <a:bodyPr/>
        <a:lstStyle/>
        <a:p>
          <a:endParaRPr lang="en-US" sz="1000">
            <a:ln>
              <a:noFill/>
            </a:ln>
            <a:latin typeface="Arial" panose="020B0604020202020204" pitchFamily="34" charset="0"/>
            <a:cs typeface="Arial" panose="020B0604020202020204" pitchFamily="34" charset="0"/>
          </a:endParaRPr>
        </a:p>
      </dgm:t>
    </dgm:pt>
    <dgm:pt modelId="{BEE55885-2AA2-764B-8727-1CCE8E9EDEA3}" type="parTrans" cxnId="{5AA4E169-5B12-4A41-A90E-E5F873CDDD81}">
      <dgm:prSet/>
      <dgm:spPr/>
      <dgm:t>
        <a:bodyPr/>
        <a:lstStyle/>
        <a:p>
          <a:endParaRPr lang="en-US" sz="1000">
            <a:ln>
              <a:noFill/>
            </a:ln>
            <a:latin typeface="Arial" panose="020B0604020202020204" pitchFamily="34" charset="0"/>
            <a:cs typeface="Arial" panose="020B0604020202020204" pitchFamily="34" charset="0"/>
          </a:endParaRPr>
        </a:p>
      </dgm:t>
    </dgm:pt>
    <dgm:pt modelId="{E728311B-1FF4-1549-A0E7-41D8204E11AF}" type="sibTrans" cxnId="{06C64397-35EC-5D4C-9FC4-712B8FCF1BA0}">
      <dgm:prSet/>
      <dgm:spPr/>
      <dgm:t>
        <a:bodyPr/>
        <a:lstStyle/>
        <a:p>
          <a:endParaRPr lang="en-US" sz="1000">
            <a:ln>
              <a:noFill/>
            </a:ln>
            <a:latin typeface="Arial" panose="020B0604020202020204" pitchFamily="34" charset="0"/>
            <a:cs typeface="Arial" panose="020B0604020202020204" pitchFamily="34" charset="0"/>
          </a:endParaRPr>
        </a:p>
      </dgm:t>
    </dgm:pt>
    <dgm:pt modelId="{A718B687-182A-6547-AEDB-07AE90F2E07F}" type="parTrans" cxnId="{06C64397-35EC-5D4C-9FC4-712B8FCF1BA0}">
      <dgm:prSet/>
      <dgm:spPr/>
      <dgm:t>
        <a:bodyPr/>
        <a:lstStyle/>
        <a:p>
          <a:endParaRPr lang="en-US" sz="1000">
            <a:ln>
              <a:noFill/>
            </a:ln>
            <a:latin typeface="Arial" panose="020B0604020202020204" pitchFamily="34" charset="0"/>
            <a:cs typeface="Arial" panose="020B0604020202020204" pitchFamily="34" charset="0"/>
          </a:endParaRPr>
        </a:p>
      </dgm:t>
    </dgm:pt>
    <dgm:pt modelId="{24A84A2C-4172-4E70-9058-8447DD041190}" type="asst">
      <dgm:prSet custT="1"/>
      <dgm:spPr/>
      <dgm:t>
        <a:bodyPr/>
        <a:lstStyle/>
        <a:p>
          <a:r>
            <a:rPr lang="fr-FR" sz="900"/>
            <a:t>Directeur de recherche et analyse/CHSL</a:t>
          </a:r>
          <a:endParaRPr lang="en-US" sz="900">
            <a:latin typeface="Arial" panose="020B0604020202020204" pitchFamily="34" charset="0"/>
            <a:cs typeface="Arial" panose="020B0604020202020204" pitchFamily="34" charset="0"/>
          </a:endParaRPr>
        </a:p>
      </dgm:t>
    </dgm:pt>
    <dgm:pt modelId="{74BD4A67-C92E-428F-98A0-A3F54C3D3EDE}" type="parTrans" cxnId="{D00DCC53-EA98-48FE-8C65-9DF3AB52AF44}">
      <dgm:prSet/>
      <dgm:spPr/>
      <dgm:t>
        <a:bodyPr/>
        <a:lstStyle/>
        <a:p>
          <a:endParaRPr lang="en-US" sz="1000">
            <a:latin typeface="Arial" panose="020B0604020202020204" pitchFamily="34" charset="0"/>
            <a:cs typeface="Arial" panose="020B0604020202020204" pitchFamily="34" charset="0"/>
          </a:endParaRPr>
        </a:p>
      </dgm:t>
    </dgm:pt>
    <dgm:pt modelId="{3A66CDDC-40C4-4645-8930-C6E598940A91}" type="sibTrans" cxnId="{D00DCC53-EA98-48FE-8C65-9DF3AB52AF44}">
      <dgm:prSet/>
      <dgm:spPr/>
      <dgm:t>
        <a:bodyPr/>
        <a:lstStyle/>
        <a:p>
          <a:endParaRPr lang="en-US" sz="1000">
            <a:latin typeface="Arial" panose="020B0604020202020204" pitchFamily="34" charset="0"/>
            <a:cs typeface="Arial" panose="020B0604020202020204" pitchFamily="34" charset="0"/>
          </a:endParaRPr>
        </a:p>
      </dgm:t>
    </dgm:pt>
    <dgm:pt modelId="{001855C9-F3EB-3B4D-8585-6180942ECD00}">
      <dgm:prSet phldrT="[Text]" custT="1"/>
      <dgm:spPr/>
      <dgm:t>
        <a:bodyPr/>
        <a:lstStyle/>
        <a:p>
          <a:r>
            <a:rPr lang="fr-FR" sz="900"/>
            <a:t>Président, CHSL </a:t>
          </a:r>
          <a:endParaRPr lang="en-US" sz="900">
            <a:ln>
              <a:noFill/>
            </a:ln>
            <a:latin typeface="Arial" panose="020B0604020202020204" pitchFamily="34" charset="0"/>
            <a:cs typeface="Arial" panose="020B0604020202020204" pitchFamily="34" charset="0"/>
          </a:endParaRPr>
        </a:p>
      </dgm:t>
    </dgm:pt>
    <dgm:pt modelId="{B405BE6B-0F26-C64A-99C2-95C536004D6D}" type="sibTrans" cxnId="{D0C4E36C-EA69-F04E-AD91-B15A3BAD1CBD}">
      <dgm:prSet/>
      <dgm:spPr/>
      <dgm:t>
        <a:bodyPr/>
        <a:lstStyle/>
        <a:p>
          <a:endParaRPr lang="en-US" sz="1000">
            <a:ln>
              <a:noFill/>
            </a:ln>
            <a:latin typeface="Arial" panose="020B0604020202020204" pitchFamily="34" charset="0"/>
            <a:cs typeface="Arial" panose="020B0604020202020204" pitchFamily="34" charset="0"/>
          </a:endParaRPr>
        </a:p>
      </dgm:t>
    </dgm:pt>
    <dgm:pt modelId="{E862FB02-49F5-C04D-999B-9D62FD8077E9}" type="parTrans" cxnId="{D0C4E36C-EA69-F04E-AD91-B15A3BAD1CBD}">
      <dgm:prSet/>
      <dgm:spPr/>
      <dgm:t>
        <a:bodyPr/>
        <a:lstStyle/>
        <a:p>
          <a:endParaRPr lang="en-US" sz="1000">
            <a:ln>
              <a:noFill/>
            </a:ln>
            <a:latin typeface="Arial" panose="020B0604020202020204" pitchFamily="34" charset="0"/>
            <a:cs typeface="Arial" panose="020B0604020202020204" pitchFamily="34" charset="0"/>
          </a:endParaRPr>
        </a:p>
      </dgm:t>
    </dgm:pt>
    <dgm:pt modelId="{3AC8FC55-B69F-054A-B592-3D71263646DF}">
      <dgm:prSet phldrT="[Text]" custT="1"/>
      <dgm:spPr/>
      <dgm:t>
        <a:bodyPr/>
        <a:lstStyle/>
        <a:p>
          <a:r>
            <a:rPr lang="fr-FR" sz="900"/>
            <a:t>Diffusion</a:t>
          </a:r>
          <a:endParaRPr lang="en-US" sz="900">
            <a:ln>
              <a:noFill/>
            </a:ln>
            <a:latin typeface="Arial" panose="020B0604020202020204" pitchFamily="34" charset="0"/>
            <a:cs typeface="Arial" panose="020B0604020202020204" pitchFamily="34" charset="0"/>
          </a:endParaRPr>
        </a:p>
      </dgm:t>
    </dgm:pt>
    <dgm:pt modelId="{E2E35DCD-3D30-7442-9A10-5D1CA0BE16FA}" type="parTrans" cxnId="{ED00552B-5E3A-544D-8856-79EDF4A7F1FF}">
      <dgm:prSet/>
      <dgm:spPr/>
      <dgm:t>
        <a:bodyPr/>
        <a:lstStyle/>
        <a:p>
          <a:endParaRPr lang="en-US"/>
        </a:p>
      </dgm:t>
    </dgm:pt>
    <dgm:pt modelId="{3F19A7E2-E183-AB4B-89E5-0C6CECF3E184}" type="sibTrans" cxnId="{ED00552B-5E3A-544D-8856-79EDF4A7F1FF}">
      <dgm:prSet/>
      <dgm:spPr/>
      <dgm:t>
        <a:bodyPr/>
        <a:lstStyle/>
        <a:p>
          <a:endParaRPr lang="en-US"/>
        </a:p>
      </dgm:t>
    </dgm:pt>
    <dgm:pt modelId="{45D37D1C-5923-BE4F-872D-CF702D4ECD40}">
      <dgm:prSet phldrT="[Text]" custT="1"/>
      <dgm:spPr/>
      <dgm:t>
        <a:bodyPr/>
        <a:lstStyle/>
        <a:p>
          <a:r>
            <a:rPr lang="fr-FR" sz="900"/>
            <a:t>Développement</a:t>
          </a:r>
          <a:endParaRPr lang="en-US" sz="900">
            <a:ln>
              <a:noFill/>
            </a:ln>
            <a:latin typeface="Arial" panose="020B0604020202020204" pitchFamily="34" charset="0"/>
            <a:cs typeface="Arial" panose="020B0604020202020204" pitchFamily="34" charset="0"/>
          </a:endParaRPr>
        </a:p>
      </dgm:t>
    </dgm:pt>
    <dgm:pt modelId="{BC3051FB-D249-4F46-B48A-3B5F69B753F7}" type="parTrans" cxnId="{54ACAB20-505D-6448-9E79-896273D950D0}">
      <dgm:prSet/>
      <dgm:spPr/>
      <dgm:t>
        <a:bodyPr/>
        <a:lstStyle/>
        <a:p>
          <a:endParaRPr lang="en-US"/>
        </a:p>
      </dgm:t>
    </dgm:pt>
    <dgm:pt modelId="{6C8A4D81-7726-EC45-9A4C-052FCFA8A883}" type="sibTrans" cxnId="{54ACAB20-505D-6448-9E79-896273D950D0}">
      <dgm:prSet/>
      <dgm:spPr/>
      <dgm:t>
        <a:bodyPr/>
        <a:lstStyle/>
        <a:p>
          <a:endParaRPr lang="en-US"/>
        </a:p>
      </dgm:t>
    </dgm:pt>
    <dgm:pt modelId="{A49D736A-C4F5-FB4C-B216-FF1082A9BD96}">
      <dgm:prSet custT="1"/>
      <dgm:spPr/>
      <dgm:t>
        <a:bodyPr/>
        <a:lstStyle/>
        <a:p>
          <a:r>
            <a:rPr lang="fr-FR" sz="900"/>
            <a:t>Directeur associé de recherche et analyse/CHSL</a:t>
          </a:r>
          <a:endParaRPr lang="en-US" sz="900">
            <a:ln>
              <a:noFill/>
            </a:ln>
            <a:latin typeface="Arial" panose="020B0604020202020204" pitchFamily="34" charset="0"/>
            <a:cs typeface="Arial" panose="020B0604020202020204" pitchFamily="34" charset="0"/>
          </a:endParaRPr>
        </a:p>
      </dgm:t>
    </dgm:pt>
    <dgm:pt modelId="{97DDFA16-B645-8A4A-B638-FD29A5D1DA3F}" type="parTrans" cxnId="{7E4612C0-F2B5-E144-9C8F-6C9882A77E34}">
      <dgm:prSet/>
      <dgm:spPr/>
      <dgm:t>
        <a:bodyPr/>
        <a:lstStyle/>
        <a:p>
          <a:endParaRPr lang="en-US"/>
        </a:p>
      </dgm:t>
    </dgm:pt>
    <dgm:pt modelId="{AFE61D6E-5626-AB4A-BE21-9226DEE7D2A7}" type="sibTrans" cxnId="{7E4612C0-F2B5-E144-9C8F-6C9882A77E34}">
      <dgm:prSet/>
      <dgm:spPr/>
      <dgm:t>
        <a:bodyPr/>
        <a:lstStyle/>
        <a:p>
          <a:endParaRPr lang="en-US"/>
        </a:p>
      </dgm:t>
    </dgm:pt>
    <dgm:pt modelId="{ECC0BD93-C5A0-CB47-8AEA-219E35E8D13F}">
      <dgm:prSet phldrT="[Text]" custT="1"/>
      <dgm:spPr/>
      <dgm:t>
        <a:bodyPr/>
        <a:lstStyle/>
        <a:p>
          <a:r>
            <a:rPr lang="fr-FR" sz="900"/>
            <a:t>Formation/Parrainage et collaboration</a:t>
          </a:r>
          <a:endParaRPr lang="en-US" sz="900">
            <a:ln>
              <a:noFill/>
            </a:ln>
            <a:latin typeface="Arial" panose="020B0604020202020204" pitchFamily="34" charset="0"/>
            <a:cs typeface="Arial" panose="020B0604020202020204" pitchFamily="34" charset="0"/>
          </a:endParaRPr>
        </a:p>
      </dgm:t>
    </dgm:pt>
    <dgm:pt modelId="{E73840A1-D3E8-5449-BC51-2A1582457E16}" type="parTrans" cxnId="{E5C3E9AF-9AFA-ED48-B16C-FBC9114C5B39}">
      <dgm:prSet/>
      <dgm:spPr/>
      <dgm:t>
        <a:bodyPr/>
        <a:lstStyle/>
        <a:p>
          <a:endParaRPr lang="en-US"/>
        </a:p>
      </dgm:t>
    </dgm:pt>
    <dgm:pt modelId="{3848B372-7C3A-0E44-91E5-E4B15538EE85}" type="sibTrans" cxnId="{E5C3E9AF-9AFA-ED48-B16C-FBC9114C5B39}">
      <dgm:prSet/>
      <dgm:spPr/>
      <dgm:t>
        <a:bodyPr/>
        <a:lstStyle/>
        <a:p>
          <a:endParaRPr lang="en-US"/>
        </a:p>
      </dgm:t>
    </dgm:pt>
    <dgm:pt modelId="{4ABD5FB7-D67D-8740-A1AC-608141EB9CF5}">
      <dgm:prSet phldrT="[Text]" custT="1"/>
      <dgm:spPr/>
      <dgm:t>
        <a:bodyPr/>
        <a:lstStyle/>
        <a:p>
          <a:r>
            <a:rPr lang="fr-FR" sz="900"/>
            <a:t>Preuves soutenant les prises de décision sanitaires</a:t>
          </a:r>
          <a:endParaRPr lang="en-US" sz="900">
            <a:ln>
              <a:noFill/>
            </a:ln>
            <a:latin typeface="Arial" panose="020B0604020202020204" pitchFamily="34" charset="0"/>
            <a:cs typeface="Arial" panose="020B0604020202020204" pitchFamily="34" charset="0"/>
          </a:endParaRPr>
        </a:p>
      </dgm:t>
    </dgm:pt>
    <dgm:pt modelId="{414A0D5E-B895-D248-9C18-9B99AC8F9DCD}" type="parTrans" cxnId="{6DFAD541-4D2D-A14B-90F6-BA588337D5A8}">
      <dgm:prSet/>
      <dgm:spPr/>
      <dgm:t>
        <a:bodyPr/>
        <a:lstStyle/>
        <a:p>
          <a:endParaRPr lang="en-US"/>
        </a:p>
      </dgm:t>
    </dgm:pt>
    <dgm:pt modelId="{64FDE679-969B-0145-8697-209090685864}" type="sibTrans" cxnId="{6DFAD541-4D2D-A14B-90F6-BA588337D5A8}">
      <dgm:prSet/>
      <dgm:spPr/>
      <dgm:t>
        <a:bodyPr/>
        <a:lstStyle/>
        <a:p>
          <a:endParaRPr lang="en-US"/>
        </a:p>
      </dgm:t>
    </dgm:pt>
    <dgm:pt modelId="{B0D45279-676F-4444-AF27-AF28A4BA7898}" type="pres">
      <dgm:prSet presAssocID="{A4305182-62BC-6741-A402-D8D74F7214B7}" presName="hierChild1" presStyleCnt="0">
        <dgm:presLayoutVars>
          <dgm:orgChart val="1"/>
          <dgm:chPref val="1"/>
          <dgm:dir/>
          <dgm:animOne val="branch"/>
          <dgm:animLvl val="lvl"/>
          <dgm:resizeHandles/>
        </dgm:presLayoutVars>
      </dgm:prSet>
      <dgm:spPr/>
      <dgm:t>
        <a:bodyPr/>
        <a:lstStyle/>
        <a:p>
          <a:endParaRPr lang="en-US"/>
        </a:p>
      </dgm:t>
    </dgm:pt>
    <dgm:pt modelId="{7E2FEF73-4107-E849-BFDF-1B2B1B4DD4C0}" type="pres">
      <dgm:prSet presAssocID="{B6B5BD3E-678D-E345-92DF-B79D9D205BCA}" presName="hierRoot1" presStyleCnt="0">
        <dgm:presLayoutVars>
          <dgm:hierBranch val="init"/>
        </dgm:presLayoutVars>
      </dgm:prSet>
      <dgm:spPr/>
    </dgm:pt>
    <dgm:pt modelId="{40B295C6-9463-B740-ABF5-A46BE8C4F3B4}" type="pres">
      <dgm:prSet presAssocID="{B6B5BD3E-678D-E345-92DF-B79D9D205BCA}" presName="rootComposite1" presStyleCnt="0"/>
      <dgm:spPr/>
    </dgm:pt>
    <dgm:pt modelId="{C2C48554-E9BC-234B-A657-8BB9634D516A}" type="pres">
      <dgm:prSet presAssocID="{B6B5BD3E-678D-E345-92DF-B79D9D205BCA}" presName="rootText1" presStyleLbl="node0" presStyleIdx="0" presStyleCnt="1" custScaleX="608096" custScaleY="153697" custLinFactNeighborX="38382" custLinFactNeighborY="36174">
        <dgm:presLayoutVars>
          <dgm:chPref val="3"/>
        </dgm:presLayoutVars>
      </dgm:prSet>
      <dgm:spPr/>
      <dgm:t>
        <a:bodyPr/>
        <a:lstStyle/>
        <a:p>
          <a:endParaRPr lang="en-US"/>
        </a:p>
      </dgm:t>
    </dgm:pt>
    <dgm:pt modelId="{8D52B244-6591-2444-A8D0-4C8FFC63E099}" type="pres">
      <dgm:prSet presAssocID="{B6B5BD3E-678D-E345-92DF-B79D9D205BCA}" presName="rootConnector1" presStyleLbl="node1" presStyleIdx="0" presStyleCnt="0"/>
      <dgm:spPr/>
      <dgm:t>
        <a:bodyPr/>
        <a:lstStyle/>
        <a:p>
          <a:endParaRPr lang="en-US"/>
        </a:p>
      </dgm:t>
    </dgm:pt>
    <dgm:pt modelId="{72A7F9D3-86D3-BC4A-8C81-0D8D39B9F474}" type="pres">
      <dgm:prSet presAssocID="{B6B5BD3E-678D-E345-92DF-B79D9D205BCA}" presName="hierChild2" presStyleCnt="0"/>
      <dgm:spPr/>
    </dgm:pt>
    <dgm:pt modelId="{5DF23B28-33CE-EF4D-9BB7-420DFD62EC82}" type="pres">
      <dgm:prSet presAssocID="{E862FB02-49F5-C04D-999B-9D62FD8077E9}" presName="Name37" presStyleLbl="parChTrans1D2" presStyleIdx="0" presStyleCnt="2"/>
      <dgm:spPr/>
      <dgm:t>
        <a:bodyPr/>
        <a:lstStyle/>
        <a:p>
          <a:endParaRPr lang="en-US"/>
        </a:p>
      </dgm:t>
    </dgm:pt>
    <dgm:pt modelId="{5FFDDE48-7D41-9146-A95E-15E48B2F1B31}" type="pres">
      <dgm:prSet presAssocID="{001855C9-F3EB-3B4D-8585-6180942ECD00}" presName="hierRoot2" presStyleCnt="0">
        <dgm:presLayoutVars>
          <dgm:hierBranch val="init"/>
        </dgm:presLayoutVars>
      </dgm:prSet>
      <dgm:spPr/>
    </dgm:pt>
    <dgm:pt modelId="{5B88D21D-6076-204B-943D-7C017FE72217}" type="pres">
      <dgm:prSet presAssocID="{001855C9-F3EB-3B4D-8585-6180942ECD00}" presName="rootComposite" presStyleCnt="0"/>
      <dgm:spPr/>
    </dgm:pt>
    <dgm:pt modelId="{D737E90D-4029-324D-9AD1-1EB8AFB74C7D}" type="pres">
      <dgm:prSet presAssocID="{001855C9-F3EB-3B4D-8585-6180942ECD00}" presName="rootText" presStyleLbl="node2" presStyleIdx="0" presStyleCnt="1" custScaleX="234759" custScaleY="153697" custLinFactNeighborX="37489" custLinFactNeighborY="-42048">
        <dgm:presLayoutVars>
          <dgm:chPref val="3"/>
        </dgm:presLayoutVars>
      </dgm:prSet>
      <dgm:spPr/>
      <dgm:t>
        <a:bodyPr/>
        <a:lstStyle/>
        <a:p>
          <a:endParaRPr lang="en-US"/>
        </a:p>
      </dgm:t>
    </dgm:pt>
    <dgm:pt modelId="{D17FE754-E070-D54B-B400-76AD47553698}" type="pres">
      <dgm:prSet presAssocID="{001855C9-F3EB-3B4D-8585-6180942ECD00}" presName="rootConnector" presStyleLbl="node2" presStyleIdx="0" presStyleCnt="1"/>
      <dgm:spPr/>
      <dgm:t>
        <a:bodyPr/>
        <a:lstStyle/>
        <a:p>
          <a:endParaRPr lang="en-US"/>
        </a:p>
      </dgm:t>
    </dgm:pt>
    <dgm:pt modelId="{64536B18-9644-9744-A583-E6034293BCFC}" type="pres">
      <dgm:prSet presAssocID="{001855C9-F3EB-3B4D-8585-6180942ECD00}" presName="hierChild4" presStyleCnt="0"/>
      <dgm:spPr/>
    </dgm:pt>
    <dgm:pt modelId="{5E9178F6-B750-204A-B300-6DB38BCF304F}" type="pres">
      <dgm:prSet presAssocID="{BEE55885-2AA2-764B-8727-1CCE8E9EDEA3}" presName="Name37" presStyleLbl="parChTrans1D3" presStyleIdx="0" presStyleCnt="1"/>
      <dgm:spPr/>
      <dgm:t>
        <a:bodyPr/>
        <a:lstStyle/>
        <a:p>
          <a:endParaRPr lang="en-US"/>
        </a:p>
      </dgm:t>
    </dgm:pt>
    <dgm:pt modelId="{B82CCDFF-B272-704A-8C13-D0E138C3BCA7}" type="pres">
      <dgm:prSet presAssocID="{A83FFAE9-474C-A949-8BF0-0F6CDE4EDAEF}" presName="hierRoot2" presStyleCnt="0">
        <dgm:presLayoutVars>
          <dgm:hierBranch val="init"/>
        </dgm:presLayoutVars>
      </dgm:prSet>
      <dgm:spPr/>
    </dgm:pt>
    <dgm:pt modelId="{AD2F2DFA-A9A7-334D-A125-9A931304B785}" type="pres">
      <dgm:prSet presAssocID="{A83FFAE9-474C-A949-8BF0-0F6CDE4EDAEF}" presName="rootComposite" presStyleCnt="0"/>
      <dgm:spPr/>
    </dgm:pt>
    <dgm:pt modelId="{EE95D60B-9E8D-4C49-AF8A-ACB284DC2B0F}" type="pres">
      <dgm:prSet presAssocID="{A83FFAE9-474C-A949-8BF0-0F6CDE4EDAEF}" presName="rootText" presStyleLbl="node3" presStyleIdx="0" presStyleCnt="1" custScaleX="236436" custScaleY="244197" custLinFactY="59476" custLinFactNeighborX="38650" custLinFactNeighborY="100000">
        <dgm:presLayoutVars>
          <dgm:chPref val="3"/>
        </dgm:presLayoutVars>
      </dgm:prSet>
      <dgm:spPr/>
      <dgm:t>
        <a:bodyPr/>
        <a:lstStyle/>
        <a:p>
          <a:endParaRPr lang="en-US"/>
        </a:p>
      </dgm:t>
    </dgm:pt>
    <dgm:pt modelId="{AF248F5E-8940-9E49-BF04-4B71874BB687}" type="pres">
      <dgm:prSet presAssocID="{A83FFAE9-474C-A949-8BF0-0F6CDE4EDAEF}" presName="rootConnector" presStyleLbl="node3" presStyleIdx="0" presStyleCnt="1"/>
      <dgm:spPr/>
      <dgm:t>
        <a:bodyPr/>
        <a:lstStyle/>
        <a:p>
          <a:endParaRPr lang="en-US"/>
        </a:p>
      </dgm:t>
    </dgm:pt>
    <dgm:pt modelId="{DFF9CA8E-6F87-664F-BC29-419574EE7EC6}" type="pres">
      <dgm:prSet presAssocID="{A83FFAE9-474C-A949-8BF0-0F6CDE4EDAEF}" presName="hierChild4" presStyleCnt="0"/>
      <dgm:spPr/>
    </dgm:pt>
    <dgm:pt modelId="{F733519E-3ACC-3F41-A902-EFAA7CA9FA23}" type="pres">
      <dgm:prSet presAssocID="{97DDFA16-B645-8A4A-B638-FD29A5D1DA3F}" presName="Name37" presStyleLbl="parChTrans1D4" presStyleIdx="0" presStyleCnt="6"/>
      <dgm:spPr/>
      <dgm:t>
        <a:bodyPr/>
        <a:lstStyle/>
        <a:p>
          <a:endParaRPr lang="en-US"/>
        </a:p>
      </dgm:t>
    </dgm:pt>
    <dgm:pt modelId="{975F017F-DB78-C248-ACE5-F16A01C9592E}" type="pres">
      <dgm:prSet presAssocID="{A49D736A-C4F5-FB4C-B216-FF1082A9BD96}" presName="hierRoot2" presStyleCnt="0">
        <dgm:presLayoutVars>
          <dgm:hierBranch val="init"/>
        </dgm:presLayoutVars>
      </dgm:prSet>
      <dgm:spPr/>
    </dgm:pt>
    <dgm:pt modelId="{E4F029DD-DBDB-7D41-ADB3-82E6666C2144}" type="pres">
      <dgm:prSet presAssocID="{A49D736A-C4F5-FB4C-B216-FF1082A9BD96}" presName="rootComposite" presStyleCnt="0"/>
      <dgm:spPr/>
    </dgm:pt>
    <dgm:pt modelId="{C754249F-BBB1-D04F-B3C6-F4EDF578E65E}" type="pres">
      <dgm:prSet presAssocID="{A49D736A-C4F5-FB4C-B216-FF1082A9BD96}" presName="rootText" presStyleLbl="node4" presStyleIdx="0" presStyleCnt="6" custScaleX="236436" custScaleY="242805" custLinFactX="-100000" custLinFactNeighborX="-184488" custLinFactNeighborY="46172">
        <dgm:presLayoutVars>
          <dgm:chPref val="3"/>
        </dgm:presLayoutVars>
      </dgm:prSet>
      <dgm:spPr/>
      <dgm:t>
        <a:bodyPr/>
        <a:lstStyle/>
        <a:p>
          <a:endParaRPr lang="en-US"/>
        </a:p>
      </dgm:t>
    </dgm:pt>
    <dgm:pt modelId="{2C2662E8-3612-C94F-8663-641D94CB476E}" type="pres">
      <dgm:prSet presAssocID="{A49D736A-C4F5-FB4C-B216-FF1082A9BD96}" presName="rootConnector" presStyleLbl="node4" presStyleIdx="0" presStyleCnt="6"/>
      <dgm:spPr/>
      <dgm:t>
        <a:bodyPr/>
        <a:lstStyle/>
        <a:p>
          <a:endParaRPr lang="en-US"/>
        </a:p>
      </dgm:t>
    </dgm:pt>
    <dgm:pt modelId="{855674E0-40F3-9A43-B546-472A0FCC451E}" type="pres">
      <dgm:prSet presAssocID="{A49D736A-C4F5-FB4C-B216-FF1082A9BD96}" presName="hierChild4" presStyleCnt="0"/>
      <dgm:spPr/>
    </dgm:pt>
    <dgm:pt modelId="{15581F3F-9B00-E343-8054-71979080FA6A}" type="pres">
      <dgm:prSet presAssocID="{A49D736A-C4F5-FB4C-B216-FF1082A9BD96}" presName="hierChild5" presStyleCnt="0"/>
      <dgm:spPr/>
    </dgm:pt>
    <dgm:pt modelId="{730C2488-C0E1-404D-8BC2-077C924AE891}" type="pres">
      <dgm:prSet presAssocID="{BC3051FB-D249-4F46-B48A-3B5F69B753F7}" presName="Name37" presStyleLbl="parChTrans1D4" presStyleIdx="1" presStyleCnt="6"/>
      <dgm:spPr/>
      <dgm:t>
        <a:bodyPr/>
        <a:lstStyle/>
        <a:p>
          <a:endParaRPr lang="en-US"/>
        </a:p>
      </dgm:t>
    </dgm:pt>
    <dgm:pt modelId="{7A2461C7-6999-B848-9F14-6A2232F2FFAC}" type="pres">
      <dgm:prSet presAssocID="{45D37D1C-5923-BE4F-872D-CF702D4ECD40}" presName="hierRoot2" presStyleCnt="0">
        <dgm:presLayoutVars>
          <dgm:hierBranch val="init"/>
        </dgm:presLayoutVars>
      </dgm:prSet>
      <dgm:spPr/>
    </dgm:pt>
    <dgm:pt modelId="{3BB61369-9927-624F-9736-12A5173C60E9}" type="pres">
      <dgm:prSet presAssocID="{45D37D1C-5923-BE4F-872D-CF702D4ECD40}" presName="rootComposite" presStyleCnt="0"/>
      <dgm:spPr/>
    </dgm:pt>
    <dgm:pt modelId="{83EEE877-05FD-9648-B104-FEAE161C98A8}" type="pres">
      <dgm:prSet presAssocID="{45D37D1C-5923-BE4F-872D-CF702D4ECD40}" presName="rootText" presStyleLbl="node4" presStyleIdx="1" presStyleCnt="6" custScaleX="441984" custScaleY="89461" custLinFactNeighborX="38505" custLinFactNeighborY="-70764">
        <dgm:presLayoutVars>
          <dgm:chPref val="3"/>
        </dgm:presLayoutVars>
      </dgm:prSet>
      <dgm:spPr/>
      <dgm:t>
        <a:bodyPr/>
        <a:lstStyle/>
        <a:p>
          <a:endParaRPr lang="en-US"/>
        </a:p>
      </dgm:t>
    </dgm:pt>
    <dgm:pt modelId="{1DB63DE3-35D0-0D4B-A34D-C3C747EFCC1E}" type="pres">
      <dgm:prSet presAssocID="{45D37D1C-5923-BE4F-872D-CF702D4ECD40}" presName="rootConnector" presStyleLbl="node4" presStyleIdx="1" presStyleCnt="6"/>
      <dgm:spPr/>
      <dgm:t>
        <a:bodyPr/>
        <a:lstStyle/>
        <a:p>
          <a:endParaRPr lang="en-US"/>
        </a:p>
      </dgm:t>
    </dgm:pt>
    <dgm:pt modelId="{2D2454F9-7948-F64D-965A-252333CB826C}" type="pres">
      <dgm:prSet presAssocID="{45D37D1C-5923-BE4F-872D-CF702D4ECD40}" presName="hierChild4" presStyleCnt="0"/>
      <dgm:spPr/>
    </dgm:pt>
    <dgm:pt modelId="{ABA01005-0446-9A42-B3A1-3743AE1B3DDA}" type="pres">
      <dgm:prSet presAssocID="{45D37D1C-5923-BE4F-872D-CF702D4ECD40}" presName="hierChild5" presStyleCnt="0"/>
      <dgm:spPr/>
    </dgm:pt>
    <dgm:pt modelId="{3F9E9E37-0155-E148-9F3C-098E93423EF9}" type="pres">
      <dgm:prSet presAssocID="{A718B687-182A-6547-AEDB-07AE90F2E07F}" presName="Name37" presStyleLbl="parChTrans1D4" presStyleIdx="2" presStyleCnt="6"/>
      <dgm:spPr/>
      <dgm:t>
        <a:bodyPr/>
        <a:lstStyle/>
        <a:p>
          <a:endParaRPr lang="en-US"/>
        </a:p>
      </dgm:t>
    </dgm:pt>
    <dgm:pt modelId="{25E8DE08-D5B4-214B-B9C0-92BC279AF734}" type="pres">
      <dgm:prSet presAssocID="{BA5068E1-0854-634C-B677-E1FF73A7899E}" presName="hierRoot2" presStyleCnt="0">
        <dgm:presLayoutVars>
          <dgm:hierBranch val="init"/>
        </dgm:presLayoutVars>
      </dgm:prSet>
      <dgm:spPr/>
    </dgm:pt>
    <dgm:pt modelId="{3D28F807-620E-8A42-B2D6-E569576AA06C}" type="pres">
      <dgm:prSet presAssocID="{BA5068E1-0854-634C-B677-E1FF73A7899E}" presName="rootComposite" presStyleCnt="0"/>
      <dgm:spPr/>
    </dgm:pt>
    <dgm:pt modelId="{3CF1B569-748B-2D43-90CA-0049DC22AB5F}" type="pres">
      <dgm:prSet presAssocID="{BA5068E1-0854-634C-B677-E1FF73A7899E}" presName="rootText" presStyleLbl="node4" presStyleIdx="2" presStyleCnt="6" custScaleX="441984" custScaleY="139739" custLinFactNeighborX="38039" custLinFactNeighborY="-72552">
        <dgm:presLayoutVars>
          <dgm:chPref val="3"/>
        </dgm:presLayoutVars>
      </dgm:prSet>
      <dgm:spPr/>
      <dgm:t>
        <a:bodyPr/>
        <a:lstStyle/>
        <a:p>
          <a:endParaRPr lang="en-US"/>
        </a:p>
      </dgm:t>
    </dgm:pt>
    <dgm:pt modelId="{E6A88053-C0B6-2F46-8F6A-721EE428C37E}" type="pres">
      <dgm:prSet presAssocID="{BA5068E1-0854-634C-B677-E1FF73A7899E}" presName="rootConnector" presStyleLbl="node4" presStyleIdx="2" presStyleCnt="6"/>
      <dgm:spPr/>
      <dgm:t>
        <a:bodyPr/>
        <a:lstStyle/>
        <a:p>
          <a:endParaRPr lang="en-US"/>
        </a:p>
      </dgm:t>
    </dgm:pt>
    <dgm:pt modelId="{713CE04A-B19D-E942-B460-04C4BE33C0D8}" type="pres">
      <dgm:prSet presAssocID="{BA5068E1-0854-634C-B677-E1FF73A7899E}" presName="hierChild4" presStyleCnt="0"/>
      <dgm:spPr/>
    </dgm:pt>
    <dgm:pt modelId="{FF74B7C2-00A5-4740-AAFD-883EB4302EFD}" type="pres">
      <dgm:prSet presAssocID="{BA5068E1-0854-634C-B677-E1FF73A7899E}" presName="hierChild5" presStyleCnt="0"/>
      <dgm:spPr/>
    </dgm:pt>
    <dgm:pt modelId="{CCF42178-7F2A-3240-8926-3F64BFA05C04}" type="pres">
      <dgm:prSet presAssocID="{E2E35DCD-3D30-7442-9A10-5D1CA0BE16FA}" presName="Name37" presStyleLbl="parChTrans1D4" presStyleIdx="3" presStyleCnt="6"/>
      <dgm:spPr/>
      <dgm:t>
        <a:bodyPr/>
        <a:lstStyle/>
        <a:p>
          <a:endParaRPr lang="en-US"/>
        </a:p>
      </dgm:t>
    </dgm:pt>
    <dgm:pt modelId="{FF47C196-8D49-A044-ABAF-C898F5FD3508}" type="pres">
      <dgm:prSet presAssocID="{3AC8FC55-B69F-054A-B592-3D71263646DF}" presName="hierRoot2" presStyleCnt="0">
        <dgm:presLayoutVars>
          <dgm:hierBranch val="init"/>
        </dgm:presLayoutVars>
      </dgm:prSet>
      <dgm:spPr/>
    </dgm:pt>
    <dgm:pt modelId="{DA358C28-1B63-C148-9ECA-B4F884D4AF11}" type="pres">
      <dgm:prSet presAssocID="{3AC8FC55-B69F-054A-B592-3D71263646DF}" presName="rootComposite" presStyleCnt="0"/>
      <dgm:spPr/>
    </dgm:pt>
    <dgm:pt modelId="{51F3EFF7-50EC-6346-B84C-5D70ACE299DB}" type="pres">
      <dgm:prSet presAssocID="{3AC8FC55-B69F-054A-B592-3D71263646DF}" presName="rootText" presStyleLbl="node4" presStyleIdx="3" presStyleCnt="6" custScaleX="441984" custScaleY="90158" custLinFactNeighborX="38505" custLinFactNeighborY="-80223">
        <dgm:presLayoutVars>
          <dgm:chPref val="3"/>
        </dgm:presLayoutVars>
      </dgm:prSet>
      <dgm:spPr/>
      <dgm:t>
        <a:bodyPr/>
        <a:lstStyle/>
        <a:p>
          <a:endParaRPr lang="en-US"/>
        </a:p>
      </dgm:t>
    </dgm:pt>
    <dgm:pt modelId="{A24285A1-4E17-7243-A224-926A87EB989B}" type="pres">
      <dgm:prSet presAssocID="{3AC8FC55-B69F-054A-B592-3D71263646DF}" presName="rootConnector" presStyleLbl="node4" presStyleIdx="3" presStyleCnt="6"/>
      <dgm:spPr/>
      <dgm:t>
        <a:bodyPr/>
        <a:lstStyle/>
        <a:p>
          <a:endParaRPr lang="en-US"/>
        </a:p>
      </dgm:t>
    </dgm:pt>
    <dgm:pt modelId="{1DEA1FD2-F657-DF49-A6ED-10B7A9C023DC}" type="pres">
      <dgm:prSet presAssocID="{3AC8FC55-B69F-054A-B592-3D71263646DF}" presName="hierChild4" presStyleCnt="0"/>
      <dgm:spPr/>
    </dgm:pt>
    <dgm:pt modelId="{1B0AEA33-10C8-DC41-AA86-3A78BA4B30F8}" type="pres">
      <dgm:prSet presAssocID="{3AC8FC55-B69F-054A-B592-3D71263646DF}" presName="hierChild5" presStyleCnt="0"/>
      <dgm:spPr/>
    </dgm:pt>
    <dgm:pt modelId="{A3D5E0A9-EE9D-0847-B93E-56C271B52E33}" type="pres">
      <dgm:prSet presAssocID="{E73840A1-D3E8-5449-BC51-2A1582457E16}" presName="Name37" presStyleLbl="parChTrans1D4" presStyleIdx="4" presStyleCnt="6"/>
      <dgm:spPr/>
      <dgm:t>
        <a:bodyPr/>
        <a:lstStyle/>
        <a:p>
          <a:endParaRPr lang="en-US"/>
        </a:p>
      </dgm:t>
    </dgm:pt>
    <dgm:pt modelId="{E828AFE6-980A-D74F-8B93-58490E771627}" type="pres">
      <dgm:prSet presAssocID="{ECC0BD93-C5A0-CB47-8AEA-219E35E8D13F}" presName="hierRoot2" presStyleCnt="0">
        <dgm:presLayoutVars>
          <dgm:hierBranch val="init"/>
        </dgm:presLayoutVars>
      </dgm:prSet>
      <dgm:spPr/>
    </dgm:pt>
    <dgm:pt modelId="{D13519B8-3367-B048-BFC4-A6AC43936A6E}" type="pres">
      <dgm:prSet presAssocID="{ECC0BD93-C5A0-CB47-8AEA-219E35E8D13F}" presName="rootComposite" presStyleCnt="0"/>
      <dgm:spPr/>
    </dgm:pt>
    <dgm:pt modelId="{68B32261-6683-7A4F-A40D-28126F59F16D}" type="pres">
      <dgm:prSet presAssocID="{ECC0BD93-C5A0-CB47-8AEA-219E35E8D13F}" presName="rootText" presStyleLbl="node4" presStyleIdx="4" presStyleCnt="6" custScaleX="441984" custScaleY="142123" custLinFactNeighborX="38505" custLinFactNeighborY="-83355">
        <dgm:presLayoutVars>
          <dgm:chPref val="3"/>
        </dgm:presLayoutVars>
      </dgm:prSet>
      <dgm:spPr/>
      <dgm:t>
        <a:bodyPr/>
        <a:lstStyle/>
        <a:p>
          <a:endParaRPr lang="en-US"/>
        </a:p>
      </dgm:t>
    </dgm:pt>
    <dgm:pt modelId="{65558DA4-7D53-8843-9896-1E478297A5D0}" type="pres">
      <dgm:prSet presAssocID="{ECC0BD93-C5A0-CB47-8AEA-219E35E8D13F}" presName="rootConnector" presStyleLbl="node4" presStyleIdx="4" presStyleCnt="6"/>
      <dgm:spPr/>
      <dgm:t>
        <a:bodyPr/>
        <a:lstStyle/>
        <a:p>
          <a:endParaRPr lang="en-US"/>
        </a:p>
      </dgm:t>
    </dgm:pt>
    <dgm:pt modelId="{A9E232A6-A249-8B45-8297-751F653DBD2C}" type="pres">
      <dgm:prSet presAssocID="{ECC0BD93-C5A0-CB47-8AEA-219E35E8D13F}" presName="hierChild4" presStyleCnt="0"/>
      <dgm:spPr/>
    </dgm:pt>
    <dgm:pt modelId="{93C89801-B78B-7F49-A218-9364086176E9}" type="pres">
      <dgm:prSet presAssocID="{ECC0BD93-C5A0-CB47-8AEA-219E35E8D13F}" presName="hierChild5" presStyleCnt="0"/>
      <dgm:spPr/>
    </dgm:pt>
    <dgm:pt modelId="{65873C4B-99AE-C14A-8F9C-B0CA165FE55C}" type="pres">
      <dgm:prSet presAssocID="{414A0D5E-B895-D248-9C18-9B99AC8F9DCD}" presName="Name37" presStyleLbl="parChTrans1D4" presStyleIdx="5" presStyleCnt="6"/>
      <dgm:spPr/>
      <dgm:t>
        <a:bodyPr/>
        <a:lstStyle/>
        <a:p>
          <a:endParaRPr lang="en-US"/>
        </a:p>
      </dgm:t>
    </dgm:pt>
    <dgm:pt modelId="{3D4903F8-37F0-1648-82C1-7E8FB10E4695}" type="pres">
      <dgm:prSet presAssocID="{4ABD5FB7-D67D-8740-A1AC-608141EB9CF5}" presName="hierRoot2" presStyleCnt="0">
        <dgm:presLayoutVars>
          <dgm:hierBranch val="init"/>
        </dgm:presLayoutVars>
      </dgm:prSet>
      <dgm:spPr/>
    </dgm:pt>
    <dgm:pt modelId="{909FFA68-AB23-4A46-B1D4-20B6ACC91645}" type="pres">
      <dgm:prSet presAssocID="{4ABD5FB7-D67D-8740-A1AC-608141EB9CF5}" presName="rootComposite" presStyleCnt="0"/>
      <dgm:spPr/>
    </dgm:pt>
    <dgm:pt modelId="{B0B84730-631C-1841-8E61-CF5F2D35F453}" type="pres">
      <dgm:prSet presAssocID="{4ABD5FB7-D67D-8740-A1AC-608141EB9CF5}" presName="rootText" presStyleLbl="node4" presStyleIdx="5" presStyleCnt="6" custScaleX="441984" custScaleY="142873" custLinFactNeighborX="40770" custLinFactNeighborY="-92029">
        <dgm:presLayoutVars>
          <dgm:chPref val="3"/>
        </dgm:presLayoutVars>
      </dgm:prSet>
      <dgm:spPr/>
      <dgm:t>
        <a:bodyPr/>
        <a:lstStyle/>
        <a:p>
          <a:endParaRPr lang="en-US"/>
        </a:p>
      </dgm:t>
    </dgm:pt>
    <dgm:pt modelId="{08C0C384-E988-1346-978E-A51458A182CC}" type="pres">
      <dgm:prSet presAssocID="{4ABD5FB7-D67D-8740-A1AC-608141EB9CF5}" presName="rootConnector" presStyleLbl="node4" presStyleIdx="5" presStyleCnt="6"/>
      <dgm:spPr/>
      <dgm:t>
        <a:bodyPr/>
        <a:lstStyle/>
        <a:p>
          <a:endParaRPr lang="en-US"/>
        </a:p>
      </dgm:t>
    </dgm:pt>
    <dgm:pt modelId="{17B1EBBD-FCF5-584C-9982-862968356A2A}" type="pres">
      <dgm:prSet presAssocID="{4ABD5FB7-D67D-8740-A1AC-608141EB9CF5}" presName="hierChild4" presStyleCnt="0"/>
      <dgm:spPr/>
    </dgm:pt>
    <dgm:pt modelId="{9E4B5AC1-DB59-C540-8AE5-1A36DA573679}" type="pres">
      <dgm:prSet presAssocID="{4ABD5FB7-D67D-8740-A1AC-608141EB9CF5}" presName="hierChild5" presStyleCnt="0"/>
      <dgm:spPr/>
    </dgm:pt>
    <dgm:pt modelId="{05B27611-E16F-304B-880E-29092238F737}" type="pres">
      <dgm:prSet presAssocID="{A83FFAE9-474C-A949-8BF0-0F6CDE4EDAEF}" presName="hierChild5" presStyleCnt="0"/>
      <dgm:spPr/>
    </dgm:pt>
    <dgm:pt modelId="{39EA81BB-8029-4440-AD68-48EE30F23DAF}" type="pres">
      <dgm:prSet presAssocID="{001855C9-F3EB-3B4D-8585-6180942ECD00}" presName="hierChild5" presStyleCnt="0"/>
      <dgm:spPr/>
    </dgm:pt>
    <dgm:pt modelId="{5F125B6A-8158-E242-A2F1-88A1513A3E4C}" type="pres">
      <dgm:prSet presAssocID="{B6B5BD3E-678D-E345-92DF-B79D9D205BCA}" presName="hierChild3" presStyleCnt="0"/>
      <dgm:spPr/>
    </dgm:pt>
    <dgm:pt modelId="{22020341-EF5D-45EB-A0CA-878DAFA00A74}" type="pres">
      <dgm:prSet presAssocID="{74BD4A67-C92E-428F-98A0-A3F54C3D3EDE}" presName="Name111" presStyleLbl="parChTrans1D2" presStyleIdx="1" presStyleCnt="2"/>
      <dgm:spPr/>
      <dgm:t>
        <a:bodyPr/>
        <a:lstStyle/>
        <a:p>
          <a:endParaRPr lang="en-US"/>
        </a:p>
      </dgm:t>
    </dgm:pt>
    <dgm:pt modelId="{B29DCDD7-7333-4685-8DB3-7307C8CCF705}" type="pres">
      <dgm:prSet presAssocID="{24A84A2C-4172-4E70-9058-8447DD041190}" presName="hierRoot3" presStyleCnt="0">
        <dgm:presLayoutVars>
          <dgm:hierBranch val="init"/>
        </dgm:presLayoutVars>
      </dgm:prSet>
      <dgm:spPr/>
    </dgm:pt>
    <dgm:pt modelId="{EEA79010-1504-462C-B17B-80F439A63D46}" type="pres">
      <dgm:prSet presAssocID="{24A84A2C-4172-4E70-9058-8447DD041190}" presName="rootComposite3" presStyleCnt="0"/>
      <dgm:spPr/>
    </dgm:pt>
    <dgm:pt modelId="{B8BD42D8-5640-4DD6-9DE4-A0FC29A6F9D1}" type="pres">
      <dgm:prSet presAssocID="{24A84A2C-4172-4E70-9058-8447DD041190}" presName="rootText3" presStyleLbl="asst1" presStyleIdx="0" presStyleCnt="1" custScaleX="236436" custScaleY="238113" custLinFactY="200000" custLinFactNeighborX="-92016" custLinFactNeighborY="250310">
        <dgm:presLayoutVars>
          <dgm:chPref val="3"/>
        </dgm:presLayoutVars>
      </dgm:prSet>
      <dgm:spPr/>
      <dgm:t>
        <a:bodyPr/>
        <a:lstStyle/>
        <a:p>
          <a:endParaRPr lang="en-US"/>
        </a:p>
      </dgm:t>
    </dgm:pt>
    <dgm:pt modelId="{BEE32F35-F699-40A1-BDF8-3DEAE79DF54F}" type="pres">
      <dgm:prSet presAssocID="{24A84A2C-4172-4E70-9058-8447DD041190}" presName="rootConnector3" presStyleLbl="asst1" presStyleIdx="0" presStyleCnt="1"/>
      <dgm:spPr/>
      <dgm:t>
        <a:bodyPr/>
        <a:lstStyle/>
        <a:p>
          <a:endParaRPr lang="en-US"/>
        </a:p>
      </dgm:t>
    </dgm:pt>
    <dgm:pt modelId="{518A8184-563D-4F44-825A-37443CEE0E9E}" type="pres">
      <dgm:prSet presAssocID="{24A84A2C-4172-4E70-9058-8447DD041190}" presName="hierChild6" presStyleCnt="0"/>
      <dgm:spPr/>
    </dgm:pt>
    <dgm:pt modelId="{38E43FCC-9D18-4D1F-96A4-810442A8F281}" type="pres">
      <dgm:prSet presAssocID="{24A84A2C-4172-4E70-9058-8447DD041190}" presName="hierChild7" presStyleCnt="0"/>
      <dgm:spPr/>
    </dgm:pt>
  </dgm:ptLst>
  <dgm:cxnLst>
    <dgm:cxn modelId="{C176A65A-5C4D-4142-A350-1D93E24304E8}" type="presOf" srcId="{45D37D1C-5923-BE4F-872D-CF702D4ECD40}" destId="{83EEE877-05FD-9648-B104-FEAE161C98A8}" srcOrd="0" destOrd="0" presId="urn:microsoft.com/office/officeart/2005/8/layout/orgChart1#1"/>
    <dgm:cxn modelId="{A1752045-05DB-4F84-AD6E-C6003631E61A}" type="presOf" srcId="{414A0D5E-B895-D248-9C18-9B99AC8F9DCD}" destId="{65873C4B-99AE-C14A-8F9C-B0CA165FE55C}" srcOrd="0" destOrd="0" presId="urn:microsoft.com/office/officeart/2005/8/layout/orgChart1#1"/>
    <dgm:cxn modelId="{211F7842-F252-4EB5-91E9-7061D14E8934}" type="presOf" srcId="{A718B687-182A-6547-AEDB-07AE90F2E07F}" destId="{3F9E9E37-0155-E148-9F3C-098E93423EF9}" srcOrd="0" destOrd="0" presId="urn:microsoft.com/office/officeart/2005/8/layout/orgChart1#1"/>
    <dgm:cxn modelId="{3CDBCAD3-257D-4E7B-A556-5BF88D285AE5}" type="presOf" srcId="{A49D736A-C4F5-FB4C-B216-FF1082A9BD96}" destId="{2C2662E8-3612-C94F-8663-641D94CB476E}" srcOrd="1" destOrd="0" presId="urn:microsoft.com/office/officeart/2005/8/layout/orgChart1#1"/>
    <dgm:cxn modelId="{54ACAB20-505D-6448-9E79-896273D950D0}" srcId="{A83FFAE9-474C-A949-8BF0-0F6CDE4EDAEF}" destId="{45D37D1C-5923-BE4F-872D-CF702D4ECD40}" srcOrd="1" destOrd="0" parTransId="{BC3051FB-D249-4F46-B48A-3B5F69B753F7}" sibTransId="{6C8A4D81-7726-EC45-9A4C-052FCFA8A883}"/>
    <dgm:cxn modelId="{0E2BDCB7-3B19-4358-A57D-83822E80A54F}" type="presOf" srcId="{A4305182-62BC-6741-A402-D8D74F7214B7}" destId="{B0D45279-676F-4444-AF27-AF28A4BA7898}" srcOrd="0" destOrd="0" presId="urn:microsoft.com/office/officeart/2005/8/layout/orgChart1#1"/>
    <dgm:cxn modelId="{E5C3E9AF-9AFA-ED48-B16C-FBC9114C5B39}" srcId="{A83FFAE9-474C-A949-8BF0-0F6CDE4EDAEF}" destId="{ECC0BD93-C5A0-CB47-8AEA-219E35E8D13F}" srcOrd="4" destOrd="0" parTransId="{E73840A1-D3E8-5449-BC51-2A1582457E16}" sibTransId="{3848B372-7C3A-0E44-91E5-E4B15538EE85}"/>
    <dgm:cxn modelId="{EBC2F96A-6586-4166-BE6E-4AC8C5C3705B}" type="presOf" srcId="{BA5068E1-0854-634C-B677-E1FF73A7899E}" destId="{3CF1B569-748B-2D43-90CA-0049DC22AB5F}" srcOrd="0" destOrd="0" presId="urn:microsoft.com/office/officeart/2005/8/layout/orgChart1#1"/>
    <dgm:cxn modelId="{95805076-4735-44E8-9C9E-DEC11C64636C}" type="presOf" srcId="{E73840A1-D3E8-5449-BC51-2A1582457E16}" destId="{A3D5E0A9-EE9D-0847-B93E-56C271B52E33}" srcOrd="0" destOrd="0" presId="urn:microsoft.com/office/officeart/2005/8/layout/orgChart1#1"/>
    <dgm:cxn modelId="{C6D53823-DE2A-495A-A4D5-17FDF79686D1}" type="presOf" srcId="{001855C9-F3EB-3B4D-8585-6180942ECD00}" destId="{D737E90D-4029-324D-9AD1-1EB8AFB74C7D}" srcOrd="0" destOrd="0" presId="urn:microsoft.com/office/officeart/2005/8/layout/orgChart1#1"/>
    <dgm:cxn modelId="{35E39890-DC7F-4F1D-A90D-C4A9157B9159}" type="presOf" srcId="{BC3051FB-D249-4F46-B48A-3B5F69B753F7}" destId="{730C2488-C0E1-404D-8BC2-077C924AE891}" srcOrd="0" destOrd="0" presId="urn:microsoft.com/office/officeart/2005/8/layout/orgChart1#1"/>
    <dgm:cxn modelId="{CE3E2FD6-F96F-40D3-A688-E30CFABF9424}" type="presOf" srcId="{24A84A2C-4172-4E70-9058-8447DD041190}" destId="{B8BD42D8-5640-4DD6-9DE4-A0FC29A6F9D1}" srcOrd="0" destOrd="0" presId="urn:microsoft.com/office/officeart/2005/8/layout/orgChart1#1"/>
    <dgm:cxn modelId="{6B953F7D-D109-4F0C-89AF-BFD17DD5FE43}" type="presOf" srcId="{E2E35DCD-3D30-7442-9A10-5D1CA0BE16FA}" destId="{CCF42178-7F2A-3240-8926-3F64BFA05C04}" srcOrd="0" destOrd="0" presId="urn:microsoft.com/office/officeart/2005/8/layout/orgChart1#1"/>
    <dgm:cxn modelId="{D0C4E36C-EA69-F04E-AD91-B15A3BAD1CBD}" srcId="{B6B5BD3E-678D-E345-92DF-B79D9D205BCA}" destId="{001855C9-F3EB-3B4D-8585-6180942ECD00}" srcOrd="0" destOrd="0" parTransId="{E862FB02-49F5-C04D-999B-9D62FD8077E9}" sibTransId="{B405BE6B-0F26-C64A-99C2-95C536004D6D}"/>
    <dgm:cxn modelId="{6DFAD541-4D2D-A14B-90F6-BA588337D5A8}" srcId="{A83FFAE9-474C-A949-8BF0-0F6CDE4EDAEF}" destId="{4ABD5FB7-D67D-8740-A1AC-608141EB9CF5}" srcOrd="5" destOrd="0" parTransId="{414A0D5E-B895-D248-9C18-9B99AC8F9DCD}" sibTransId="{64FDE679-969B-0145-8697-209090685864}"/>
    <dgm:cxn modelId="{DA9BA67C-2EEB-46A8-8675-D4DBA35FA6AB}" type="presOf" srcId="{4ABD5FB7-D67D-8740-A1AC-608141EB9CF5}" destId="{08C0C384-E988-1346-978E-A51458A182CC}" srcOrd="1" destOrd="0" presId="urn:microsoft.com/office/officeart/2005/8/layout/orgChart1#1"/>
    <dgm:cxn modelId="{2E924C6E-9186-412A-9AD0-62C5F0D5CFEE}" type="presOf" srcId="{E862FB02-49F5-C04D-999B-9D62FD8077E9}" destId="{5DF23B28-33CE-EF4D-9BB7-420DFD62EC82}" srcOrd="0" destOrd="0" presId="urn:microsoft.com/office/officeart/2005/8/layout/orgChart1#1"/>
    <dgm:cxn modelId="{5AA4E169-5B12-4A41-A90E-E5F873CDDD81}" srcId="{001855C9-F3EB-3B4D-8585-6180942ECD00}" destId="{A83FFAE9-474C-A949-8BF0-0F6CDE4EDAEF}" srcOrd="0" destOrd="0" parTransId="{BEE55885-2AA2-764B-8727-1CCE8E9EDEA3}" sibTransId="{0947522F-AA9C-6D42-AA4E-AFCFE75A884A}"/>
    <dgm:cxn modelId="{1233CBF6-319E-4336-834E-B3F33373FDC7}" type="presOf" srcId="{BEE55885-2AA2-764B-8727-1CCE8E9EDEA3}" destId="{5E9178F6-B750-204A-B300-6DB38BCF304F}" srcOrd="0" destOrd="0" presId="urn:microsoft.com/office/officeart/2005/8/layout/orgChart1#1"/>
    <dgm:cxn modelId="{34E33CDC-5AB4-408B-9348-3EBEC0F08952}" type="presOf" srcId="{45D37D1C-5923-BE4F-872D-CF702D4ECD40}" destId="{1DB63DE3-35D0-0D4B-A34D-C3C747EFCC1E}" srcOrd="1" destOrd="0" presId="urn:microsoft.com/office/officeart/2005/8/layout/orgChart1#1"/>
    <dgm:cxn modelId="{06C64397-35EC-5D4C-9FC4-712B8FCF1BA0}" srcId="{A83FFAE9-474C-A949-8BF0-0F6CDE4EDAEF}" destId="{BA5068E1-0854-634C-B677-E1FF73A7899E}" srcOrd="2" destOrd="0" parTransId="{A718B687-182A-6547-AEDB-07AE90F2E07F}" sibTransId="{E728311B-1FF4-1549-A0E7-41D8204E11AF}"/>
    <dgm:cxn modelId="{41267BAA-1111-42BB-8369-C6FC18A0B0DF}" type="presOf" srcId="{24A84A2C-4172-4E70-9058-8447DD041190}" destId="{BEE32F35-F699-40A1-BDF8-3DEAE79DF54F}" srcOrd="1" destOrd="0" presId="urn:microsoft.com/office/officeart/2005/8/layout/orgChart1#1"/>
    <dgm:cxn modelId="{63551E8B-F39D-4811-B091-3089F747EF9C}" type="presOf" srcId="{A83FFAE9-474C-A949-8BF0-0F6CDE4EDAEF}" destId="{AF248F5E-8940-9E49-BF04-4B71874BB687}" srcOrd="1" destOrd="0" presId="urn:microsoft.com/office/officeart/2005/8/layout/orgChart1#1"/>
    <dgm:cxn modelId="{5EED03F8-E955-4F1E-8012-C56B5B90FDAE}" type="presOf" srcId="{ECC0BD93-C5A0-CB47-8AEA-219E35E8D13F}" destId="{68B32261-6683-7A4F-A40D-28126F59F16D}" srcOrd="0" destOrd="0" presId="urn:microsoft.com/office/officeart/2005/8/layout/orgChart1#1"/>
    <dgm:cxn modelId="{26EA83F3-0A9A-4A21-82D0-4EEEEA76CC00}" type="presOf" srcId="{A49D736A-C4F5-FB4C-B216-FF1082A9BD96}" destId="{C754249F-BBB1-D04F-B3C6-F4EDF578E65E}" srcOrd="0" destOrd="0" presId="urn:microsoft.com/office/officeart/2005/8/layout/orgChart1#1"/>
    <dgm:cxn modelId="{4DFE0607-74BB-4232-ACB3-E7645D266E82}" type="presOf" srcId="{B6B5BD3E-678D-E345-92DF-B79D9D205BCA}" destId="{C2C48554-E9BC-234B-A657-8BB9634D516A}" srcOrd="0" destOrd="0" presId="urn:microsoft.com/office/officeart/2005/8/layout/orgChart1#1"/>
    <dgm:cxn modelId="{62BC2E8F-3980-4132-8546-50827DBE4AA3}" type="presOf" srcId="{4ABD5FB7-D67D-8740-A1AC-608141EB9CF5}" destId="{B0B84730-631C-1841-8E61-CF5F2D35F453}" srcOrd="0" destOrd="0" presId="urn:microsoft.com/office/officeart/2005/8/layout/orgChart1#1"/>
    <dgm:cxn modelId="{29A468B7-4168-C943-8319-F4523DFFA8ED}" srcId="{A4305182-62BC-6741-A402-D8D74F7214B7}" destId="{B6B5BD3E-678D-E345-92DF-B79D9D205BCA}" srcOrd="0" destOrd="0" parTransId="{DCD898DB-47C4-984F-9FE0-C97146D82345}" sibTransId="{84A8B055-EAA9-9244-A6DC-B946768A9BA1}"/>
    <dgm:cxn modelId="{CA95CF89-5DAC-41E3-AF14-67E3CC7BF3B3}" type="presOf" srcId="{A83FFAE9-474C-A949-8BF0-0F6CDE4EDAEF}" destId="{EE95D60B-9E8D-4C49-AF8A-ACB284DC2B0F}" srcOrd="0" destOrd="0" presId="urn:microsoft.com/office/officeart/2005/8/layout/orgChart1#1"/>
    <dgm:cxn modelId="{16ACC3C6-6B5B-4AEF-BE19-538B254962B2}" type="presOf" srcId="{3AC8FC55-B69F-054A-B592-3D71263646DF}" destId="{51F3EFF7-50EC-6346-B84C-5D70ACE299DB}" srcOrd="0" destOrd="0" presId="urn:microsoft.com/office/officeart/2005/8/layout/orgChart1#1"/>
    <dgm:cxn modelId="{A21253E7-0A2F-45A5-A854-A61273DD88C0}" type="presOf" srcId="{BA5068E1-0854-634C-B677-E1FF73A7899E}" destId="{E6A88053-C0B6-2F46-8F6A-721EE428C37E}" srcOrd="1" destOrd="0" presId="urn:microsoft.com/office/officeart/2005/8/layout/orgChart1#1"/>
    <dgm:cxn modelId="{2C48A628-C54C-4D90-AB1A-D3B504B97984}" type="presOf" srcId="{001855C9-F3EB-3B4D-8585-6180942ECD00}" destId="{D17FE754-E070-D54B-B400-76AD47553698}" srcOrd="1" destOrd="0" presId="urn:microsoft.com/office/officeart/2005/8/layout/orgChart1#1"/>
    <dgm:cxn modelId="{D2E4E25E-2EE8-4F0D-A511-C76FDA5D2C09}" type="presOf" srcId="{74BD4A67-C92E-428F-98A0-A3F54C3D3EDE}" destId="{22020341-EF5D-45EB-A0CA-878DAFA00A74}" srcOrd="0" destOrd="0" presId="urn:microsoft.com/office/officeart/2005/8/layout/orgChart1#1"/>
    <dgm:cxn modelId="{D00DCC53-EA98-48FE-8C65-9DF3AB52AF44}" srcId="{B6B5BD3E-678D-E345-92DF-B79D9D205BCA}" destId="{24A84A2C-4172-4E70-9058-8447DD041190}" srcOrd="1" destOrd="0" parTransId="{74BD4A67-C92E-428F-98A0-A3F54C3D3EDE}" sibTransId="{3A66CDDC-40C4-4645-8930-C6E598940A91}"/>
    <dgm:cxn modelId="{2EF07B1F-8163-403A-AA41-9E97EC2F6EFA}" type="presOf" srcId="{B6B5BD3E-678D-E345-92DF-B79D9D205BCA}" destId="{8D52B244-6591-2444-A8D0-4C8FFC63E099}" srcOrd="1" destOrd="0" presId="urn:microsoft.com/office/officeart/2005/8/layout/orgChart1#1"/>
    <dgm:cxn modelId="{F0C2579F-6B56-40FF-ACA0-ED4DD2E7FB99}" type="presOf" srcId="{3AC8FC55-B69F-054A-B592-3D71263646DF}" destId="{A24285A1-4E17-7243-A224-926A87EB989B}" srcOrd="1" destOrd="0" presId="urn:microsoft.com/office/officeart/2005/8/layout/orgChart1#1"/>
    <dgm:cxn modelId="{C8D6041C-CBAC-4A5B-96C0-E4E4AE5901F0}" type="presOf" srcId="{97DDFA16-B645-8A4A-B638-FD29A5D1DA3F}" destId="{F733519E-3ACC-3F41-A902-EFAA7CA9FA23}" srcOrd="0" destOrd="0" presId="urn:microsoft.com/office/officeart/2005/8/layout/orgChart1#1"/>
    <dgm:cxn modelId="{7E4612C0-F2B5-E144-9C8F-6C9882A77E34}" srcId="{A83FFAE9-474C-A949-8BF0-0F6CDE4EDAEF}" destId="{A49D736A-C4F5-FB4C-B216-FF1082A9BD96}" srcOrd="0" destOrd="0" parTransId="{97DDFA16-B645-8A4A-B638-FD29A5D1DA3F}" sibTransId="{AFE61D6E-5626-AB4A-BE21-9226DEE7D2A7}"/>
    <dgm:cxn modelId="{982ACFA4-FC57-4C14-A039-FE9710EC55FD}" type="presOf" srcId="{ECC0BD93-C5A0-CB47-8AEA-219E35E8D13F}" destId="{65558DA4-7D53-8843-9896-1E478297A5D0}" srcOrd="1" destOrd="0" presId="urn:microsoft.com/office/officeart/2005/8/layout/orgChart1#1"/>
    <dgm:cxn modelId="{ED00552B-5E3A-544D-8856-79EDF4A7F1FF}" srcId="{A83FFAE9-474C-A949-8BF0-0F6CDE4EDAEF}" destId="{3AC8FC55-B69F-054A-B592-3D71263646DF}" srcOrd="3" destOrd="0" parTransId="{E2E35DCD-3D30-7442-9A10-5D1CA0BE16FA}" sibTransId="{3F19A7E2-E183-AB4B-89E5-0C6CECF3E184}"/>
    <dgm:cxn modelId="{5202D486-14DC-4A2A-9D6A-1AA06486C9FB}" type="presParOf" srcId="{B0D45279-676F-4444-AF27-AF28A4BA7898}" destId="{7E2FEF73-4107-E849-BFDF-1B2B1B4DD4C0}" srcOrd="0" destOrd="0" presId="urn:microsoft.com/office/officeart/2005/8/layout/orgChart1#1"/>
    <dgm:cxn modelId="{DF48BDD9-E4D8-4167-BFDD-BB47AD15E5A4}" type="presParOf" srcId="{7E2FEF73-4107-E849-BFDF-1B2B1B4DD4C0}" destId="{40B295C6-9463-B740-ABF5-A46BE8C4F3B4}" srcOrd="0" destOrd="0" presId="urn:microsoft.com/office/officeart/2005/8/layout/orgChart1#1"/>
    <dgm:cxn modelId="{C6AFBD4D-5188-4288-A5F9-3AC7BDB61797}" type="presParOf" srcId="{40B295C6-9463-B740-ABF5-A46BE8C4F3B4}" destId="{C2C48554-E9BC-234B-A657-8BB9634D516A}" srcOrd="0" destOrd="0" presId="urn:microsoft.com/office/officeart/2005/8/layout/orgChart1#1"/>
    <dgm:cxn modelId="{DE1C915B-1280-4B36-9EC5-51EA7C041864}" type="presParOf" srcId="{40B295C6-9463-B740-ABF5-A46BE8C4F3B4}" destId="{8D52B244-6591-2444-A8D0-4C8FFC63E099}" srcOrd="1" destOrd="0" presId="urn:microsoft.com/office/officeart/2005/8/layout/orgChart1#1"/>
    <dgm:cxn modelId="{E3F0DDCB-693E-4B4E-9E92-1FB134ED2267}" type="presParOf" srcId="{7E2FEF73-4107-E849-BFDF-1B2B1B4DD4C0}" destId="{72A7F9D3-86D3-BC4A-8C81-0D8D39B9F474}" srcOrd="1" destOrd="0" presId="urn:microsoft.com/office/officeart/2005/8/layout/orgChart1#1"/>
    <dgm:cxn modelId="{5A4A0878-CBD1-45E4-BE79-515038799B48}" type="presParOf" srcId="{72A7F9D3-86D3-BC4A-8C81-0D8D39B9F474}" destId="{5DF23B28-33CE-EF4D-9BB7-420DFD62EC82}" srcOrd="0" destOrd="0" presId="urn:microsoft.com/office/officeart/2005/8/layout/orgChart1#1"/>
    <dgm:cxn modelId="{61FE7458-C330-4E42-BB6F-F8FEC20BC213}" type="presParOf" srcId="{72A7F9D3-86D3-BC4A-8C81-0D8D39B9F474}" destId="{5FFDDE48-7D41-9146-A95E-15E48B2F1B31}" srcOrd="1" destOrd="0" presId="urn:microsoft.com/office/officeart/2005/8/layout/orgChart1#1"/>
    <dgm:cxn modelId="{77A8A499-8907-4A47-894D-60DB3F0F9D86}" type="presParOf" srcId="{5FFDDE48-7D41-9146-A95E-15E48B2F1B31}" destId="{5B88D21D-6076-204B-943D-7C017FE72217}" srcOrd="0" destOrd="0" presId="urn:microsoft.com/office/officeart/2005/8/layout/orgChart1#1"/>
    <dgm:cxn modelId="{D1BCB848-9550-402A-B664-52255F179D29}" type="presParOf" srcId="{5B88D21D-6076-204B-943D-7C017FE72217}" destId="{D737E90D-4029-324D-9AD1-1EB8AFB74C7D}" srcOrd="0" destOrd="0" presId="urn:microsoft.com/office/officeart/2005/8/layout/orgChart1#1"/>
    <dgm:cxn modelId="{2DB4A4BF-9F35-42E9-A077-3CC686C41AA0}" type="presParOf" srcId="{5B88D21D-6076-204B-943D-7C017FE72217}" destId="{D17FE754-E070-D54B-B400-76AD47553698}" srcOrd="1" destOrd="0" presId="urn:microsoft.com/office/officeart/2005/8/layout/orgChart1#1"/>
    <dgm:cxn modelId="{8FC25136-BED5-4F54-9A68-EB19B0C1F6B2}" type="presParOf" srcId="{5FFDDE48-7D41-9146-A95E-15E48B2F1B31}" destId="{64536B18-9644-9744-A583-E6034293BCFC}" srcOrd="1" destOrd="0" presId="urn:microsoft.com/office/officeart/2005/8/layout/orgChart1#1"/>
    <dgm:cxn modelId="{12394DE5-37F8-41A3-B512-44B4C60DE31A}" type="presParOf" srcId="{64536B18-9644-9744-A583-E6034293BCFC}" destId="{5E9178F6-B750-204A-B300-6DB38BCF304F}" srcOrd="0" destOrd="0" presId="urn:microsoft.com/office/officeart/2005/8/layout/orgChart1#1"/>
    <dgm:cxn modelId="{6DEA9B67-97C9-49DB-AE3A-68EFE441C6EE}" type="presParOf" srcId="{64536B18-9644-9744-A583-E6034293BCFC}" destId="{B82CCDFF-B272-704A-8C13-D0E138C3BCA7}" srcOrd="1" destOrd="0" presId="urn:microsoft.com/office/officeart/2005/8/layout/orgChart1#1"/>
    <dgm:cxn modelId="{AC6F4535-AD29-438E-AD10-AE9815F40C16}" type="presParOf" srcId="{B82CCDFF-B272-704A-8C13-D0E138C3BCA7}" destId="{AD2F2DFA-A9A7-334D-A125-9A931304B785}" srcOrd="0" destOrd="0" presId="urn:microsoft.com/office/officeart/2005/8/layout/orgChart1#1"/>
    <dgm:cxn modelId="{63617292-8FDF-447D-82F5-83435CBA70FF}" type="presParOf" srcId="{AD2F2DFA-A9A7-334D-A125-9A931304B785}" destId="{EE95D60B-9E8D-4C49-AF8A-ACB284DC2B0F}" srcOrd="0" destOrd="0" presId="urn:microsoft.com/office/officeart/2005/8/layout/orgChart1#1"/>
    <dgm:cxn modelId="{2D2D877F-B15F-480C-AD29-E31B885FD2AC}" type="presParOf" srcId="{AD2F2DFA-A9A7-334D-A125-9A931304B785}" destId="{AF248F5E-8940-9E49-BF04-4B71874BB687}" srcOrd="1" destOrd="0" presId="urn:microsoft.com/office/officeart/2005/8/layout/orgChart1#1"/>
    <dgm:cxn modelId="{18F22283-B26C-4F4A-9EE7-1379D0706DB9}" type="presParOf" srcId="{B82CCDFF-B272-704A-8C13-D0E138C3BCA7}" destId="{DFF9CA8E-6F87-664F-BC29-419574EE7EC6}" srcOrd="1" destOrd="0" presId="urn:microsoft.com/office/officeart/2005/8/layout/orgChart1#1"/>
    <dgm:cxn modelId="{93446872-BC54-4907-9ED6-8DED2B8BB771}" type="presParOf" srcId="{DFF9CA8E-6F87-664F-BC29-419574EE7EC6}" destId="{F733519E-3ACC-3F41-A902-EFAA7CA9FA23}" srcOrd="0" destOrd="0" presId="urn:microsoft.com/office/officeart/2005/8/layout/orgChart1#1"/>
    <dgm:cxn modelId="{3D5B3EB1-95B5-4078-9435-D06772ACA5A6}" type="presParOf" srcId="{DFF9CA8E-6F87-664F-BC29-419574EE7EC6}" destId="{975F017F-DB78-C248-ACE5-F16A01C9592E}" srcOrd="1" destOrd="0" presId="urn:microsoft.com/office/officeart/2005/8/layout/orgChart1#1"/>
    <dgm:cxn modelId="{DB125E02-FEB7-4BB3-8E66-75C75CCD26AB}" type="presParOf" srcId="{975F017F-DB78-C248-ACE5-F16A01C9592E}" destId="{E4F029DD-DBDB-7D41-ADB3-82E6666C2144}" srcOrd="0" destOrd="0" presId="urn:microsoft.com/office/officeart/2005/8/layout/orgChart1#1"/>
    <dgm:cxn modelId="{2F5F5C5C-390E-413B-8552-C2DC862FB6F2}" type="presParOf" srcId="{E4F029DD-DBDB-7D41-ADB3-82E6666C2144}" destId="{C754249F-BBB1-D04F-B3C6-F4EDF578E65E}" srcOrd="0" destOrd="0" presId="urn:microsoft.com/office/officeart/2005/8/layout/orgChart1#1"/>
    <dgm:cxn modelId="{4BC09163-AE42-460D-982F-749F359C8D87}" type="presParOf" srcId="{E4F029DD-DBDB-7D41-ADB3-82E6666C2144}" destId="{2C2662E8-3612-C94F-8663-641D94CB476E}" srcOrd="1" destOrd="0" presId="urn:microsoft.com/office/officeart/2005/8/layout/orgChart1#1"/>
    <dgm:cxn modelId="{06BB228F-EBBE-4C33-9246-D4814693BB48}" type="presParOf" srcId="{975F017F-DB78-C248-ACE5-F16A01C9592E}" destId="{855674E0-40F3-9A43-B546-472A0FCC451E}" srcOrd="1" destOrd="0" presId="urn:microsoft.com/office/officeart/2005/8/layout/orgChart1#1"/>
    <dgm:cxn modelId="{F31EFABE-CA12-4BCC-9490-87B83E0CCA9C}" type="presParOf" srcId="{975F017F-DB78-C248-ACE5-F16A01C9592E}" destId="{15581F3F-9B00-E343-8054-71979080FA6A}" srcOrd="2" destOrd="0" presId="urn:microsoft.com/office/officeart/2005/8/layout/orgChart1#1"/>
    <dgm:cxn modelId="{286CED0B-5277-479E-A3FF-4FB88ABAF4B4}" type="presParOf" srcId="{DFF9CA8E-6F87-664F-BC29-419574EE7EC6}" destId="{730C2488-C0E1-404D-8BC2-077C924AE891}" srcOrd="2" destOrd="0" presId="urn:microsoft.com/office/officeart/2005/8/layout/orgChart1#1"/>
    <dgm:cxn modelId="{1CC5E27B-C7BD-4A9C-AB53-661A99C7FE93}" type="presParOf" srcId="{DFF9CA8E-6F87-664F-BC29-419574EE7EC6}" destId="{7A2461C7-6999-B848-9F14-6A2232F2FFAC}" srcOrd="3" destOrd="0" presId="urn:microsoft.com/office/officeart/2005/8/layout/orgChart1#1"/>
    <dgm:cxn modelId="{7BE06572-8DDE-453A-8CE8-37094A2D299F}" type="presParOf" srcId="{7A2461C7-6999-B848-9F14-6A2232F2FFAC}" destId="{3BB61369-9927-624F-9736-12A5173C60E9}" srcOrd="0" destOrd="0" presId="urn:microsoft.com/office/officeart/2005/8/layout/orgChart1#1"/>
    <dgm:cxn modelId="{C41AB8CF-ADAD-4797-9445-33D4390F8C4B}" type="presParOf" srcId="{3BB61369-9927-624F-9736-12A5173C60E9}" destId="{83EEE877-05FD-9648-B104-FEAE161C98A8}" srcOrd="0" destOrd="0" presId="urn:microsoft.com/office/officeart/2005/8/layout/orgChart1#1"/>
    <dgm:cxn modelId="{DF268366-2200-44D1-BAD3-7737ED34160B}" type="presParOf" srcId="{3BB61369-9927-624F-9736-12A5173C60E9}" destId="{1DB63DE3-35D0-0D4B-A34D-C3C747EFCC1E}" srcOrd="1" destOrd="0" presId="urn:microsoft.com/office/officeart/2005/8/layout/orgChart1#1"/>
    <dgm:cxn modelId="{17EE3F6D-BC2D-4404-869C-7C0A804C6839}" type="presParOf" srcId="{7A2461C7-6999-B848-9F14-6A2232F2FFAC}" destId="{2D2454F9-7948-F64D-965A-252333CB826C}" srcOrd="1" destOrd="0" presId="urn:microsoft.com/office/officeart/2005/8/layout/orgChart1#1"/>
    <dgm:cxn modelId="{9BC06EA9-147D-4AA1-B599-C846EA887944}" type="presParOf" srcId="{7A2461C7-6999-B848-9F14-6A2232F2FFAC}" destId="{ABA01005-0446-9A42-B3A1-3743AE1B3DDA}" srcOrd="2" destOrd="0" presId="urn:microsoft.com/office/officeart/2005/8/layout/orgChart1#1"/>
    <dgm:cxn modelId="{FFDA64D0-DBCC-472B-8253-B17204F9FEDE}" type="presParOf" srcId="{DFF9CA8E-6F87-664F-BC29-419574EE7EC6}" destId="{3F9E9E37-0155-E148-9F3C-098E93423EF9}" srcOrd="4" destOrd="0" presId="urn:microsoft.com/office/officeart/2005/8/layout/orgChart1#1"/>
    <dgm:cxn modelId="{CB7BAEC0-0CFF-44BE-9509-424D3B7A9433}" type="presParOf" srcId="{DFF9CA8E-6F87-664F-BC29-419574EE7EC6}" destId="{25E8DE08-D5B4-214B-B9C0-92BC279AF734}" srcOrd="5" destOrd="0" presId="urn:microsoft.com/office/officeart/2005/8/layout/orgChart1#1"/>
    <dgm:cxn modelId="{FE4EA2D2-CA5E-440A-9F43-C182685011C6}" type="presParOf" srcId="{25E8DE08-D5B4-214B-B9C0-92BC279AF734}" destId="{3D28F807-620E-8A42-B2D6-E569576AA06C}" srcOrd="0" destOrd="0" presId="urn:microsoft.com/office/officeart/2005/8/layout/orgChart1#1"/>
    <dgm:cxn modelId="{6E3C7D76-916B-4291-94F3-8D7940D13C98}" type="presParOf" srcId="{3D28F807-620E-8A42-B2D6-E569576AA06C}" destId="{3CF1B569-748B-2D43-90CA-0049DC22AB5F}" srcOrd="0" destOrd="0" presId="urn:microsoft.com/office/officeart/2005/8/layout/orgChart1#1"/>
    <dgm:cxn modelId="{1DF58C81-2BE3-4286-A05A-3541C91E2DDC}" type="presParOf" srcId="{3D28F807-620E-8A42-B2D6-E569576AA06C}" destId="{E6A88053-C0B6-2F46-8F6A-721EE428C37E}" srcOrd="1" destOrd="0" presId="urn:microsoft.com/office/officeart/2005/8/layout/orgChart1#1"/>
    <dgm:cxn modelId="{6AF8FEFB-BA74-4533-9B45-CDDBDFF90430}" type="presParOf" srcId="{25E8DE08-D5B4-214B-B9C0-92BC279AF734}" destId="{713CE04A-B19D-E942-B460-04C4BE33C0D8}" srcOrd="1" destOrd="0" presId="urn:microsoft.com/office/officeart/2005/8/layout/orgChart1#1"/>
    <dgm:cxn modelId="{2A5A6FCE-5479-4745-843A-FB73A9FED213}" type="presParOf" srcId="{25E8DE08-D5B4-214B-B9C0-92BC279AF734}" destId="{FF74B7C2-00A5-4740-AAFD-883EB4302EFD}" srcOrd="2" destOrd="0" presId="urn:microsoft.com/office/officeart/2005/8/layout/orgChart1#1"/>
    <dgm:cxn modelId="{7889949E-7CE9-4029-B0E1-EA1B775654C4}" type="presParOf" srcId="{DFF9CA8E-6F87-664F-BC29-419574EE7EC6}" destId="{CCF42178-7F2A-3240-8926-3F64BFA05C04}" srcOrd="6" destOrd="0" presId="urn:microsoft.com/office/officeart/2005/8/layout/orgChart1#1"/>
    <dgm:cxn modelId="{5CC43EBE-E845-45CF-8EEB-A84E069AEDB6}" type="presParOf" srcId="{DFF9CA8E-6F87-664F-BC29-419574EE7EC6}" destId="{FF47C196-8D49-A044-ABAF-C898F5FD3508}" srcOrd="7" destOrd="0" presId="urn:microsoft.com/office/officeart/2005/8/layout/orgChart1#1"/>
    <dgm:cxn modelId="{ED306672-F269-48F6-BBC8-D34386D23B94}" type="presParOf" srcId="{FF47C196-8D49-A044-ABAF-C898F5FD3508}" destId="{DA358C28-1B63-C148-9ECA-B4F884D4AF11}" srcOrd="0" destOrd="0" presId="urn:microsoft.com/office/officeart/2005/8/layout/orgChart1#1"/>
    <dgm:cxn modelId="{5D9C496B-854C-4982-BAAE-7A832EB773AF}" type="presParOf" srcId="{DA358C28-1B63-C148-9ECA-B4F884D4AF11}" destId="{51F3EFF7-50EC-6346-B84C-5D70ACE299DB}" srcOrd="0" destOrd="0" presId="urn:microsoft.com/office/officeart/2005/8/layout/orgChart1#1"/>
    <dgm:cxn modelId="{E3348E03-5969-4D06-AB8D-D49BBA5B3B2D}" type="presParOf" srcId="{DA358C28-1B63-C148-9ECA-B4F884D4AF11}" destId="{A24285A1-4E17-7243-A224-926A87EB989B}" srcOrd="1" destOrd="0" presId="urn:microsoft.com/office/officeart/2005/8/layout/orgChart1#1"/>
    <dgm:cxn modelId="{EFC473A2-61AC-486D-942C-03904B8EFFB3}" type="presParOf" srcId="{FF47C196-8D49-A044-ABAF-C898F5FD3508}" destId="{1DEA1FD2-F657-DF49-A6ED-10B7A9C023DC}" srcOrd="1" destOrd="0" presId="urn:microsoft.com/office/officeart/2005/8/layout/orgChart1#1"/>
    <dgm:cxn modelId="{110C9129-F91C-4F3C-BE60-DF221632EA32}" type="presParOf" srcId="{FF47C196-8D49-A044-ABAF-C898F5FD3508}" destId="{1B0AEA33-10C8-DC41-AA86-3A78BA4B30F8}" srcOrd="2" destOrd="0" presId="urn:microsoft.com/office/officeart/2005/8/layout/orgChart1#1"/>
    <dgm:cxn modelId="{99DB7471-B65C-4A9D-B96F-BD650B9F6DEC}" type="presParOf" srcId="{DFF9CA8E-6F87-664F-BC29-419574EE7EC6}" destId="{A3D5E0A9-EE9D-0847-B93E-56C271B52E33}" srcOrd="8" destOrd="0" presId="urn:microsoft.com/office/officeart/2005/8/layout/orgChart1#1"/>
    <dgm:cxn modelId="{AF406F7B-F51C-447D-BAAA-76163C1F25EE}" type="presParOf" srcId="{DFF9CA8E-6F87-664F-BC29-419574EE7EC6}" destId="{E828AFE6-980A-D74F-8B93-58490E771627}" srcOrd="9" destOrd="0" presId="urn:microsoft.com/office/officeart/2005/8/layout/orgChart1#1"/>
    <dgm:cxn modelId="{21BFE621-842A-4414-9ED8-B5DC8C1DF80D}" type="presParOf" srcId="{E828AFE6-980A-D74F-8B93-58490E771627}" destId="{D13519B8-3367-B048-BFC4-A6AC43936A6E}" srcOrd="0" destOrd="0" presId="urn:microsoft.com/office/officeart/2005/8/layout/orgChart1#1"/>
    <dgm:cxn modelId="{3245BAC7-EF80-415C-A7E8-E45DBAB78577}" type="presParOf" srcId="{D13519B8-3367-B048-BFC4-A6AC43936A6E}" destId="{68B32261-6683-7A4F-A40D-28126F59F16D}" srcOrd="0" destOrd="0" presId="urn:microsoft.com/office/officeart/2005/8/layout/orgChart1#1"/>
    <dgm:cxn modelId="{F64CEBCF-6125-459D-ACDA-FD769F210D5A}" type="presParOf" srcId="{D13519B8-3367-B048-BFC4-A6AC43936A6E}" destId="{65558DA4-7D53-8843-9896-1E478297A5D0}" srcOrd="1" destOrd="0" presId="urn:microsoft.com/office/officeart/2005/8/layout/orgChart1#1"/>
    <dgm:cxn modelId="{4A46D129-49A8-48A0-9E5C-097867D9173D}" type="presParOf" srcId="{E828AFE6-980A-D74F-8B93-58490E771627}" destId="{A9E232A6-A249-8B45-8297-751F653DBD2C}" srcOrd="1" destOrd="0" presId="urn:microsoft.com/office/officeart/2005/8/layout/orgChart1#1"/>
    <dgm:cxn modelId="{7E0BA716-B053-463E-9610-12E2422D3406}" type="presParOf" srcId="{E828AFE6-980A-D74F-8B93-58490E771627}" destId="{93C89801-B78B-7F49-A218-9364086176E9}" srcOrd="2" destOrd="0" presId="urn:microsoft.com/office/officeart/2005/8/layout/orgChart1#1"/>
    <dgm:cxn modelId="{44DF4A00-029D-4E35-85B6-9D0CCDF3E6BB}" type="presParOf" srcId="{DFF9CA8E-6F87-664F-BC29-419574EE7EC6}" destId="{65873C4B-99AE-C14A-8F9C-B0CA165FE55C}" srcOrd="10" destOrd="0" presId="urn:microsoft.com/office/officeart/2005/8/layout/orgChart1#1"/>
    <dgm:cxn modelId="{5AFD5380-9C7E-4ED2-AD99-4873BE5DFEC7}" type="presParOf" srcId="{DFF9CA8E-6F87-664F-BC29-419574EE7EC6}" destId="{3D4903F8-37F0-1648-82C1-7E8FB10E4695}" srcOrd="11" destOrd="0" presId="urn:microsoft.com/office/officeart/2005/8/layout/orgChart1#1"/>
    <dgm:cxn modelId="{253A0580-9D5F-482C-9157-16F5B3869543}" type="presParOf" srcId="{3D4903F8-37F0-1648-82C1-7E8FB10E4695}" destId="{909FFA68-AB23-4A46-B1D4-20B6ACC91645}" srcOrd="0" destOrd="0" presId="urn:microsoft.com/office/officeart/2005/8/layout/orgChart1#1"/>
    <dgm:cxn modelId="{B12B2DB5-9C01-41BC-B9A3-DC001B17BD78}" type="presParOf" srcId="{909FFA68-AB23-4A46-B1D4-20B6ACC91645}" destId="{B0B84730-631C-1841-8E61-CF5F2D35F453}" srcOrd="0" destOrd="0" presId="urn:microsoft.com/office/officeart/2005/8/layout/orgChart1#1"/>
    <dgm:cxn modelId="{CD2F9A26-DBDD-430D-A9A3-5A2E5420A60C}" type="presParOf" srcId="{909FFA68-AB23-4A46-B1D4-20B6ACC91645}" destId="{08C0C384-E988-1346-978E-A51458A182CC}" srcOrd="1" destOrd="0" presId="urn:microsoft.com/office/officeart/2005/8/layout/orgChart1#1"/>
    <dgm:cxn modelId="{9EF2E152-C321-4FCB-876C-FDDDDEED3072}" type="presParOf" srcId="{3D4903F8-37F0-1648-82C1-7E8FB10E4695}" destId="{17B1EBBD-FCF5-584C-9982-862968356A2A}" srcOrd="1" destOrd="0" presId="urn:microsoft.com/office/officeart/2005/8/layout/orgChart1#1"/>
    <dgm:cxn modelId="{4B59F404-554A-473A-BA5F-0B17DEC92554}" type="presParOf" srcId="{3D4903F8-37F0-1648-82C1-7E8FB10E4695}" destId="{9E4B5AC1-DB59-C540-8AE5-1A36DA573679}" srcOrd="2" destOrd="0" presId="urn:microsoft.com/office/officeart/2005/8/layout/orgChart1#1"/>
    <dgm:cxn modelId="{0622091B-EBA3-4101-8FBE-27AEA7DCFF62}" type="presParOf" srcId="{B82CCDFF-B272-704A-8C13-D0E138C3BCA7}" destId="{05B27611-E16F-304B-880E-29092238F737}" srcOrd="2" destOrd="0" presId="urn:microsoft.com/office/officeart/2005/8/layout/orgChart1#1"/>
    <dgm:cxn modelId="{79198975-4229-425F-A45E-59740B48153F}" type="presParOf" srcId="{5FFDDE48-7D41-9146-A95E-15E48B2F1B31}" destId="{39EA81BB-8029-4440-AD68-48EE30F23DAF}" srcOrd="2" destOrd="0" presId="urn:microsoft.com/office/officeart/2005/8/layout/orgChart1#1"/>
    <dgm:cxn modelId="{CBB2C33A-B36E-400D-914E-9661F3ED1B6B}" type="presParOf" srcId="{7E2FEF73-4107-E849-BFDF-1B2B1B4DD4C0}" destId="{5F125B6A-8158-E242-A2F1-88A1513A3E4C}" srcOrd="2" destOrd="0" presId="urn:microsoft.com/office/officeart/2005/8/layout/orgChart1#1"/>
    <dgm:cxn modelId="{C737500F-B4B2-4D8C-9B01-3DCA47E3468E}" type="presParOf" srcId="{5F125B6A-8158-E242-A2F1-88A1513A3E4C}" destId="{22020341-EF5D-45EB-A0CA-878DAFA00A74}" srcOrd="0" destOrd="0" presId="urn:microsoft.com/office/officeart/2005/8/layout/orgChart1#1"/>
    <dgm:cxn modelId="{62641826-98EC-4CE8-8A2A-799E1AD738D3}" type="presParOf" srcId="{5F125B6A-8158-E242-A2F1-88A1513A3E4C}" destId="{B29DCDD7-7333-4685-8DB3-7307C8CCF705}" srcOrd="1" destOrd="0" presId="urn:microsoft.com/office/officeart/2005/8/layout/orgChart1#1"/>
    <dgm:cxn modelId="{455F67B6-2E59-4D91-9A63-0B8ECB95B53A}" type="presParOf" srcId="{B29DCDD7-7333-4685-8DB3-7307C8CCF705}" destId="{EEA79010-1504-462C-B17B-80F439A63D46}" srcOrd="0" destOrd="0" presId="urn:microsoft.com/office/officeart/2005/8/layout/orgChart1#1"/>
    <dgm:cxn modelId="{04F06AC7-2BDE-4FF0-98FD-AB91A2BA2B00}" type="presParOf" srcId="{EEA79010-1504-462C-B17B-80F439A63D46}" destId="{B8BD42D8-5640-4DD6-9DE4-A0FC29A6F9D1}" srcOrd="0" destOrd="0" presId="urn:microsoft.com/office/officeart/2005/8/layout/orgChart1#1"/>
    <dgm:cxn modelId="{0C3CB77E-19CB-45DE-97B0-7DAE0AACB53C}" type="presParOf" srcId="{EEA79010-1504-462C-B17B-80F439A63D46}" destId="{BEE32F35-F699-40A1-BDF8-3DEAE79DF54F}" srcOrd="1" destOrd="0" presId="urn:microsoft.com/office/officeart/2005/8/layout/orgChart1#1"/>
    <dgm:cxn modelId="{AEAE0349-DF26-494F-8502-9117292D8287}" type="presParOf" srcId="{B29DCDD7-7333-4685-8DB3-7307C8CCF705}" destId="{518A8184-563D-4F44-825A-37443CEE0E9E}" srcOrd="1" destOrd="0" presId="urn:microsoft.com/office/officeart/2005/8/layout/orgChart1#1"/>
    <dgm:cxn modelId="{D859EFDD-F8D0-447B-B78C-C584CED4F42D}" type="presParOf" srcId="{B29DCDD7-7333-4685-8DB3-7307C8CCF705}" destId="{38E43FCC-9D18-4D1F-96A4-810442A8F281}" srcOrd="2" destOrd="0" presId="urn:microsoft.com/office/officeart/2005/8/layout/orgChart1#1"/>
  </dgm:cxnLst>
  <dgm:bg/>
  <dgm:whole>
    <a:ln w="25400">
      <a:solidFill>
        <a:schemeClr val="tx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E72695-303E-414C-8AFC-DD1BF88424F6}" type="doc">
      <dgm:prSet loTypeId="urn:microsoft.com/office/officeart/2005/8/layout/orgChart1#2" qsTypeId="urn:microsoft.com/office/officeart/2005/8/quickstyle/simple1" qsCatId="simple" csTypeId="urn:microsoft.com/office/officeart/2005/8/colors/accent0_1" csCatId="mainScheme" phldr="1"/>
      <dgm:spPr/>
      <dgm:t>
        <a:bodyPr/>
        <a:lstStyle/>
        <a:p>
          <a:endParaRPr lang="en-US"/>
        </a:p>
      </dgm:t>
    </dgm:pt>
    <dgm:pt modelId="{6B0D9CF3-24DB-9F4C-AC4A-C509D49E106E}">
      <dgm:prSet phldrT="[Text]" custT="1"/>
      <dgm:spPr/>
      <dgm:t>
        <a:bodyPr/>
        <a:lstStyle/>
        <a:p>
          <a:r>
            <a:rPr lang="fr-FR" sz="900"/>
            <a:t>Conseil d’administration</a:t>
          </a:r>
          <a:endParaRPr lang="en-US" sz="900">
            <a:latin typeface="Arial" panose="020B0604020202020204" pitchFamily="34" charset="0"/>
            <a:cs typeface="Arial" panose="020B0604020202020204" pitchFamily="34" charset="0"/>
          </a:endParaRPr>
        </a:p>
      </dgm:t>
    </dgm:pt>
    <dgm:pt modelId="{D32782D5-5764-FB42-B0D6-5B38FC391680}" type="parTrans" cxnId="{591659F3-1B6D-7C44-9697-018527CDB65E}">
      <dgm:prSet/>
      <dgm:spPr/>
      <dgm:t>
        <a:bodyPr/>
        <a:lstStyle/>
        <a:p>
          <a:endParaRPr lang="en-US" sz="1000"/>
        </a:p>
      </dgm:t>
    </dgm:pt>
    <dgm:pt modelId="{B55B7C05-1CCF-FB40-949F-317784903BF0}" type="sibTrans" cxnId="{591659F3-1B6D-7C44-9697-018527CDB65E}">
      <dgm:prSet/>
      <dgm:spPr/>
      <dgm:t>
        <a:bodyPr/>
        <a:lstStyle/>
        <a:p>
          <a:endParaRPr lang="en-US" sz="1000"/>
        </a:p>
      </dgm:t>
    </dgm:pt>
    <dgm:pt modelId="{38AB4AAB-A26D-C440-BEDC-B0DA072BE365}">
      <dgm:prSet phldrT="[Text]" custT="1"/>
      <dgm:spPr/>
      <dgm:t>
        <a:bodyPr/>
        <a:lstStyle/>
        <a:p>
          <a:r>
            <a:rPr lang="fr-FR" sz="900"/>
            <a:t>Président-directeur général</a:t>
          </a:r>
          <a:endParaRPr lang="en-US" sz="900">
            <a:latin typeface="Arial" panose="020B0604020202020204" pitchFamily="34" charset="0"/>
            <a:cs typeface="Arial" panose="020B0604020202020204" pitchFamily="34" charset="0"/>
          </a:endParaRPr>
        </a:p>
      </dgm:t>
    </dgm:pt>
    <dgm:pt modelId="{07F19E14-26BD-214B-A791-7B7A34C8E9E2}" type="parTrans" cxnId="{BB1226DA-93AA-1548-A312-03A285705EBA}">
      <dgm:prSet/>
      <dgm:spPr/>
      <dgm:t>
        <a:bodyPr/>
        <a:lstStyle/>
        <a:p>
          <a:endParaRPr lang="en-US" sz="1000"/>
        </a:p>
      </dgm:t>
    </dgm:pt>
    <dgm:pt modelId="{9475E33F-5E15-6142-ABF5-2874770627A0}" type="sibTrans" cxnId="{BB1226DA-93AA-1548-A312-03A285705EBA}">
      <dgm:prSet/>
      <dgm:spPr/>
      <dgm:t>
        <a:bodyPr/>
        <a:lstStyle/>
        <a:p>
          <a:endParaRPr lang="en-US" sz="1000"/>
        </a:p>
      </dgm:t>
    </dgm:pt>
    <dgm:pt modelId="{D8E79D84-92E9-FF48-BBF5-78CA21B097E7}">
      <dgm:prSet phldrT="[Text]" custT="1"/>
      <dgm:spPr/>
      <dgm:t>
        <a:bodyPr/>
        <a:lstStyle/>
        <a:p>
          <a:r>
            <a:rPr lang="fr-FR" sz="900"/>
            <a:t>Directeur pays</a:t>
          </a:r>
          <a:endParaRPr lang="en-US" sz="900">
            <a:latin typeface="Arial" panose="020B0604020202020204" pitchFamily="34" charset="0"/>
            <a:cs typeface="Arial" panose="020B0604020202020204" pitchFamily="34" charset="0"/>
          </a:endParaRPr>
        </a:p>
      </dgm:t>
    </dgm:pt>
    <dgm:pt modelId="{A5827BD3-4F3A-D443-9374-0F5B2D8EC2D4}" type="parTrans" cxnId="{2BE88AC3-322C-2540-A8AD-0F17491F6BB5}">
      <dgm:prSet/>
      <dgm:spPr/>
      <dgm:t>
        <a:bodyPr/>
        <a:lstStyle/>
        <a:p>
          <a:endParaRPr lang="en-US" sz="1000"/>
        </a:p>
      </dgm:t>
    </dgm:pt>
    <dgm:pt modelId="{298B14B2-B816-B641-BFC6-A825A659FDDE}" type="sibTrans" cxnId="{2BE88AC3-322C-2540-A8AD-0F17491F6BB5}">
      <dgm:prSet/>
      <dgm:spPr/>
      <dgm:t>
        <a:bodyPr/>
        <a:lstStyle/>
        <a:p>
          <a:endParaRPr lang="en-US" sz="1000"/>
        </a:p>
      </dgm:t>
    </dgm:pt>
    <dgm:pt modelId="{560D16AA-0BA0-3B44-93F4-1A656BC48AD5}">
      <dgm:prSet phldrT="[Text]" custT="1"/>
      <dgm:spPr/>
      <dgm:t>
        <a:bodyPr/>
        <a:lstStyle/>
        <a:p>
          <a:r>
            <a:rPr lang="fr-FR" sz="900"/>
            <a:t>Directeur des operations</a:t>
          </a:r>
          <a:endParaRPr lang="en-US" sz="900">
            <a:latin typeface="Arial" panose="020B0604020202020204" pitchFamily="34" charset="0"/>
            <a:cs typeface="Arial" panose="020B0604020202020204" pitchFamily="34" charset="0"/>
          </a:endParaRPr>
        </a:p>
      </dgm:t>
    </dgm:pt>
    <dgm:pt modelId="{5A716284-A067-4441-9ADB-EEB69F7D9EF0}" type="parTrans" cxnId="{5B3F3C46-62A1-4E45-B62C-C168BF56759B}">
      <dgm:prSet/>
      <dgm:spPr/>
      <dgm:t>
        <a:bodyPr/>
        <a:lstStyle/>
        <a:p>
          <a:endParaRPr lang="en-US" sz="1000"/>
        </a:p>
      </dgm:t>
    </dgm:pt>
    <dgm:pt modelId="{5880AF0C-5B95-3C47-9DB1-879B85520598}" type="sibTrans" cxnId="{5B3F3C46-62A1-4E45-B62C-C168BF56759B}">
      <dgm:prSet/>
      <dgm:spPr/>
      <dgm:t>
        <a:bodyPr/>
        <a:lstStyle/>
        <a:p>
          <a:endParaRPr lang="en-US" sz="1000"/>
        </a:p>
      </dgm:t>
    </dgm:pt>
    <dgm:pt modelId="{4130F54D-45DB-3F4E-848F-CD44ACE2DFF5}">
      <dgm:prSet phldrT="[Text]" custT="1"/>
      <dgm:spPr/>
      <dgm:t>
        <a:bodyPr/>
        <a:lstStyle/>
        <a:p>
          <a:r>
            <a:rPr lang="fr-FR" sz="900"/>
            <a:t>Équipe de communication, developpement et financement</a:t>
          </a:r>
          <a:endParaRPr lang="en-US" sz="900">
            <a:latin typeface="Arial" panose="020B0604020202020204" pitchFamily="34" charset="0"/>
            <a:cs typeface="Arial" panose="020B0604020202020204" pitchFamily="34" charset="0"/>
          </a:endParaRPr>
        </a:p>
      </dgm:t>
    </dgm:pt>
    <dgm:pt modelId="{95DEF930-AB10-AF40-AB69-B43E4522C23E}" type="parTrans" cxnId="{D92188E2-A480-0048-9D87-4322FFE15796}">
      <dgm:prSet/>
      <dgm:spPr/>
      <dgm:t>
        <a:bodyPr/>
        <a:lstStyle/>
        <a:p>
          <a:endParaRPr lang="en-US" sz="1000"/>
        </a:p>
      </dgm:t>
    </dgm:pt>
    <dgm:pt modelId="{64FCEA0E-9251-0C48-9442-555961FA609A}" type="sibTrans" cxnId="{D92188E2-A480-0048-9D87-4322FFE15796}">
      <dgm:prSet/>
      <dgm:spPr/>
      <dgm:t>
        <a:bodyPr/>
        <a:lstStyle/>
        <a:p>
          <a:endParaRPr lang="en-US" sz="1000"/>
        </a:p>
      </dgm:t>
    </dgm:pt>
    <dgm:pt modelId="{5AB189B5-BC14-0E45-BF92-D7D2A5EE56DC}">
      <dgm:prSet phldrT="[Text]" custT="1"/>
      <dgm:spPr/>
      <dgm:t>
        <a:bodyPr/>
        <a:lstStyle/>
        <a:p>
          <a:r>
            <a:rPr lang="fr-FR" sz="900"/>
            <a:t>Équipe des opérations</a:t>
          </a:r>
          <a:endParaRPr lang="en-US" sz="900">
            <a:latin typeface="Arial" panose="020B0604020202020204" pitchFamily="34" charset="0"/>
            <a:cs typeface="Arial" panose="020B0604020202020204" pitchFamily="34" charset="0"/>
          </a:endParaRPr>
        </a:p>
      </dgm:t>
    </dgm:pt>
    <dgm:pt modelId="{F46AD772-DBC4-1E4D-9365-525317FD0085}" type="parTrans" cxnId="{082D1BC1-7826-AD41-8B78-2F7C4092C296}">
      <dgm:prSet/>
      <dgm:spPr/>
      <dgm:t>
        <a:bodyPr/>
        <a:lstStyle/>
        <a:p>
          <a:endParaRPr lang="en-US" sz="1000"/>
        </a:p>
      </dgm:t>
    </dgm:pt>
    <dgm:pt modelId="{4382C96D-34A7-8D4F-B29F-3AE2F189B45D}" type="sibTrans" cxnId="{082D1BC1-7826-AD41-8B78-2F7C4092C296}">
      <dgm:prSet/>
      <dgm:spPr/>
      <dgm:t>
        <a:bodyPr/>
        <a:lstStyle/>
        <a:p>
          <a:endParaRPr lang="en-US" sz="1000"/>
        </a:p>
      </dgm:t>
    </dgm:pt>
    <dgm:pt modelId="{D907B1B1-136B-094D-8F63-9AE02844B8EA}">
      <dgm:prSet phldrT="[Text]" custT="1"/>
      <dgm:spPr/>
      <dgm:t>
        <a:bodyPr/>
        <a:lstStyle/>
        <a:p>
          <a:r>
            <a:rPr lang="fr-FR" sz="900"/>
            <a:t>Équipe du programme de RSSBC</a:t>
          </a:r>
          <a:endParaRPr lang="en-US" sz="900">
            <a:latin typeface="Arial" panose="020B0604020202020204" pitchFamily="34" charset="0"/>
            <a:cs typeface="Arial" panose="020B0604020202020204" pitchFamily="34" charset="0"/>
          </a:endParaRPr>
        </a:p>
      </dgm:t>
    </dgm:pt>
    <dgm:pt modelId="{F6DF8BB3-02C4-0443-9A4C-7C0756C1D6C7}" type="parTrans" cxnId="{5A863FB1-AB07-0B4F-9582-307AD9C1A879}">
      <dgm:prSet/>
      <dgm:spPr/>
      <dgm:t>
        <a:bodyPr/>
        <a:lstStyle/>
        <a:p>
          <a:endParaRPr lang="en-US" sz="1000"/>
        </a:p>
      </dgm:t>
    </dgm:pt>
    <dgm:pt modelId="{147AEE5B-FA23-4145-8B56-CA5CC56361CE}" type="sibTrans" cxnId="{5A863FB1-AB07-0B4F-9582-307AD9C1A879}">
      <dgm:prSet/>
      <dgm:spPr/>
      <dgm:t>
        <a:bodyPr/>
        <a:lstStyle/>
        <a:p>
          <a:endParaRPr lang="en-US" sz="1000"/>
        </a:p>
      </dgm:t>
    </dgm:pt>
    <dgm:pt modelId="{318430D8-29A6-C347-8A8A-438A7D3FCE98}">
      <dgm:prSet phldrT="[Text]" custT="1"/>
      <dgm:spPr/>
      <dgm:t>
        <a:bodyPr/>
        <a:lstStyle/>
        <a:p>
          <a:r>
            <a:rPr lang="fr-FR" sz="900"/>
            <a:t>Équipe de surveillance, évaluation et amélioration de la qualité</a:t>
          </a:r>
          <a:endParaRPr lang="en-US" sz="900">
            <a:latin typeface="Arial" panose="020B0604020202020204" pitchFamily="34" charset="0"/>
            <a:cs typeface="Arial" panose="020B0604020202020204" pitchFamily="34" charset="0"/>
          </a:endParaRPr>
        </a:p>
      </dgm:t>
    </dgm:pt>
    <dgm:pt modelId="{057466CC-B5A6-004E-A7F1-39286830A6B4}" type="parTrans" cxnId="{86C310B4-5924-A94C-A0EB-C81FC534F473}">
      <dgm:prSet/>
      <dgm:spPr/>
      <dgm:t>
        <a:bodyPr/>
        <a:lstStyle/>
        <a:p>
          <a:endParaRPr lang="en-US" sz="1000"/>
        </a:p>
      </dgm:t>
    </dgm:pt>
    <dgm:pt modelId="{51C27027-E708-6945-86B4-F5C577BA5849}" type="sibTrans" cxnId="{86C310B4-5924-A94C-A0EB-C81FC534F473}">
      <dgm:prSet/>
      <dgm:spPr/>
      <dgm:t>
        <a:bodyPr/>
        <a:lstStyle/>
        <a:p>
          <a:endParaRPr lang="en-US" sz="1000"/>
        </a:p>
      </dgm:t>
    </dgm:pt>
    <dgm:pt modelId="{4F34BAF3-7EE6-4445-83CE-F6A61ADABF1C}" type="pres">
      <dgm:prSet presAssocID="{D5E72695-303E-414C-8AFC-DD1BF88424F6}" presName="hierChild1" presStyleCnt="0">
        <dgm:presLayoutVars>
          <dgm:orgChart val="1"/>
          <dgm:chPref val="1"/>
          <dgm:dir/>
          <dgm:animOne val="branch"/>
          <dgm:animLvl val="lvl"/>
          <dgm:resizeHandles/>
        </dgm:presLayoutVars>
      </dgm:prSet>
      <dgm:spPr/>
      <dgm:t>
        <a:bodyPr/>
        <a:lstStyle/>
        <a:p>
          <a:endParaRPr lang="en-US"/>
        </a:p>
      </dgm:t>
    </dgm:pt>
    <dgm:pt modelId="{830C8651-F4B2-454A-9231-2D3A0CA6A8DF}" type="pres">
      <dgm:prSet presAssocID="{6B0D9CF3-24DB-9F4C-AC4A-C509D49E106E}" presName="hierRoot1" presStyleCnt="0">
        <dgm:presLayoutVars>
          <dgm:hierBranch val="init"/>
        </dgm:presLayoutVars>
      </dgm:prSet>
      <dgm:spPr/>
    </dgm:pt>
    <dgm:pt modelId="{EFB4FF5A-E5B7-7947-B240-B852AF2B5EAC}" type="pres">
      <dgm:prSet presAssocID="{6B0D9CF3-24DB-9F4C-AC4A-C509D49E106E}" presName="rootComposite1" presStyleCnt="0"/>
      <dgm:spPr/>
    </dgm:pt>
    <dgm:pt modelId="{5427A3F7-B493-2845-BAD1-E7DCBF60F024}" type="pres">
      <dgm:prSet presAssocID="{6B0D9CF3-24DB-9F4C-AC4A-C509D49E106E}" presName="rootText1" presStyleLbl="node0" presStyleIdx="0" presStyleCnt="1">
        <dgm:presLayoutVars>
          <dgm:chPref val="3"/>
        </dgm:presLayoutVars>
      </dgm:prSet>
      <dgm:spPr/>
      <dgm:t>
        <a:bodyPr/>
        <a:lstStyle/>
        <a:p>
          <a:endParaRPr lang="en-US"/>
        </a:p>
      </dgm:t>
    </dgm:pt>
    <dgm:pt modelId="{3A875FB3-3AA3-A64A-9ECA-2CED1DDBC80B}" type="pres">
      <dgm:prSet presAssocID="{6B0D9CF3-24DB-9F4C-AC4A-C509D49E106E}" presName="rootConnector1" presStyleLbl="node1" presStyleIdx="0" presStyleCnt="0"/>
      <dgm:spPr/>
      <dgm:t>
        <a:bodyPr/>
        <a:lstStyle/>
        <a:p>
          <a:endParaRPr lang="en-US"/>
        </a:p>
      </dgm:t>
    </dgm:pt>
    <dgm:pt modelId="{AF827506-3A6E-FD4E-9C11-F95C6B0FFE7B}" type="pres">
      <dgm:prSet presAssocID="{6B0D9CF3-24DB-9F4C-AC4A-C509D49E106E}" presName="hierChild2" presStyleCnt="0"/>
      <dgm:spPr/>
    </dgm:pt>
    <dgm:pt modelId="{2DE6DA5E-C4B3-9243-BA84-1F7245416147}" type="pres">
      <dgm:prSet presAssocID="{07F19E14-26BD-214B-A791-7B7A34C8E9E2}" presName="Name37" presStyleLbl="parChTrans1D2" presStyleIdx="0" presStyleCnt="1"/>
      <dgm:spPr/>
      <dgm:t>
        <a:bodyPr/>
        <a:lstStyle/>
        <a:p>
          <a:endParaRPr lang="en-US"/>
        </a:p>
      </dgm:t>
    </dgm:pt>
    <dgm:pt modelId="{E2E0C85C-271F-0642-810A-C1058512BC98}" type="pres">
      <dgm:prSet presAssocID="{38AB4AAB-A26D-C440-BEDC-B0DA072BE365}" presName="hierRoot2" presStyleCnt="0">
        <dgm:presLayoutVars>
          <dgm:hierBranch val="init"/>
        </dgm:presLayoutVars>
      </dgm:prSet>
      <dgm:spPr/>
    </dgm:pt>
    <dgm:pt modelId="{94E72D6A-F798-704B-ABFE-AA3933616FF3}" type="pres">
      <dgm:prSet presAssocID="{38AB4AAB-A26D-C440-BEDC-B0DA072BE365}" presName="rootComposite" presStyleCnt="0"/>
      <dgm:spPr/>
    </dgm:pt>
    <dgm:pt modelId="{A18CEB27-721D-6441-89B9-E65385111166}" type="pres">
      <dgm:prSet presAssocID="{38AB4AAB-A26D-C440-BEDC-B0DA072BE365}" presName="rootText" presStyleLbl="node2" presStyleIdx="0" presStyleCnt="1">
        <dgm:presLayoutVars>
          <dgm:chPref val="3"/>
        </dgm:presLayoutVars>
      </dgm:prSet>
      <dgm:spPr/>
      <dgm:t>
        <a:bodyPr/>
        <a:lstStyle/>
        <a:p>
          <a:endParaRPr lang="en-US"/>
        </a:p>
      </dgm:t>
    </dgm:pt>
    <dgm:pt modelId="{2B162C50-26E6-2A41-B130-56F102D62ACC}" type="pres">
      <dgm:prSet presAssocID="{38AB4AAB-A26D-C440-BEDC-B0DA072BE365}" presName="rootConnector" presStyleLbl="node2" presStyleIdx="0" presStyleCnt="1"/>
      <dgm:spPr/>
      <dgm:t>
        <a:bodyPr/>
        <a:lstStyle/>
        <a:p>
          <a:endParaRPr lang="en-US"/>
        </a:p>
      </dgm:t>
    </dgm:pt>
    <dgm:pt modelId="{9C871E57-0BF6-AF4D-BAD6-04E40069A91A}" type="pres">
      <dgm:prSet presAssocID="{38AB4AAB-A26D-C440-BEDC-B0DA072BE365}" presName="hierChild4" presStyleCnt="0"/>
      <dgm:spPr/>
    </dgm:pt>
    <dgm:pt modelId="{73FE1A36-B107-5A44-9CA5-63CF1B815F5C}" type="pres">
      <dgm:prSet presAssocID="{A5827BD3-4F3A-D443-9374-0F5B2D8EC2D4}" presName="Name37" presStyleLbl="parChTrans1D3" presStyleIdx="0" presStyleCnt="2"/>
      <dgm:spPr/>
      <dgm:t>
        <a:bodyPr/>
        <a:lstStyle/>
        <a:p>
          <a:endParaRPr lang="en-US"/>
        </a:p>
      </dgm:t>
    </dgm:pt>
    <dgm:pt modelId="{70AAC983-F72E-C341-9ED2-12757A788086}" type="pres">
      <dgm:prSet presAssocID="{D8E79D84-92E9-FF48-BBF5-78CA21B097E7}" presName="hierRoot2" presStyleCnt="0">
        <dgm:presLayoutVars>
          <dgm:hierBranch val="init"/>
        </dgm:presLayoutVars>
      </dgm:prSet>
      <dgm:spPr/>
    </dgm:pt>
    <dgm:pt modelId="{EF8E222F-62BA-0F48-AE4A-D06B50491F90}" type="pres">
      <dgm:prSet presAssocID="{D8E79D84-92E9-FF48-BBF5-78CA21B097E7}" presName="rootComposite" presStyleCnt="0"/>
      <dgm:spPr/>
    </dgm:pt>
    <dgm:pt modelId="{BF7A7EC9-8651-AE45-A863-55507D52BF39}" type="pres">
      <dgm:prSet presAssocID="{D8E79D84-92E9-FF48-BBF5-78CA21B097E7}" presName="rootText" presStyleLbl="node3" presStyleIdx="0" presStyleCnt="2">
        <dgm:presLayoutVars>
          <dgm:chPref val="3"/>
        </dgm:presLayoutVars>
      </dgm:prSet>
      <dgm:spPr/>
      <dgm:t>
        <a:bodyPr/>
        <a:lstStyle/>
        <a:p>
          <a:endParaRPr lang="en-US"/>
        </a:p>
      </dgm:t>
    </dgm:pt>
    <dgm:pt modelId="{7D92CB07-0BD0-DB48-8C00-98DADE67D646}" type="pres">
      <dgm:prSet presAssocID="{D8E79D84-92E9-FF48-BBF5-78CA21B097E7}" presName="rootConnector" presStyleLbl="node3" presStyleIdx="0" presStyleCnt="2"/>
      <dgm:spPr/>
      <dgm:t>
        <a:bodyPr/>
        <a:lstStyle/>
        <a:p>
          <a:endParaRPr lang="en-US"/>
        </a:p>
      </dgm:t>
    </dgm:pt>
    <dgm:pt modelId="{0E1D3441-5E91-534E-8C17-6EA8BF41696A}" type="pres">
      <dgm:prSet presAssocID="{D8E79D84-92E9-FF48-BBF5-78CA21B097E7}" presName="hierChild4" presStyleCnt="0"/>
      <dgm:spPr/>
    </dgm:pt>
    <dgm:pt modelId="{F7157903-3F04-F04B-B234-BD2FF0F28AB6}" type="pres">
      <dgm:prSet presAssocID="{F46AD772-DBC4-1E4D-9365-525317FD0085}" presName="Name37" presStyleLbl="parChTrans1D4" presStyleIdx="0" presStyleCnt="4"/>
      <dgm:spPr/>
      <dgm:t>
        <a:bodyPr/>
        <a:lstStyle/>
        <a:p>
          <a:endParaRPr lang="en-US"/>
        </a:p>
      </dgm:t>
    </dgm:pt>
    <dgm:pt modelId="{E1578D78-E535-6F4E-857A-57AFAC96E35F}" type="pres">
      <dgm:prSet presAssocID="{5AB189B5-BC14-0E45-BF92-D7D2A5EE56DC}" presName="hierRoot2" presStyleCnt="0">
        <dgm:presLayoutVars>
          <dgm:hierBranch val="init"/>
        </dgm:presLayoutVars>
      </dgm:prSet>
      <dgm:spPr/>
    </dgm:pt>
    <dgm:pt modelId="{51ACDE4F-9BE8-AF45-88A1-1849E3B30377}" type="pres">
      <dgm:prSet presAssocID="{5AB189B5-BC14-0E45-BF92-D7D2A5EE56DC}" presName="rootComposite" presStyleCnt="0"/>
      <dgm:spPr/>
    </dgm:pt>
    <dgm:pt modelId="{DCCD3B1D-52C2-114E-8374-8AB07E77D4C7}" type="pres">
      <dgm:prSet presAssocID="{5AB189B5-BC14-0E45-BF92-D7D2A5EE56DC}" presName="rootText" presStyleLbl="node4" presStyleIdx="0" presStyleCnt="4">
        <dgm:presLayoutVars>
          <dgm:chPref val="3"/>
        </dgm:presLayoutVars>
      </dgm:prSet>
      <dgm:spPr/>
      <dgm:t>
        <a:bodyPr/>
        <a:lstStyle/>
        <a:p>
          <a:endParaRPr lang="en-US"/>
        </a:p>
      </dgm:t>
    </dgm:pt>
    <dgm:pt modelId="{C7BAC107-6621-DE45-9AF1-B1EC72D66B67}" type="pres">
      <dgm:prSet presAssocID="{5AB189B5-BC14-0E45-BF92-D7D2A5EE56DC}" presName="rootConnector" presStyleLbl="node4" presStyleIdx="0" presStyleCnt="4"/>
      <dgm:spPr/>
      <dgm:t>
        <a:bodyPr/>
        <a:lstStyle/>
        <a:p>
          <a:endParaRPr lang="en-US"/>
        </a:p>
      </dgm:t>
    </dgm:pt>
    <dgm:pt modelId="{F48C0071-9F0A-0644-88E0-D43EF8570A8F}" type="pres">
      <dgm:prSet presAssocID="{5AB189B5-BC14-0E45-BF92-D7D2A5EE56DC}" presName="hierChild4" presStyleCnt="0"/>
      <dgm:spPr/>
    </dgm:pt>
    <dgm:pt modelId="{1078C6B9-DA95-0645-BEB1-B7C2C150C3E8}" type="pres">
      <dgm:prSet presAssocID="{5AB189B5-BC14-0E45-BF92-D7D2A5EE56DC}" presName="hierChild5" presStyleCnt="0"/>
      <dgm:spPr/>
    </dgm:pt>
    <dgm:pt modelId="{F85680D0-96AE-E44B-AAA5-D85AAC31D789}" type="pres">
      <dgm:prSet presAssocID="{F6DF8BB3-02C4-0443-9A4C-7C0756C1D6C7}" presName="Name37" presStyleLbl="parChTrans1D4" presStyleIdx="1" presStyleCnt="4"/>
      <dgm:spPr/>
      <dgm:t>
        <a:bodyPr/>
        <a:lstStyle/>
        <a:p>
          <a:endParaRPr lang="en-US"/>
        </a:p>
      </dgm:t>
    </dgm:pt>
    <dgm:pt modelId="{EA7DDBEE-88EA-EE4B-BC5E-5261040E5C82}" type="pres">
      <dgm:prSet presAssocID="{D907B1B1-136B-094D-8F63-9AE02844B8EA}" presName="hierRoot2" presStyleCnt="0">
        <dgm:presLayoutVars>
          <dgm:hierBranch val="init"/>
        </dgm:presLayoutVars>
      </dgm:prSet>
      <dgm:spPr/>
    </dgm:pt>
    <dgm:pt modelId="{E787A180-1E85-034D-A204-51BAB2168674}" type="pres">
      <dgm:prSet presAssocID="{D907B1B1-136B-094D-8F63-9AE02844B8EA}" presName="rootComposite" presStyleCnt="0"/>
      <dgm:spPr/>
    </dgm:pt>
    <dgm:pt modelId="{2158D68F-9804-6148-9BB4-5FC34A031D93}" type="pres">
      <dgm:prSet presAssocID="{D907B1B1-136B-094D-8F63-9AE02844B8EA}" presName="rootText" presStyleLbl="node4" presStyleIdx="1" presStyleCnt="4">
        <dgm:presLayoutVars>
          <dgm:chPref val="3"/>
        </dgm:presLayoutVars>
      </dgm:prSet>
      <dgm:spPr/>
      <dgm:t>
        <a:bodyPr/>
        <a:lstStyle/>
        <a:p>
          <a:endParaRPr lang="en-US"/>
        </a:p>
      </dgm:t>
    </dgm:pt>
    <dgm:pt modelId="{23386FED-5648-6E4E-A06B-9BADACA97825}" type="pres">
      <dgm:prSet presAssocID="{D907B1B1-136B-094D-8F63-9AE02844B8EA}" presName="rootConnector" presStyleLbl="node4" presStyleIdx="1" presStyleCnt="4"/>
      <dgm:spPr/>
      <dgm:t>
        <a:bodyPr/>
        <a:lstStyle/>
        <a:p>
          <a:endParaRPr lang="en-US"/>
        </a:p>
      </dgm:t>
    </dgm:pt>
    <dgm:pt modelId="{FF3816BD-FED5-8A4C-872A-D80171B28283}" type="pres">
      <dgm:prSet presAssocID="{D907B1B1-136B-094D-8F63-9AE02844B8EA}" presName="hierChild4" presStyleCnt="0"/>
      <dgm:spPr/>
    </dgm:pt>
    <dgm:pt modelId="{B6300522-A558-E046-BBC9-38FCF8EE44EF}" type="pres">
      <dgm:prSet presAssocID="{D907B1B1-136B-094D-8F63-9AE02844B8EA}" presName="hierChild5" presStyleCnt="0"/>
      <dgm:spPr/>
    </dgm:pt>
    <dgm:pt modelId="{AB670BBD-2A33-0A49-A30D-019C90079237}" type="pres">
      <dgm:prSet presAssocID="{057466CC-B5A6-004E-A7F1-39286830A6B4}" presName="Name37" presStyleLbl="parChTrans1D4" presStyleIdx="2" presStyleCnt="4"/>
      <dgm:spPr/>
      <dgm:t>
        <a:bodyPr/>
        <a:lstStyle/>
        <a:p>
          <a:endParaRPr lang="en-US"/>
        </a:p>
      </dgm:t>
    </dgm:pt>
    <dgm:pt modelId="{7FE71F7B-6E9F-1C41-9CC5-C5B97478D85A}" type="pres">
      <dgm:prSet presAssocID="{318430D8-29A6-C347-8A8A-438A7D3FCE98}" presName="hierRoot2" presStyleCnt="0">
        <dgm:presLayoutVars>
          <dgm:hierBranch val="init"/>
        </dgm:presLayoutVars>
      </dgm:prSet>
      <dgm:spPr/>
    </dgm:pt>
    <dgm:pt modelId="{699817A6-E6A0-5E46-9B23-7D4CDAF1AC45}" type="pres">
      <dgm:prSet presAssocID="{318430D8-29A6-C347-8A8A-438A7D3FCE98}" presName="rootComposite" presStyleCnt="0"/>
      <dgm:spPr/>
    </dgm:pt>
    <dgm:pt modelId="{D9476B36-B4AC-5940-BF82-A08A74D0A693}" type="pres">
      <dgm:prSet presAssocID="{318430D8-29A6-C347-8A8A-438A7D3FCE98}" presName="rootText" presStyleLbl="node4" presStyleIdx="2" presStyleCnt="4" custScaleX="110107" custScaleY="115665" custLinFactNeighborY="-9540">
        <dgm:presLayoutVars>
          <dgm:chPref val="3"/>
        </dgm:presLayoutVars>
      </dgm:prSet>
      <dgm:spPr/>
      <dgm:t>
        <a:bodyPr/>
        <a:lstStyle/>
        <a:p>
          <a:endParaRPr lang="en-US"/>
        </a:p>
      </dgm:t>
    </dgm:pt>
    <dgm:pt modelId="{8C9D8E2F-EC64-EA4F-A180-C38426E87750}" type="pres">
      <dgm:prSet presAssocID="{318430D8-29A6-C347-8A8A-438A7D3FCE98}" presName="rootConnector" presStyleLbl="node4" presStyleIdx="2" presStyleCnt="4"/>
      <dgm:spPr/>
      <dgm:t>
        <a:bodyPr/>
        <a:lstStyle/>
        <a:p>
          <a:endParaRPr lang="en-US"/>
        </a:p>
      </dgm:t>
    </dgm:pt>
    <dgm:pt modelId="{AE987ED6-B64F-C648-AD50-4F613B35DC15}" type="pres">
      <dgm:prSet presAssocID="{318430D8-29A6-C347-8A8A-438A7D3FCE98}" presName="hierChild4" presStyleCnt="0"/>
      <dgm:spPr/>
    </dgm:pt>
    <dgm:pt modelId="{003283D6-FFF4-CF49-B861-91FF3F9C0564}" type="pres">
      <dgm:prSet presAssocID="{318430D8-29A6-C347-8A8A-438A7D3FCE98}" presName="hierChild5" presStyleCnt="0"/>
      <dgm:spPr/>
    </dgm:pt>
    <dgm:pt modelId="{DB0F90E0-6295-9345-A1B3-E817805533F9}" type="pres">
      <dgm:prSet presAssocID="{D8E79D84-92E9-FF48-BBF5-78CA21B097E7}" presName="hierChild5" presStyleCnt="0"/>
      <dgm:spPr/>
    </dgm:pt>
    <dgm:pt modelId="{E85E5DA0-A73B-CC44-B10D-C57F3B736066}" type="pres">
      <dgm:prSet presAssocID="{5A716284-A067-4441-9ADB-EEB69F7D9EF0}" presName="Name37" presStyleLbl="parChTrans1D3" presStyleIdx="1" presStyleCnt="2"/>
      <dgm:spPr/>
      <dgm:t>
        <a:bodyPr/>
        <a:lstStyle/>
        <a:p>
          <a:endParaRPr lang="en-US"/>
        </a:p>
      </dgm:t>
    </dgm:pt>
    <dgm:pt modelId="{1985B791-5020-6146-9F03-343EFB2FA38D}" type="pres">
      <dgm:prSet presAssocID="{560D16AA-0BA0-3B44-93F4-1A656BC48AD5}" presName="hierRoot2" presStyleCnt="0">
        <dgm:presLayoutVars>
          <dgm:hierBranch val="init"/>
        </dgm:presLayoutVars>
      </dgm:prSet>
      <dgm:spPr/>
    </dgm:pt>
    <dgm:pt modelId="{2D8C4EF9-19F3-8A47-BEDF-E5FACA6856A1}" type="pres">
      <dgm:prSet presAssocID="{560D16AA-0BA0-3B44-93F4-1A656BC48AD5}" presName="rootComposite" presStyleCnt="0"/>
      <dgm:spPr/>
    </dgm:pt>
    <dgm:pt modelId="{FF1B2E7A-FDFD-5F47-87E0-A8A74CD9B5D8}" type="pres">
      <dgm:prSet presAssocID="{560D16AA-0BA0-3B44-93F4-1A656BC48AD5}" presName="rootText" presStyleLbl="node3" presStyleIdx="1" presStyleCnt="2">
        <dgm:presLayoutVars>
          <dgm:chPref val="3"/>
        </dgm:presLayoutVars>
      </dgm:prSet>
      <dgm:spPr/>
      <dgm:t>
        <a:bodyPr/>
        <a:lstStyle/>
        <a:p>
          <a:endParaRPr lang="en-US"/>
        </a:p>
      </dgm:t>
    </dgm:pt>
    <dgm:pt modelId="{D82FA8AA-7780-2445-910B-95A12AD0D03D}" type="pres">
      <dgm:prSet presAssocID="{560D16AA-0BA0-3B44-93F4-1A656BC48AD5}" presName="rootConnector" presStyleLbl="node3" presStyleIdx="1" presStyleCnt="2"/>
      <dgm:spPr/>
      <dgm:t>
        <a:bodyPr/>
        <a:lstStyle/>
        <a:p>
          <a:endParaRPr lang="en-US"/>
        </a:p>
      </dgm:t>
    </dgm:pt>
    <dgm:pt modelId="{48A9063A-3DD5-D944-8347-2AED0B1D6E29}" type="pres">
      <dgm:prSet presAssocID="{560D16AA-0BA0-3B44-93F4-1A656BC48AD5}" presName="hierChild4" presStyleCnt="0"/>
      <dgm:spPr/>
    </dgm:pt>
    <dgm:pt modelId="{8127F73E-6AD9-1F46-BB61-97CF787C3780}" type="pres">
      <dgm:prSet presAssocID="{95DEF930-AB10-AF40-AB69-B43E4522C23E}" presName="Name37" presStyleLbl="parChTrans1D4" presStyleIdx="3" presStyleCnt="4"/>
      <dgm:spPr/>
      <dgm:t>
        <a:bodyPr/>
        <a:lstStyle/>
        <a:p>
          <a:endParaRPr lang="en-US"/>
        </a:p>
      </dgm:t>
    </dgm:pt>
    <dgm:pt modelId="{C5FCC06E-C905-4E41-A4D1-21387CDF151A}" type="pres">
      <dgm:prSet presAssocID="{4130F54D-45DB-3F4E-848F-CD44ACE2DFF5}" presName="hierRoot2" presStyleCnt="0">
        <dgm:presLayoutVars>
          <dgm:hierBranch val="init"/>
        </dgm:presLayoutVars>
      </dgm:prSet>
      <dgm:spPr/>
    </dgm:pt>
    <dgm:pt modelId="{568F3249-1B31-2D47-AD0E-F747BC7DE8F1}" type="pres">
      <dgm:prSet presAssocID="{4130F54D-45DB-3F4E-848F-CD44ACE2DFF5}" presName="rootComposite" presStyleCnt="0"/>
      <dgm:spPr/>
    </dgm:pt>
    <dgm:pt modelId="{26C47230-6AA3-2041-97C3-AF0117DE647D}" type="pres">
      <dgm:prSet presAssocID="{4130F54D-45DB-3F4E-848F-CD44ACE2DFF5}" presName="rootText" presStyleLbl="node4" presStyleIdx="3" presStyleCnt="4">
        <dgm:presLayoutVars>
          <dgm:chPref val="3"/>
        </dgm:presLayoutVars>
      </dgm:prSet>
      <dgm:spPr/>
      <dgm:t>
        <a:bodyPr/>
        <a:lstStyle/>
        <a:p>
          <a:endParaRPr lang="en-US"/>
        </a:p>
      </dgm:t>
    </dgm:pt>
    <dgm:pt modelId="{A896F5DA-8E92-0844-9318-D694F140123D}" type="pres">
      <dgm:prSet presAssocID="{4130F54D-45DB-3F4E-848F-CD44ACE2DFF5}" presName="rootConnector" presStyleLbl="node4" presStyleIdx="3" presStyleCnt="4"/>
      <dgm:spPr/>
      <dgm:t>
        <a:bodyPr/>
        <a:lstStyle/>
        <a:p>
          <a:endParaRPr lang="en-US"/>
        </a:p>
      </dgm:t>
    </dgm:pt>
    <dgm:pt modelId="{6557452C-186D-2047-81A7-1884F72D3157}" type="pres">
      <dgm:prSet presAssocID="{4130F54D-45DB-3F4E-848F-CD44ACE2DFF5}" presName="hierChild4" presStyleCnt="0"/>
      <dgm:spPr/>
    </dgm:pt>
    <dgm:pt modelId="{CEB6AB69-E7D1-2A41-AA5B-5DEBB4987EC8}" type="pres">
      <dgm:prSet presAssocID="{4130F54D-45DB-3F4E-848F-CD44ACE2DFF5}" presName="hierChild5" presStyleCnt="0"/>
      <dgm:spPr/>
    </dgm:pt>
    <dgm:pt modelId="{3B8B9879-FA7E-4746-8FAF-848AC9A43E95}" type="pres">
      <dgm:prSet presAssocID="{560D16AA-0BA0-3B44-93F4-1A656BC48AD5}" presName="hierChild5" presStyleCnt="0"/>
      <dgm:spPr/>
    </dgm:pt>
    <dgm:pt modelId="{E8DBB0E8-987C-074D-9ECA-1E013F8254EF}" type="pres">
      <dgm:prSet presAssocID="{38AB4AAB-A26D-C440-BEDC-B0DA072BE365}" presName="hierChild5" presStyleCnt="0"/>
      <dgm:spPr/>
    </dgm:pt>
    <dgm:pt modelId="{DDA546F2-7F68-2B42-B1AA-D01BCB135A12}" type="pres">
      <dgm:prSet presAssocID="{6B0D9CF3-24DB-9F4C-AC4A-C509D49E106E}" presName="hierChild3" presStyleCnt="0"/>
      <dgm:spPr/>
    </dgm:pt>
  </dgm:ptLst>
  <dgm:cxnLst>
    <dgm:cxn modelId="{0DEB7E70-E3B2-4D67-BEC8-94CC2458F6E3}" type="presOf" srcId="{D8E79D84-92E9-FF48-BBF5-78CA21B097E7}" destId="{7D92CB07-0BD0-DB48-8C00-98DADE67D646}" srcOrd="1" destOrd="0" presId="urn:microsoft.com/office/officeart/2005/8/layout/orgChart1#2"/>
    <dgm:cxn modelId="{44697A7E-77EE-4E71-B057-9DC7AA94778B}" type="presOf" srcId="{A5827BD3-4F3A-D443-9374-0F5B2D8EC2D4}" destId="{73FE1A36-B107-5A44-9CA5-63CF1B815F5C}" srcOrd="0" destOrd="0" presId="urn:microsoft.com/office/officeart/2005/8/layout/orgChart1#2"/>
    <dgm:cxn modelId="{C1A7B900-05A1-4024-89F1-A344E9221B99}" type="presOf" srcId="{D8E79D84-92E9-FF48-BBF5-78CA21B097E7}" destId="{BF7A7EC9-8651-AE45-A863-55507D52BF39}" srcOrd="0" destOrd="0" presId="urn:microsoft.com/office/officeart/2005/8/layout/orgChart1#2"/>
    <dgm:cxn modelId="{2FB4872A-5118-4C02-8234-D487FD607420}" type="presOf" srcId="{4130F54D-45DB-3F4E-848F-CD44ACE2DFF5}" destId="{26C47230-6AA3-2041-97C3-AF0117DE647D}" srcOrd="0" destOrd="0" presId="urn:microsoft.com/office/officeart/2005/8/layout/orgChart1#2"/>
    <dgm:cxn modelId="{12C26345-5FD9-4EEA-84EA-3677DC8A5386}" type="presOf" srcId="{95DEF930-AB10-AF40-AB69-B43E4522C23E}" destId="{8127F73E-6AD9-1F46-BB61-97CF787C3780}" srcOrd="0" destOrd="0" presId="urn:microsoft.com/office/officeart/2005/8/layout/orgChart1#2"/>
    <dgm:cxn modelId="{975E28B8-FD87-4834-BF1A-6C97BF540ACC}" type="presOf" srcId="{D907B1B1-136B-094D-8F63-9AE02844B8EA}" destId="{2158D68F-9804-6148-9BB4-5FC34A031D93}" srcOrd="0" destOrd="0" presId="urn:microsoft.com/office/officeart/2005/8/layout/orgChart1#2"/>
    <dgm:cxn modelId="{971192A8-DCCF-43BF-969A-3D61D3D162EC}" type="presOf" srcId="{6B0D9CF3-24DB-9F4C-AC4A-C509D49E106E}" destId="{3A875FB3-3AA3-A64A-9ECA-2CED1DDBC80B}" srcOrd="1" destOrd="0" presId="urn:microsoft.com/office/officeart/2005/8/layout/orgChart1#2"/>
    <dgm:cxn modelId="{5B3F3C46-62A1-4E45-B62C-C168BF56759B}" srcId="{38AB4AAB-A26D-C440-BEDC-B0DA072BE365}" destId="{560D16AA-0BA0-3B44-93F4-1A656BC48AD5}" srcOrd="1" destOrd="0" parTransId="{5A716284-A067-4441-9ADB-EEB69F7D9EF0}" sibTransId="{5880AF0C-5B95-3C47-9DB1-879B85520598}"/>
    <dgm:cxn modelId="{9ADD354E-873C-4634-A106-B54CDCA0D488}" type="presOf" srcId="{318430D8-29A6-C347-8A8A-438A7D3FCE98}" destId="{D9476B36-B4AC-5940-BF82-A08A74D0A693}" srcOrd="0" destOrd="0" presId="urn:microsoft.com/office/officeart/2005/8/layout/orgChart1#2"/>
    <dgm:cxn modelId="{285657CB-F949-442B-9948-208A1EC07DF7}" type="presOf" srcId="{6B0D9CF3-24DB-9F4C-AC4A-C509D49E106E}" destId="{5427A3F7-B493-2845-BAD1-E7DCBF60F024}" srcOrd="0" destOrd="0" presId="urn:microsoft.com/office/officeart/2005/8/layout/orgChart1#2"/>
    <dgm:cxn modelId="{7DDB8737-F19C-4FEF-99B2-24CD15C11776}" type="presOf" srcId="{38AB4AAB-A26D-C440-BEDC-B0DA072BE365}" destId="{A18CEB27-721D-6441-89B9-E65385111166}" srcOrd="0" destOrd="0" presId="urn:microsoft.com/office/officeart/2005/8/layout/orgChart1#2"/>
    <dgm:cxn modelId="{2BE88AC3-322C-2540-A8AD-0F17491F6BB5}" srcId="{38AB4AAB-A26D-C440-BEDC-B0DA072BE365}" destId="{D8E79D84-92E9-FF48-BBF5-78CA21B097E7}" srcOrd="0" destOrd="0" parTransId="{A5827BD3-4F3A-D443-9374-0F5B2D8EC2D4}" sibTransId="{298B14B2-B816-B641-BFC6-A825A659FDDE}"/>
    <dgm:cxn modelId="{DDF8DD89-37A7-42F3-8104-2F6B56E88D8D}" type="presOf" srcId="{38AB4AAB-A26D-C440-BEDC-B0DA072BE365}" destId="{2B162C50-26E6-2A41-B130-56F102D62ACC}" srcOrd="1" destOrd="0" presId="urn:microsoft.com/office/officeart/2005/8/layout/orgChart1#2"/>
    <dgm:cxn modelId="{591659F3-1B6D-7C44-9697-018527CDB65E}" srcId="{D5E72695-303E-414C-8AFC-DD1BF88424F6}" destId="{6B0D9CF3-24DB-9F4C-AC4A-C509D49E106E}" srcOrd="0" destOrd="0" parTransId="{D32782D5-5764-FB42-B0D6-5B38FC391680}" sibTransId="{B55B7C05-1CCF-FB40-949F-317784903BF0}"/>
    <dgm:cxn modelId="{85AD04E9-C9BD-4FDF-96A0-7764C7CC442E}" type="presOf" srcId="{5AB189B5-BC14-0E45-BF92-D7D2A5EE56DC}" destId="{DCCD3B1D-52C2-114E-8374-8AB07E77D4C7}" srcOrd="0" destOrd="0" presId="urn:microsoft.com/office/officeart/2005/8/layout/orgChart1#2"/>
    <dgm:cxn modelId="{5A863FB1-AB07-0B4F-9582-307AD9C1A879}" srcId="{D8E79D84-92E9-FF48-BBF5-78CA21B097E7}" destId="{D907B1B1-136B-094D-8F63-9AE02844B8EA}" srcOrd="1" destOrd="0" parTransId="{F6DF8BB3-02C4-0443-9A4C-7C0756C1D6C7}" sibTransId="{147AEE5B-FA23-4145-8B56-CA5CC56361CE}"/>
    <dgm:cxn modelId="{082D1BC1-7826-AD41-8B78-2F7C4092C296}" srcId="{D8E79D84-92E9-FF48-BBF5-78CA21B097E7}" destId="{5AB189B5-BC14-0E45-BF92-D7D2A5EE56DC}" srcOrd="0" destOrd="0" parTransId="{F46AD772-DBC4-1E4D-9365-525317FD0085}" sibTransId="{4382C96D-34A7-8D4F-B29F-3AE2F189B45D}"/>
    <dgm:cxn modelId="{97D318A3-27E1-45DB-A9EC-D4F23ECC9E0E}" type="presOf" srcId="{560D16AA-0BA0-3B44-93F4-1A656BC48AD5}" destId="{FF1B2E7A-FDFD-5F47-87E0-A8A74CD9B5D8}" srcOrd="0" destOrd="0" presId="urn:microsoft.com/office/officeart/2005/8/layout/orgChart1#2"/>
    <dgm:cxn modelId="{40E99178-4132-4EBD-B473-FB8E7357811E}" type="presOf" srcId="{F6DF8BB3-02C4-0443-9A4C-7C0756C1D6C7}" destId="{F85680D0-96AE-E44B-AAA5-D85AAC31D789}" srcOrd="0" destOrd="0" presId="urn:microsoft.com/office/officeart/2005/8/layout/orgChart1#2"/>
    <dgm:cxn modelId="{BB1226DA-93AA-1548-A312-03A285705EBA}" srcId="{6B0D9CF3-24DB-9F4C-AC4A-C509D49E106E}" destId="{38AB4AAB-A26D-C440-BEDC-B0DA072BE365}" srcOrd="0" destOrd="0" parTransId="{07F19E14-26BD-214B-A791-7B7A34C8E9E2}" sibTransId="{9475E33F-5E15-6142-ABF5-2874770627A0}"/>
    <dgm:cxn modelId="{FB8E6C71-5844-4D9A-880B-CE6EE236C1F2}" type="presOf" srcId="{5A716284-A067-4441-9ADB-EEB69F7D9EF0}" destId="{E85E5DA0-A73B-CC44-B10D-C57F3B736066}" srcOrd="0" destOrd="0" presId="urn:microsoft.com/office/officeart/2005/8/layout/orgChart1#2"/>
    <dgm:cxn modelId="{E7A1CF80-E79B-4AC0-A540-45C55561CC5E}" type="presOf" srcId="{4130F54D-45DB-3F4E-848F-CD44ACE2DFF5}" destId="{A896F5DA-8E92-0844-9318-D694F140123D}" srcOrd="1" destOrd="0" presId="urn:microsoft.com/office/officeart/2005/8/layout/orgChart1#2"/>
    <dgm:cxn modelId="{D909FDBE-2126-4568-94F1-518019B93853}" type="presOf" srcId="{5AB189B5-BC14-0E45-BF92-D7D2A5EE56DC}" destId="{C7BAC107-6621-DE45-9AF1-B1EC72D66B67}" srcOrd="1" destOrd="0" presId="urn:microsoft.com/office/officeart/2005/8/layout/orgChart1#2"/>
    <dgm:cxn modelId="{64B683BA-96CA-4FFE-8EF7-6B5F20FE96E2}" type="presOf" srcId="{D5E72695-303E-414C-8AFC-DD1BF88424F6}" destId="{4F34BAF3-7EE6-4445-83CE-F6A61ADABF1C}" srcOrd="0" destOrd="0" presId="urn:microsoft.com/office/officeart/2005/8/layout/orgChart1#2"/>
    <dgm:cxn modelId="{D92188E2-A480-0048-9D87-4322FFE15796}" srcId="{560D16AA-0BA0-3B44-93F4-1A656BC48AD5}" destId="{4130F54D-45DB-3F4E-848F-CD44ACE2DFF5}" srcOrd="0" destOrd="0" parTransId="{95DEF930-AB10-AF40-AB69-B43E4522C23E}" sibTransId="{64FCEA0E-9251-0C48-9442-555961FA609A}"/>
    <dgm:cxn modelId="{629E7EF3-CE2E-4370-9B2C-C7AB9F9DFE42}" type="presOf" srcId="{560D16AA-0BA0-3B44-93F4-1A656BC48AD5}" destId="{D82FA8AA-7780-2445-910B-95A12AD0D03D}" srcOrd="1" destOrd="0" presId="urn:microsoft.com/office/officeart/2005/8/layout/orgChart1#2"/>
    <dgm:cxn modelId="{4D7175F9-C211-4470-AE1D-B5529AD48F5A}" type="presOf" srcId="{F46AD772-DBC4-1E4D-9365-525317FD0085}" destId="{F7157903-3F04-F04B-B234-BD2FF0F28AB6}" srcOrd="0" destOrd="0" presId="urn:microsoft.com/office/officeart/2005/8/layout/orgChart1#2"/>
    <dgm:cxn modelId="{86C310B4-5924-A94C-A0EB-C81FC534F473}" srcId="{D8E79D84-92E9-FF48-BBF5-78CA21B097E7}" destId="{318430D8-29A6-C347-8A8A-438A7D3FCE98}" srcOrd="2" destOrd="0" parTransId="{057466CC-B5A6-004E-A7F1-39286830A6B4}" sibTransId="{51C27027-E708-6945-86B4-F5C577BA5849}"/>
    <dgm:cxn modelId="{8ECD5AA6-A461-44EA-AFE2-618C6554511D}" type="presOf" srcId="{318430D8-29A6-C347-8A8A-438A7D3FCE98}" destId="{8C9D8E2F-EC64-EA4F-A180-C38426E87750}" srcOrd="1" destOrd="0" presId="urn:microsoft.com/office/officeart/2005/8/layout/orgChart1#2"/>
    <dgm:cxn modelId="{8DB686CA-DA96-47CE-A14F-17CE1344B9E4}" type="presOf" srcId="{057466CC-B5A6-004E-A7F1-39286830A6B4}" destId="{AB670BBD-2A33-0A49-A30D-019C90079237}" srcOrd="0" destOrd="0" presId="urn:microsoft.com/office/officeart/2005/8/layout/orgChart1#2"/>
    <dgm:cxn modelId="{3569AF2F-0872-4C04-BEA2-BD929E111651}" type="presOf" srcId="{D907B1B1-136B-094D-8F63-9AE02844B8EA}" destId="{23386FED-5648-6E4E-A06B-9BADACA97825}" srcOrd="1" destOrd="0" presId="urn:microsoft.com/office/officeart/2005/8/layout/orgChart1#2"/>
    <dgm:cxn modelId="{26E4101D-65D9-47C4-83DE-BC9DB0E8A61A}" type="presOf" srcId="{07F19E14-26BD-214B-A791-7B7A34C8E9E2}" destId="{2DE6DA5E-C4B3-9243-BA84-1F7245416147}" srcOrd="0" destOrd="0" presId="urn:microsoft.com/office/officeart/2005/8/layout/orgChart1#2"/>
    <dgm:cxn modelId="{56BCDC06-A658-4ED8-BB11-F94E579DBEE3}" type="presParOf" srcId="{4F34BAF3-7EE6-4445-83CE-F6A61ADABF1C}" destId="{830C8651-F4B2-454A-9231-2D3A0CA6A8DF}" srcOrd="0" destOrd="0" presId="urn:microsoft.com/office/officeart/2005/8/layout/orgChart1#2"/>
    <dgm:cxn modelId="{4555B62F-287A-4892-9612-7C8C5284C7E8}" type="presParOf" srcId="{830C8651-F4B2-454A-9231-2D3A0CA6A8DF}" destId="{EFB4FF5A-E5B7-7947-B240-B852AF2B5EAC}" srcOrd="0" destOrd="0" presId="urn:microsoft.com/office/officeart/2005/8/layout/orgChart1#2"/>
    <dgm:cxn modelId="{B8F6A1DD-9356-432B-B55D-FDFE2AB2219B}" type="presParOf" srcId="{EFB4FF5A-E5B7-7947-B240-B852AF2B5EAC}" destId="{5427A3F7-B493-2845-BAD1-E7DCBF60F024}" srcOrd="0" destOrd="0" presId="urn:microsoft.com/office/officeart/2005/8/layout/orgChart1#2"/>
    <dgm:cxn modelId="{597DC4D2-EE21-433A-AC72-B4727A7C0D11}" type="presParOf" srcId="{EFB4FF5A-E5B7-7947-B240-B852AF2B5EAC}" destId="{3A875FB3-3AA3-A64A-9ECA-2CED1DDBC80B}" srcOrd="1" destOrd="0" presId="urn:microsoft.com/office/officeart/2005/8/layout/orgChart1#2"/>
    <dgm:cxn modelId="{14A84DBE-33CE-49D4-88A1-221784DDB6A4}" type="presParOf" srcId="{830C8651-F4B2-454A-9231-2D3A0CA6A8DF}" destId="{AF827506-3A6E-FD4E-9C11-F95C6B0FFE7B}" srcOrd="1" destOrd="0" presId="urn:microsoft.com/office/officeart/2005/8/layout/orgChart1#2"/>
    <dgm:cxn modelId="{95F33724-4D3D-448B-AF90-853669E2C21A}" type="presParOf" srcId="{AF827506-3A6E-FD4E-9C11-F95C6B0FFE7B}" destId="{2DE6DA5E-C4B3-9243-BA84-1F7245416147}" srcOrd="0" destOrd="0" presId="urn:microsoft.com/office/officeart/2005/8/layout/orgChart1#2"/>
    <dgm:cxn modelId="{7B89D3C8-A5CE-4B4B-934C-E6D0BC8F98B9}" type="presParOf" srcId="{AF827506-3A6E-FD4E-9C11-F95C6B0FFE7B}" destId="{E2E0C85C-271F-0642-810A-C1058512BC98}" srcOrd="1" destOrd="0" presId="urn:microsoft.com/office/officeart/2005/8/layout/orgChart1#2"/>
    <dgm:cxn modelId="{FE1B19F3-0F57-4F14-B2CD-EC5B43C655EE}" type="presParOf" srcId="{E2E0C85C-271F-0642-810A-C1058512BC98}" destId="{94E72D6A-F798-704B-ABFE-AA3933616FF3}" srcOrd="0" destOrd="0" presId="urn:microsoft.com/office/officeart/2005/8/layout/orgChart1#2"/>
    <dgm:cxn modelId="{311135E9-EA4B-4F40-B894-6DC9AB735D7D}" type="presParOf" srcId="{94E72D6A-F798-704B-ABFE-AA3933616FF3}" destId="{A18CEB27-721D-6441-89B9-E65385111166}" srcOrd="0" destOrd="0" presId="urn:microsoft.com/office/officeart/2005/8/layout/orgChart1#2"/>
    <dgm:cxn modelId="{F209EE00-3EE6-4644-942A-68931CC0DC4B}" type="presParOf" srcId="{94E72D6A-F798-704B-ABFE-AA3933616FF3}" destId="{2B162C50-26E6-2A41-B130-56F102D62ACC}" srcOrd="1" destOrd="0" presId="urn:microsoft.com/office/officeart/2005/8/layout/orgChart1#2"/>
    <dgm:cxn modelId="{7F1ADBD4-EBDD-4EBF-998D-10FF41E8826F}" type="presParOf" srcId="{E2E0C85C-271F-0642-810A-C1058512BC98}" destId="{9C871E57-0BF6-AF4D-BAD6-04E40069A91A}" srcOrd="1" destOrd="0" presId="urn:microsoft.com/office/officeart/2005/8/layout/orgChart1#2"/>
    <dgm:cxn modelId="{6DB6E1F8-B522-4F57-9C98-624B736F863B}" type="presParOf" srcId="{9C871E57-0BF6-AF4D-BAD6-04E40069A91A}" destId="{73FE1A36-B107-5A44-9CA5-63CF1B815F5C}" srcOrd="0" destOrd="0" presId="urn:microsoft.com/office/officeart/2005/8/layout/orgChart1#2"/>
    <dgm:cxn modelId="{5143673B-E3C9-4D53-B41B-09E5F7612FE2}" type="presParOf" srcId="{9C871E57-0BF6-AF4D-BAD6-04E40069A91A}" destId="{70AAC983-F72E-C341-9ED2-12757A788086}" srcOrd="1" destOrd="0" presId="urn:microsoft.com/office/officeart/2005/8/layout/orgChart1#2"/>
    <dgm:cxn modelId="{AB428370-3A72-4F37-9A38-2222905E4E8E}" type="presParOf" srcId="{70AAC983-F72E-C341-9ED2-12757A788086}" destId="{EF8E222F-62BA-0F48-AE4A-D06B50491F90}" srcOrd="0" destOrd="0" presId="urn:microsoft.com/office/officeart/2005/8/layout/orgChart1#2"/>
    <dgm:cxn modelId="{7C424C95-ED43-429C-8496-D5DB9EEF5C51}" type="presParOf" srcId="{EF8E222F-62BA-0F48-AE4A-D06B50491F90}" destId="{BF7A7EC9-8651-AE45-A863-55507D52BF39}" srcOrd="0" destOrd="0" presId="urn:microsoft.com/office/officeart/2005/8/layout/orgChart1#2"/>
    <dgm:cxn modelId="{9B62BBB1-FEE8-4000-91EC-DC4E38346A03}" type="presParOf" srcId="{EF8E222F-62BA-0F48-AE4A-D06B50491F90}" destId="{7D92CB07-0BD0-DB48-8C00-98DADE67D646}" srcOrd="1" destOrd="0" presId="urn:microsoft.com/office/officeart/2005/8/layout/orgChart1#2"/>
    <dgm:cxn modelId="{8123CA55-F2A9-4B64-A4CC-7D77EDE36CD1}" type="presParOf" srcId="{70AAC983-F72E-C341-9ED2-12757A788086}" destId="{0E1D3441-5E91-534E-8C17-6EA8BF41696A}" srcOrd="1" destOrd="0" presId="urn:microsoft.com/office/officeart/2005/8/layout/orgChart1#2"/>
    <dgm:cxn modelId="{08106D85-8352-48B7-89CA-CB6163988D0F}" type="presParOf" srcId="{0E1D3441-5E91-534E-8C17-6EA8BF41696A}" destId="{F7157903-3F04-F04B-B234-BD2FF0F28AB6}" srcOrd="0" destOrd="0" presId="urn:microsoft.com/office/officeart/2005/8/layout/orgChart1#2"/>
    <dgm:cxn modelId="{F31BE249-2455-45AE-8B7C-4A577D462CEC}" type="presParOf" srcId="{0E1D3441-5E91-534E-8C17-6EA8BF41696A}" destId="{E1578D78-E535-6F4E-857A-57AFAC96E35F}" srcOrd="1" destOrd="0" presId="urn:microsoft.com/office/officeart/2005/8/layout/orgChart1#2"/>
    <dgm:cxn modelId="{18CBDBB1-84CF-4A95-94EC-DAD2CAA5039D}" type="presParOf" srcId="{E1578D78-E535-6F4E-857A-57AFAC96E35F}" destId="{51ACDE4F-9BE8-AF45-88A1-1849E3B30377}" srcOrd="0" destOrd="0" presId="urn:microsoft.com/office/officeart/2005/8/layout/orgChart1#2"/>
    <dgm:cxn modelId="{3A4FF915-9676-4671-92E0-4559618CCDD8}" type="presParOf" srcId="{51ACDE4F-9BE8-AF45-88A1-1849E3B30377}" destId="{DCCD3B1D-52C2-114E-8374-8AB07E77D4C7}" srcOrd="0" destOrd="0" presId="urn:microsoft.com/office/officeart/2005/8/layout/orgChart1#2"/>
    <dgm:cxn modelId="{3D176395-4541-4E53-A903-CC17DA7903F9}" type="presParOf" srcId="{51ACDE4F-9BE8-AF45-88A1-1849E3B30377}" destId="{C7BAC107-6621-DE45-9AF1-B1EC72D66B67}" srcOrd="1" destOrd="0" presId="urn:microsoft.com/office/officeart/2005/8/layout/orgChart1#2"/>
    <dgm:cxn modelId="{49C6AF9C-34FE-4DEB-B682-05488D02BFA8}" type="presParOf" srcId="{E1578D78-E535-6F4E-857A-57AFAC96E35F}" destId="{F48C0071-9F0A-0644-88E0-D43EF8570A8F}" srcOrd="1" destOrd="0" presId="urn:microsoft.com/office/officeart/2005/8/layout/orgChart1#2"/>
    <dgm:cxn modelId="{D576C5E4-B5DF-4889-9C41-706B8FFE398F}" type="presParOf" srcId="{E1578D78-E535-6F4E-857A-57AFAC96E35F}" destId="{1078C6B9-DA95-0645-BEB1-B7C2C150C3E8}" srcOrd="2" destOrd="0" presId="urn:microsoft.com/office/officeart/2005/8/layout/orgChart1#2"/>
    <dgm:cxn modelId="{B2837FBB-6B0F-4F96-95A5-66AF58A81DD9}" type="presParOf" srcId="{0E1D3441-5E91-534E-8C17-6EA8BF41696A}" destId="{F85680D0-96AE-E44B-AAA5-D85AAC31D789}" srcOrd="2" destOrd="0" presId="urn:microsoft.com/office/officeart/2005/8/layout/orgChart1#2"/>
    <dgm:cxn modelId="{6704B4A9-366E-4641-B571-AF6DD6767535}" type="presParOf" srcId="{0E1D3441-5E91-534E-8C17-6EA8BF41696A}" destId="{EA7DDBEE-88EA-EE4B-BC5E-5261040E5C82}" srcOrd="3" destOrd="0" presId="urn:microsoft.com/office/officeart/2005/8/layout/orgChart1#2"/>
    <dgm:cxn modelId="{89A5487C-CA9E-4B5F-8558-DAEFBD953E14}" type="presParOf" srcId="{EA7DDBEE-88EA-EE4B-BC5E-5261040E5C82}" destId="{E787A180-1E85-034D-A204-51BAB2168674}" srcOrd="0" destOrd="0" presId="urn:microsoft.com/office/officeart/2005/8/layout/orgChart1#2"/>
    <dgm:cxn modelId="{73002028-238B-4FD7-9772-46F828812FBA}" type="presParOf" srcId="{E787A180-1E85-034D-A204-51BAB2168674}" destId="{2158D68F-9804-6148-9BB4-5FC34A031D93}" srcOrd="0" destOrd="0" presId="urn:microsoft.com/office/officeart/2005/8/layout/orgChart1#2"/>
    <dgm:cxn modelId="{4AD0F1F8-03DC-4801-ACB1-922E07997B46}" type="presParOf" srcId="{E787A180-1E85-034D-A204-51BAB2168674}" destId="{23386FED-5648-6E4E-A06B-9BADACA97825}" srcOrd="1" destOrd="0" presId="urn:microsoft.com/office/officeart/2005/8/layout/orgChart1#2"/>
    <dgm:cxn modelId="{581CA05F-E088-44F9-BFFD-460B7206F92E}" type="presParOf" srcId="{EA7DDBEE-88EA-EE4B-BC5E-5261040E5C82}" destId="{FF3816BD-FED5-8A4C-872A-D80171B28283}" srcOrd="1" destOrd="0" presId="urn:microsoft.com/office/officeart/2005/8/layout/orgChart1#2"/>
    <dgm:cxn modelId="{6CE24057-AB30-4A3A-9402-1526A95A9B29}" type="presParOf" srcId="{EA7DDBEE-88EA-EE4B-BC5E-5261040E5C82}" destId="{B6300522-A558-E046-BBC9-38FCF8EE44EF}" srcOrd="2" destOrd="0" presId="urn:microsoft.com/office/officeart/2005/8/layout/orgChart1#2"/>
    <dgm:cxn modelId="{3AD4EAB9-B6D4-447D-89D8-516538E1C665}" type="presParOf" srcId="{0E1D3441-5E91-534E-8C17-6EA8BF41696A}" destId="{AB670BBD-2A33-0A49-A30D-019C90079237}" srcOrd="4" destOrd="0" presId="urn:microsoft.com/office/officeart/2005/8/layout/orgChart1#2"/>
    <dgm:cxn modelId="{07ABA3AF-420C-4666-9556-A500D936DB52}" type="presParOf" srcId="{0E1D3441-5E91-534E-8C17-6EA8BF41696A}" destId="{7FE71F7B-6E9F-1C41-9CC5-C5B97478D85A}" srcOrd="5" destOrd="0" presId="urn:microsoft.com/office/officeart/2005/8/layout/orgChart1#2"/>
    <dgm:cxn modelId="{6B5F3B9D-5E8E-45BC-B6B1-EC022363FE22}" type="presParOf" srcId="{7FE71F7B-6E9F-1C41-9CC5-C5B97478D85A}" destId="{699817A6-E6A0-5E46-9B23-7D4CDAF1AC45}" srcOrd="0" destOrd="0" presId="urn:microsoft.com/office/officeart/2005/8/layout/orgChart1#2"/>
    <dgm:cxn modelId="{8C3F2BB8-CA39-4354-98E9-D3B4F02BE631}" type="presParOf" srcId="{699817A6-E6A0-5E46-9B23-7D4CDAF1AC45}" destId="{D9476B36-B4AC-5940-BF82-A08A74D0A693}" srcOrd="0" destOrd="0" presId="urn:microsoft.com/office/officeart/2005/8/layout/orgChart1#2"/>
    <dgm:cxn modelId="{341276BA-6AEF-4CCD-93F4-EF7DECE2ACB5}" type="presParOf" srcId="{699817A6-E6A0-5E46-9B23-7D4CDAF1AC45}" destId="{8C9D8E2F-EC64-EA4F-A180-C38426E87750}" srcOrd="1" destOrd="0" presId="urn:microsoft.com/office/officeart/2005/8/layout/orgChart1#2"/>
    <dgm:cxn modelId="{E16A934C-EF12-4454-AA1E-EA831AAB54CC}" type="presParOf" srcId="{7FE71F7B-6E9F-1C41-9CC5-C5B97478D85A}" destId="{AE987ED6-B64F-C648-AD50-4F613B35DC15}" srcOrd="1" destOrd="0" presId="urn:microsoft.com/office/officeart/2005/8/layout/orgChart1#2"/>
    <dgm:cxn modelId="{59A2C560-6A4B-43FA-9D9D-51DBA5B7A051}" type="presParOf" srcId="{7FE71F7B-6E9F-1C41-9CC5-C5B97478D85A}" destId="{003283D6-FFF4-CF49-B861-91FF3F9C0564}" srcOrd="2" destOrd="0" presId="urn:microsoft.com/office/officeart/2005/8/layout/orgChart1#2"/>
    <dgm:cxn modelId="{2971E5D5-10AA-45F8-BBB4-1C4BA1FFBDE0}" type="presParOf" srcId="{70AAC983-F72E-C341-9ED2-12757A788086}" destId="{DB0F90E0-6295-9345-A1B3-E817805533F9}" srcOrd="2" destOrd="0" presId="urn:microsoft.com/office/officeart/2005/8/layout/orgChart1#2"/>
    <dgm:cxn modelId="{63CB8BB9-6A29-4DA1-B174-937E563BA89A}" type="presParOf" srcId="{9C871E57-0BF6-AF4D-BAD6-04E40069A91A}" destId="{E85E5DA0-A73B-CC44-B10D-C57F3B736066}" srcOrd="2" destOrd="0" presId="urn:microsoft.com/office/officeart/2005/8/layout/orgChart1#2"/>
    <dgm:cxn modelId="{C357B23F-AFD7-41D7-9636-57F0556F427F}" type="presParOf" srcId="{9C871E57-0BF6-AF4D-BAD6-04E40069A91A}" destId="{1985B791-5020-6146-9F03-343EFB2FA38D}" srcOrd="3" destOrd="0" presId="urn:microsoft.com/office/officeart/2005/8/layout/orgChart1#2"/>
    <dgm:cxn modelId="{F7735572-2DDB-4BC5-B82D-54A7C8A36FF3}" type="presParOf" srcId="{1985B791-5020-6146-9F03-343EFB2FA38D}" destId="{2D8C4EF9-19F3-8A47-BEDF-E5FACA6856A1}" srcOrd="0" destOrd="0" presId="urn:microsoft.com/office/officeart/2005/8/layout/orgChart1#2"/>
    <dgm:cxn modelId="{725C6545-7D88-4F15-8BFC-D717A3F83599}" type="presParOf" srcId="{2D8C4EF9-19F3-8A47-BEDF-E5FACA6856A1}" destId="{FF1B2E7A-FDFD-5F47-87E0-A8A74CD9B5D8}" srcOrd="0" destOrd="0" presId="urn:microsoft.com/office/officeart/2005/8/layout/orgChart1#2"/>
    <dgm:cxn modelId="{7F5D21D9-FCEC-4E38-915A-02BA18D2BFF7}" type="presParOf" srcId="{2D8C4EF9-19F3-8A47-BEDF-E5FACA6856A1}" destId="{D82FA8AA-7780-2445-910B-95A12AD0D03D}" srcOrd="1" destOrd="0" presId="urn:microsoft.com/office/officeart/2005/8/layout/orgChart1#2"/>
    <dgm:cxn modelId="{27204810-6716-43B0-A596-570AC3DC7B95}" type="presParOf" srcId="{1985B791-5020-6146-9F03-343EFB2FA38D}" destId="{48A9063A-3DD5-D944-8347-2AED0B1D6E29}" srcOrd="1" destOrd="0" presId="urn:microsoft.com/office/officeart/2005/8/layout/orgChart1#2"/>
    <dgm:cxn modelId="{C4ACA98B-65F4-485A-B67F-EA3D2CDC518D}" type="presParOf" srcId="{48A9063A-3DD5-D944-8347-2AED0B1D6E29}" destId="{8127F73E-6AD9-1F46-BB61-97CF787C3780}" srcOrd="0" destOrd="0" presId="urn:microsoft.com/office/officeart/2005/8/layout/orgChart1#2"/>
    <dgm:cxn modelId="{D97401FA-6860-4873-AAC7-7FBA35E2C3B4}" type="presParOf" srcId="{48A9063A-3DD5-D944-8347-2AED0B1D6E29}" destId="{C5FCC06E-C905-4E41-A4D1-21387CDF151A}" srcOrd="1" destOrd="0" presId="urn:microsoft.com/office/officeart/2005/8/layout/orgChart1#2"/>
    <dgm:cxn modelId="{83A11676-49A2-4783-96B2-B1D180DF3629}" type="presParOf" srcId="{C5FCC06E-C905-4E41-A4D1-21387CDF151A}" destId="{568F3249-1B31-2D47-AD0E-F747BC7DE8F1}" srcOrd="0" destOrd="0" presId="urn:microsoft.com/office/officeart/2005/8/layout/orgChart1#2"/>
    <dgm:cxn modelId="{FDBFBB9E-4DDC-4B50-9AF9-D6EC00C8C370}" type="presParOf" srcId="{568F3249-1B31-2D47-AD0E-F747BC7DE8F1}" destId="{26C47230-6AA3-2041-97C3-AF0117DE647D}" srcOrd="0" destOrd="0" presId="urn:microsoft.com/office/officeart/2005/8/layout/orgChart1#2"/>
    <dgm:cxn modelId="{7BE71C9B-953E-4C29-A197-2EAEE10F7AF7}" type="presParOf" srcId="{568F3249-1B31-2D47-AD0E-F747BC7DE8F1}" destId="{A896F5DA-8E92-0844-9318-D694F140123D}" srcOrd="1" destOrd="0" presId="urn:microsoft.com/office/officeart/2005/8/layout/orgChart1#2"/>
    <dgm:cxn modelId="{60D17A3B-D55D-4589-B540-43F609A5B299}" type="presParOf" srcId="{C5FCC06E-C905-4E41-A4D1-21387CDF151A}" destId="{6557452C-186D-2047-81A7-1884F72D3157}" srcOrd="1" destOrd="0" presId="urn:microsoft.com/office/officeart/2005/8/layout/orgChart1#2"/>
    <dgm:cxn modelId="{35EFFBC7-D096-48DB-9E9E-24B0893769AA}" type="presParOf" srcId="{C5FCC06E-C905-4E41-A4D1-21387CDF151A}" destId="{CEB6AB69-E7D1-2A41-AA5B-5DEBB4987EC8}" srcOrd="2" destOrd="0" presId="urn:microsoft.com/office/officeart/2005/8/layout/orgChart1#2"/>
    <dgm:cxn modelId="{CEB54B1B-FB18-45C0-805D-3B8D8A0791A3}" type="presParOf" srcId="{1985B791-5020-6146-9F03-343EFB2FA38D}" destId="{3B8B9879-FA7E-4746-8FAF-848AC9A43E95}" srcOrd="2" destOrd="0" presId="urn:microsoft.com/office/officeart/2005/8/layout/orgChart1#2"/>
    <dgm:cxn modelId="{21213881-F705-41A4-AD70-BB6D4B8D3EAA}" type="presParOf" srcId="{E2E0C85C-271F-0642-810A-C1058512BC98}" destId="{E8DBB0E8-987C-074D-9ECA-1E013F8254EF}" srcOrd="2" destOrd="0" presId="urn:microsoft.com/office/officeart/2005/8/layout/orgChart1#2"/>
    <dgm:cxn modelId="{82A43550-7E8F-4DD0-AB2E-FF6B8A357062}" type="presParOf" srcId="{830C8651-F4B2-454A-9231-2D3A0CA6A8DF}" destId="{DDA546F2-7F68-2B42-B1AA-D01BCB135A12}" srcOrd="2" destOrd="0" presId="urn:microsoft.com/office/officeart/2005/8/layout/orgChart1#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020341-EF5D-45EB-A0CA-878DAFA00A74}">
      <dsp:nvSpPr>
        <dsp:cNvPr id="0" name=""/>
        <dsp:cNvSpPr/>
      </dsp:nvSpPr>
      <dsp:spPr>
        <a:xfrm>
          <a:off x="856321" y="344016"/>
          <a:ext cx="508381" cy="1037690"/>
        </a:xfrm>
        <a:custGeom>
          <a:avLst/>
          <a:gdLst/>
          <a:ahLst/>
          <a:cxnLst/>
          <a:rect l="0" t="0" r="0" b="0"/>
          <a:pathLst>
            <a:path>
              <a:moveTo>
                <a:pt x="508381" y="0"/>
              </a:moveTo>
              <a:lnTo>
                <a:pt x="508381" y="1037690"/>
              </a:lnTo>
              <a:lnTo>
                <a:pt x="0" y="103769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873C4B-99AE-C14A-8F9C-B0CA165FE55C}">
      <dsp:nvSpPr>
        <dsp:cNvPr id="0" name=""/>
        <dsp:cNvSpPr/>
      </dsp:nvSpPr>
      <dsp:spPr>
        <a:xfrm>
          <a:off x="1024431" y="1941180"/>
          <a:ext cx="117673" cy="1400355"/>
        </a:xfrm>
        <a:custGeom>
          <a:avLst/>
          <a:gdLst/>
          <a:ahLst/>
          <a:cxnLst/>
          <a:rect l="0" t="0" r="0" b="0"/>
          <a:pathLst>
            <a:path>
              <a:moveTo>
                <a:pt x="0" y="0"/>
              </a:moveTo>
              <a:lnTo>
                <a:pt x="0" y="1400355"/>
              </a:lnTo>
              <a:lnTo>
                <a:pt x="117673" y="14003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D5E0A9-EE9D-0847-B93E-56C271B52E33}">
      <dsp:nvSpPr>
        <dsp:cNvPr id="0" name=""/>
        <dsp:cNvSpPr/>
      </dsp:nvSpPr>
      <dsp:spPr>
        <a:xfrm>
          <a:off x="1024431" y="1941180"/>
          <a:ext cx="117673" cy="1083155"/>
        </a:xfrm>
        <a:custGeom>
          <a:avLst/>
          <a:gdLst/>
          <a:ahLst/>
          <a:cxnLst/>
          <a:rect l="0" t="0" r="0" b="0"/>
          <a:pathLst>
            <a:path>
              <a:moveTo>
                <a:pt x="0" y="0"/>
              </a:moveTo>
              <a:lnTo>
                <a:pt x="0" y="1083155"/>
              </a:lnTo>
              <a:lnTo>
                <a:pt x="117673" y="10831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F42178-7F2A-3240-8926-3F64BFA05C04}">
      <dsp:nvSpPr>
        <dsp:cNvPr id="0" name=""/>
        <dsp:cNvSpPr/>
      </dsp:nvSpPr>
      <dsp:spPr>
        <a:xfrm>
          <a:off x="1024431" y="1941180"/>
          <a:ext cx="117673" cy="803508"/>
        </a:xfrm>
        <a:custGeom>
          <a:avLst/>
          <a:gdLst/>
          <a:ahLst/>
          <a:cxnLst/>
          <a:rect l="0" t="0" r="0" b="0"/>
          <a:pathLst>
            <a:path>
              <a:moveTo>
                <a:pt x="0" y="0"/>
              </a:moveTo>
              <a:lnTo>
                <a:pt x="0" y="803508"/>
              </a:lnTo>
              <a:lnTo>
                <a:pt x="117673" y="803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9E9E37-0155-E148-9F3C-098E93423EF9}">
      <dsp:nvSpPr>
        <dsp:cNvPr id="0" name=""/>
        <dsp:cNvSpPr/>
      </dsp:nvSpPr>
      <dsp:spPr>
        <a:xfrm>
          <a:off x="1024431" y="1941180"/>
          <a:ext cx="117673" cy="534200"/>
        </a:xfrm>
        <a:custGeom>
          <a:avLst/>
          <a:gdLst/>
          <a:ahLst/>
          <a:cxnLst/>
          <a:rect l="0" t="0" r="0" b="0"/>
          <a:pathLst>
            <a:path>
              <a:moveTo>
                <a:pt x="0" y="0"/>
              </a:moveTo>
              <a:lnTo>
                <a:pt x="0" y="534200"/>
              </a:lnTo>
              <a:lnTo>
                <a:pt x="117673" y="5342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C2488-C0E1-404D-8BC2-077C924AE891}">
      <dsp:nvSpPr>
        <dsp:cNvPr id="0" name=""/>
        <dsp:cNvSpPr/>
      </dsp:nvSpPr>
      <dsp:spPr>
        <a:xfrm>
          <a:off x="1024431" y="1941180"/>
          <a:ext cx="117673" cy="254907"/>
        </a:xfrm>
        <a:custGeom>
          <a:avLst/>
          <a:gdLst/>
          <a:ahLst/>
          <a:cxnLst/>
          <a:rect l="0" t="0" r="0" b="0"/>
          <a:pathLst>
            <a:path>
              <a:moveTo>
                <a:pt x="0" y="0"/>
              </a:moveTo>
              <a:lnTo>
                <a:pt x="0" y="254907"/>
              </a:lnTo>
              <a:lnTo>
                <a:pt x="117673" y="2549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3519E-3ACC-3F41-A902-EFAA7CA9FA23}">
      <dsp:nvSpPr>
        <dsp:cNvPr id="0" name=""/>
        <dsp:cNvSpPr/>
      </dsp:nvSpPr>
      <dsp:spPr>
        <a:xfrm>
          <a:off x="853096" y="1895460"/>
          <a:ext cx="171334" cy="91440"/>
        </a:xfrm>
        <a:custGeom>
          <a:avLst/>
          <a:gdLst/>
          <a:ahLst/>
          <a:cxnLst/>
          <a:rect l="0" t="0" r="0" b="0"/>
          <a:pathLst>
            <a:path>
              <a:moveTo>
                <a:pt x="171334" y="45720"/>
              </a:moveTo>
              <a:lnTo>
                <a:pt x="171334" y="136101"/>
              </a:lnTo>
              <a:lnTo>
                <a:pt x="0" y="136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9178F6-B750-204A-B300-6DB38BCF304F}">
      <dsp:nvSpPr>
        <dsp:cNvPr id="0" name=""/>
        <dsp:cNvSpPr/>
      </dsp:nvSpPr>
      <dsp:spPr>
        <a:xfrm>
          <a:off x="1315761" y="1061295"/>
          <a:ext cx="91440" cy="439335"/>
        </a:xfrm>
        <a:custGeom>
          <a:avLst/>
          <a:gdLst/>
          <a:ahLst/>
          <a:cxnLst/>
          <a:rect l="0" t="0" r="0" b="0"/>
          <a:pathLst>
            <a:path>
              <a:moveTo>
                <a:pt x="45720" y="0"/>
              </a:moveTo>
              <a:lnTo>
                <a:pt x="45720" y="401450"/>
              </a:lnTo>
              <a:lnTo>
                <a:pt x="49909" y="401450"/>
              </a:lnTo>
              <a:lnTo>
                <a:pt x="49909" y="4393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F23B28-33CE-EF4D-9BB7-420DFD62EC82}">
      <dsp:nvSpPr>
        <dsp:cNvPr id="0" name=""/>
        <dsp:cNvSpPr/>
      </dsp:nvSpPr>
      <dsp:spPr>
        <a:xfrm>
          <a:off x="1315761" y="344016"/>
          <a:ext cx="91440" cy="439997"/>
        </a:xfrm>
        <a:custGeom>
          <a:avLst/>
          <a:gdLst/>
          <a:ahLst/>
          <a:cxnLst/>
          <a:rect l="0" t="0" r="0" b="0"/>
          <a:pathLst>
            <a:path>
              <a:moveTo>
                <a:pt x="48942" y="0"/>
              </a:moveTo>
              <a:lnTo>
                <a:pt x="48942" y="402112"/>
              </a:lnTo>
              <a:lnTo>
                <a:pt x="45720" y="402112"/>
              </a:lnTo>
              <a:lnTo>
                <a:pt x="45720" y="4399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C48554-E9BC-234B-A657-8BB9634D516A}">
      <dsp:nvSpPr>
        <dsp:cNvPr id="0" name=""/>
        <dsp:cNvSpPr/>
      </dsp:nvSpPr>
      <dsp:spPr>
        <a:xfrm>
          <a:off x="267651" y="66735"/>
          <a:ext cx="2194102" cy="2772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Conseil consultatif de recherche du CHSL</a:t>
          </a:r>
          <a:endParaRPr lang="en-US" sz="900" kern="1200">
            <a:ln>
              <a:noFill/>
            </a:ln>
            <a:latin typeface="Arial" panose="020B0604020202020204" pitchFamily="34" charset="0"/>
            <a:cs typeface="Arial" panose="020B0604020202020204" pitchFamily="34" charset="0"/>
          </a:endParaRPr>
        </a:p>
      </dsp:txBody>
      <dsp:txXfrm>
        <a:off x="267651" y="66735"/>
        <a:ext cx="2194102" cy="277281"/>
      </dsp:txXfrm>
    </dsp:sp>
    <dsp:sp modelId="{D737E90D-4029-324D-9AD1-1EB8AFB74C7D}">
      <dsp:nvSpPr>
        <dsp:cNvPr id="0" name=""/>
        <dsp:cNvSpPr/>
      </dsp:nvSpPr>
      <dsp:spPr>
        <a:xfrm>
          <a:off x="937958" y="784014"/>
          <a:ext cx="847046" cy="2772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Président, CHSL </a:t>
          </a:r>
          <a:endParaRPr lang="en-US" sz="900" kern="1200">
            <a:ln>
              <a:noFill/>
            </a:ln>
            <a:latin typeface="Arial" panose="020B0604020202020204" pitchFamily="34" charset="0"/>
            <a:cs typeface="Arial" panose="020B0604020202020204" pitchFamily="34" charset="0"/>
          </a:endParaRPr>
        </a:p>
      </dsp:txBody>
      <dsp:txXfrm>
        <a:off x="937958" y="784014"/>
        <a:ext cx="847046" cy="277281"/>
      </dsp:txXfrm>
    </dsp:sp>
    <dsp:sp modelId="{EE95D60B-9E8D-4C49-AF8A-ACB284DC2B0F}">
      <dsp:nvSpPr>
        <dsp:cNvPr id="0" name=""/>
        <dsp:cNvSpPr/>
      </dsp:nvSpPr>
      <dsp:spPr>
        <a:xfrm>
          <a:off x="939121" y="1500631"/>
          <a:ext cx="853096" cy="44054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Directeur général, CHSL </a:t>
          </a:r>
          <a:endParaRPr lang="en-US" sz="900" kern="1200">
            <a:ln>
              <a:noFill/>
            </a:ln>
            <a:latin typeface="Arial" panose="020B0604020202020204" pitchFamily="34" charset="0"/>
            <a:cs typeface="Arial" panose="020B0604020202020204" pitchFamily="34" charset="0"/>
          </a:endParaRPr>
        </a:p>
      </dsp:txBody>
      <dsp:txXfrm>
        <a:off x="939121" y="1500631"/>
        <a:ext cx="853096" cy="440549"/>
      </dsp:txXfrm>
    </dsp:sp>
    <dsp:sp modelId="{C754249F-BBB1-D04F-B3C6-F4EDF578E65E}">
      <dsp:nvSpPr>
        <dsp:cNvPr id="0" name=""/>
        <dsp:cNvSpPr/>
      </dsp:nvSpPr>
      <dsp:spPr>
        <a:xfrm>
          <a:off x="0" y="1812543"/>
          <a:ext cx="853096" cy="438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Directeur associé de recherche et analyse/CHSL</a:t>
          </a:r>
          <a:endParaRPr lang="en-US" sz="900" kern="1200">
            <a:ln>
              <a:noFill/>
            </a:ln>
            <a:latin typeface="Arial" panose="020B0604020202020204" pitchFamily="34" charset="0"/>
            <a:cs typeface="Arial" panose="020B0604020202020204" pitchFamily="34" charset="0"/>
          </a:endParaRPr>
        </a:p>
      </dsp:txBody>
      <dsp:txXfrm>
        <a:off x="0" y="1812543"/>
        <a:ext cx="853096" cy="438038"/>
      </dsp:txXfrm>
    </dsp:sp>
    <dsp:sp modelId="{83EEE877-05FD-9648-B104-FEAE161C98A8}">
      <dsp:nvSpPr>
        <dsp:cNvPr id="0" name=""/>
        <dsp:cNvSpPr/>
      </dsp:nvSpPr>
      <dsp:spPr>
        <a:xfrm>
          <a:off x="1142104" y="2115391"/>
          <a:ext cx="1594745" cy="1613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Développement</a:t>
          </a:r>
          <a:endParaRPr lang="en-US" sz="900" kern="1200">
            <a:ln>
              <a:noFill/>
            </a:ln>
            <a:latin typeface="Arial" panose="020B0604020202020204" pitchFamily="34" charset="0"/>
            <a:cs typeface="Arial" panose="020B0604020202020204" pitchFamily="34" charset="0"/>
          </a:endParaRPr>
        </a:p>
      </dsp:txBody>
      <dsp:txXfrm>
        <a:off x="1142104" y="2115391"/>
        <a:ext cx="1594745" cy="161394"/>
      </dsp:txXfrm>
    </dsp:sp>
    <dsp:sp modelId="{3CF1B569-748B-2D43-90CA-0049DC22AB5F}">
      <dsp:nvSpPr>
        <dsp:cNvPr id="0" name=""/>
        <dsp:cNvSpPr/>
      </dsp:nvSpPr>
      <dsp:spPr>
        <a:xfrm>
          <a:off x="1142104" y="2349331"/>
          <a:ext cx="1594745" cy="2520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Méthodologie, conception et mise en œuvre de la recherche</a:t>
          </a:r>
          <a:endParaRPr lang="en-US" sz="900" kern="1200">
            <a:ln>
              <a:noFill/>
            </a:ln>
            <a:latin typeface="Arial" panose="020B0604020202020204" pitchFamily="34" charset="0"/>
            <a:cs typeface="Arial" panose="020B0604020202020204" pitchFamily="34" charset="0"/>
          </a:endParaRPr>
        </a:p>
      </dsp:txBody>
      <dsp:txXfrm>
        <a:off x="1142104" y="2349331"/>
        <a:ext cx="1594745" cy="252099"/>
      </dsp:txXfrm>
    </dsp:sp>
    <dsp:sp modelId="{51F3EFF7-50EC-6346-B84C-5D70ACE299DB}">
      <dsp:nvSpPr>
        <dsp:cNvPr id="0" name=""/>
        <dsp:cNvSpPr/>
      </dsp:nvSpPr>
      <dsp:spPr>
        <a:xfrm>
          <a:off x="1142104" y="2663363"/>
          <a:ext cx="1594745" cy="1626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Diffusion</a:t>
          </a:r>
          <a:endParaRPr lang="en-US" sz="900" kern="1200">
            <a:ln>
              <a:noFill/>
            </a:ln>
            <a:latin typeface="Arial" panose="020B0604020202020204" pitchFamily="34" charset="0"/>
            <a:cs typeface="Arial" panose="020B0604020202020204" pitchFamily="34" charset="0"/>
          </a:endParaRPr>
        </a:p>
      </dsp:txBody>
      <dsp:txXfrm>
        <a:off x="1142104" y="2663363"/>
        <a:ext cx="1594745" cy="162651"/>
      </dsp:txXfrm>
    </dsp:sp>
    <dsp:sp modelId="{68B32261-6683-7A4F-A40D-28126F59F16D}">
      <dsp:nvSpPr>
        <dsp:cNvPr id="0" name=""/>
        <dsp:cNvSpPr/>
      </dsp:nvSpPr>
      <dsp:spPr>
        <a:xfrm>
          <a:off x="1142104" y="2896136"/>
          <a:ext cx="1594745" cy="2564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Formation/Parrainage et collaboration</a:t>
          </a:r>
          <a:endParaRPr lang="en-US" sz="900" kern="1200">
            <a:ln>
              <a:noFill/>
            </a:ln>
            <a:latin typeface="Arial" panose="020B0604020202020204" pitchFamily="34" charset="0"/>
            <a:cs typeface="Arial" panose="020B0604020202020204" pitchFamily="34" charset="0"/>
          </a:endParaRPr>
        </a:p>
      </dsp:txBody>
      <dsp:txXfrm>
        <a:off x="1142104" y="2896136"/>
        <a:ext cx="1594745" cy="256400"/>
      </dsp:txXfrm>
    </dsp:sp>
    <dsp:sp modelId="{B0B84730-631C-1841-8E61-CF5F2D35F453}">
      <dsp:nvSpPr>
        <dsp:cNvPr id="0" name=""/>
        <dsp:cNvSpPr/>
      </dsp:nvSpPr>
      <dsp:spPr>
        <a:xfrm>
          <a:off x="1142104" y="3212659"/>
          <a:ext cx="1594745" cy="2577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Preuves soutenant les prises de décision sanitaires</a:t>
          </a:r>
          <a:endParaRPr lang="en-US" sz="900" kern="1200">
            <a:ln>
              <a:noFill/>
            </a:ln>
            <a:latin typeface="Arial" panose="020B0604020202020204" pitchFamily="34" charset="0"/>
            <a:cs typeface="Arial" panose="020B0604020202020204" pitchFamily="34" charset="0"/>
          </a:endParaRPr>
        </a:p>
      </dsp:txBody>
      <dsp:txXfrm>
        <a:off x="1142104" y="3212659"/>
        <a:ext cx="1594745" cy="257753"/>
      </dsp:txXfrm>
    </dsp:sp>
    <dsp:sp modelId="{B8BD42D8-5640-4DD6-9DE4-A0FC29A6F9D1}">
      <dsp:nvSpPr>
        <dsp:cNvPr id="0" name=""/>
        <dsp:cNvSpPr/>
      </dsp:nvSpPr>
      <dsp:spPr>
        <a:xfrm>
          <a:off x="3224" y="1166920"/>
          <a:ext cx="853096" cy="429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Directeur de recherche et analyse/CHSL</a:t>
          </a:r>
          <a:endParaRPr lang="en-US" sz="900" kern="1200">
            <a:latin typeface="Arial" panose="020B0604020202020204" pitchFamily="34" charset="0"/>
            <a:cs typeface="Arial" panose="020B0604020202020204" pitchFamily="34" charset="0"/>
          </a:endParaRPr>
        </a:p>
      </dsp:txBody>
      <dsp:txXfrm>
        <a:off x="3224" y="1166920"/>
        <a:ext cx="853096" cy="4295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27F73E-6AD9-1F46-BB61-97CF787C3780}">
      <dsp:nvSpPr>
        <dsp:cNvPr id="0" name=""/>
        <dsp:cNvSpPr/>
      </dsp:nvSpPr>
      <dsp:spPr>
        <a:xfrm>
          <a:off x="1621997" y="1935752"/>
          <a:ext cx="151003" cy="463078"/>
        </a:xfrm>
        <a:custGeom>
          <a:avLst/>
          <a:gdLst/>
          <a:ahLst/>
          <a:cxnLst/>
          <a:rect l="0" t="0" r="0" b="0"/>
          <a:pathLst>
            <a:path>
              <a:moveTo>
                <a:pt x="0" y="0"/>
              </a:moveTo>
              <a:lnTo>
                <a:pt x="0" y="463078"/>
              </a:lnTo>
              <a:lnTo>
                <a:pt x="151003" y="4630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5E5DA0-A73B-CC44-B10D-C57F3B736066}">
      <dsp:nvSpPr>
        <dsp:cNvPr id="0" name=""/>
        <dsp:cNvSpPr/>
      </dsp:nvSpPr>
      <dsp:spPr>
        <a:xfrm>
          <a:off x="1415625" y="1221001"/>
          <a:ext cx="609048" cy="211405"/>
        </a:xfrm>
        <a:custGeom>
          <a:avLst/>
          <a:gdLst/>
          <a:ahLst/>
          <a:cxnLst/>
          <a:rect l="0" t="0" r="0" b="0"/>
          <a:pathLst>
            <a:path>
              <a:moveTo>
                <a:pt x="0" y="0"/>
              </a:moveTo>
              <a:lnTo>
                <a:pt x="0" y="105702"/>
              </a:lnTo>
              <a:lnTo>
                <a:pt x="609048" y="105702"/>
              </a:lnTo>
              <a:lnTo>
                <a:pt x="609048" y="211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670BBD-2A33-0A49-A30D-019C90079237}">
      <dsp:nvSpPr>
        <dsp:cNvPr id="0" name=""/>
        <dsp:cNvSpPr/>
      </dsp:nvSpPr>
      <dsp:spPr>
        <a:xfrm>
          <a:off x="403900" y="1935752"/>
          <a:ext cx="151003" cy="1883987"/>
        </a:xfrm>
        <a:custGeom>
          <a:avLst/>
          <a:gdLst/>
          <a:ahLst/>
          <a:cxnLst/>
          <a:rect l="0" t="0" r="0" b="0"/>
          <a:pathLst>
            <a:path>
              <a:moveTo>
                <a:pt x="0" y="0"/>
              </a:moveTo>
              <a:lnTo>
                <a:pt x="0" y="1883987"/>
              </a:lnTo>
              <a:lnTo>
                <a:pt x="151003" y="18839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5680D0-96AE-E44B-AAA5-D85AAC31D789}">
      <dsp:nvSpPr>
        <dsp:cNvPr id="0" name=""/>
        <dsp:cNvSpPr/>
      </dsp:nvSpPr>
      <dsp:spPr>
        <a:xfrm>
          <a:off x="403900" y="1935752"/>
          <a:ext cx="151003" cy="1177830"/>
        </a:xfrm>
        <a:custGeom>
          <a:avLst/>
          <a:gdLst/>
          <a:ahLst/>
          <a:cxnLst/>
          <a:rect l="0" t="0" r="0" b="0"/>
          <a:pathLst>
            <a:path>
              <a:moveTo>
                <a:pt x="0" y="0"/>
              </a:moveTo>
              <a:lnTo>
                <a:pt x="0" y="1177830"/>
              </a:lnTo>
              <a:lnTo>
                <a:pt x="151003" y="11778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157903-3F04-F04B-B234-BD2FF0F28AB6}">
      <dsp:nvSpPr>
        <dsp:cNvPr id="0" name=""/>
        <dsp:cNvSpPr/>
      </dsp:nvSpPr>
      <dsp:spPr>
        <a:xfrm>
          <a:off x="403900" y="1935752"/>
          <a:ext cx="151003" cy="463078"/>
        </a:xfrm>
        <a:custGeom>
          <a:avLst/>
          <a:gdLst/>
          <a:ahLst/>
          <a:cxnLst/>
          <a:rect l="0" t="0" r="0" b="0"/>
          <a:pathLst>
            <a:path>
              <a:moveTo>
                <a:pt x="0" y="0"/>
              </a:moveTo>
              <a:lnTo>
                <a:pt x="0" y="463078"/>
              </a:lnTo>
              <a:lnTo>
                <a:pt x="151003" y="4630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FE1A36-B107-5A44-9CA5-63CF1B815F5C}">
      <dsp:nvSpPr>
        <dsp:cNvPr id="0" name=""/>
        <dsp:cNvSpPr/>
      </dsp:nvSpPr>
      <dsp:spPr>
        <a:xfrm>
          <a:off x="806577" y="1221001"/>
          <a:ext cx="609048" cy="211405"/>
        </a:xfrm>
        <a:custGeom>
          <a:avLst/>
          <a:gdLst/>
          <a:ahLst/>
          <a:cxnLst/>
          <a:rect l="0" t="0" r="0" b="0"/>
          <a:pathLst>
            <a:path>
              <a:moveTo>
                <a:pt x="609048" y="0"/>
              </a:moveTo>
              <a:lnTo>
                <a:pt x="609048" y="105702"/>
              </a:lnTo>
              <a:lnTo>
                <a:pt x="0" y="105702"/>
              </a:lnTo>
              <a:lnTo>
                <a:pt x="0" y="211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E6DA5E-C4B3-9243-BA84-1F7245416147}">
      <dsp:nvSpPr>
        <dsp:cNvPr id="0" name=""/>
        <dsp:cNvSpPr/>
      </dsp:nvSpPr>
      <dsp:spPr>
        <a:xfrm>
          <a:off x="1369905" y="506249"/>
          <a:ext cx="91440" cy="211405"/>
        </a:xfrm>
        <a:custGeom>
          <a:avLst/>
          <a:gdLst/>
          <a:ahLst/>
          <a:cxnLst/>
          <a:rect l="0" t="0" r="0" b="0"/>
          <a:pathLst>
            <a:path>
              <a:moveTo>
                <a:pt x="45720" y="0"/>
              </a:moveTo>
              <a:lnTo>
                <a:pt x="45720" y="2114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27A3F7-B493-2845-BAD1-E7DCBF60F024}">
      <dsp:nvSpPr>
        <dsp:cNvPr id="0" name=""/>
        <dsp:cNvSpPr/>
      </dsp:nvSpPr>
      <dsp:spPr>
        <a:xfrm>
          <a:off x="912279" y="2903"/>
          <a:ext cx="1006692" cy="5033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Conseil d’administration</a:t>
          </a:r>
          <a:endParaRPr lang="en-US" sz="900" kern="1200">
            <a:latin typeface="Arial" panose="020B0604020202020204" pitchFamily="34" charset="0"/>
            <a:cs typeface="Arial" panose="020B0604020202020204" pitchFamily="34" charset="0"/>
          </a:endParaRPr>
        </a:p>
      </dsp:txBody>
      <dsp:txXfrm>
        <a:off x="912279" y="2903"/>
        <a:ext cx="1006692" cy="503346"/>
      </dsp:txXfrm>
    </dsp:sp>
    <dsp:sp modelId="{A18CEB27-721D-6441-89B9-E65385111166}">
      <dsp:nvSpPr>
        <dsp:cNvPr id="0" name=""/>
        <dsp:cNvSpPr/>
      </dsp:nvSpPr>
      <dsp:spPr>
        <a:xfrm>
          <a:off x="912279" y="717654"/>
          <a:ext cx="1006692" cy="5033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Président-directeur général</a:t>
          </a:r>
          <a:endParaRPr lang="en-US" sz="900" kern="1200">
            <a:latin typeface="Arial" panose="020B0604020202020204" pitchFamily="34" charset="0"/>
            <a:cs typeface="Arial" panose="020B0604020202020204" pitchFamily="34" charset="0"/>
          </a:endParaRPr>
        </a:p>
      </dsp:txBody>
      <dsp:txXfrm>
        <a:off x="912279" y="717654"/>
        <a:ext cx="1006692" cy="503346"/>
      </dsp:txXfrm>
    </dsp:sp>
    <dsp:sp modelId="{BF7A7EC9-8651-AE45-A863-55507D52BF39}">
      <dsp:nvSpPr>
        <dsp:cNvPr id="0" name=""/>
        <dsp:cNvSpPr/>
      </dsp:nvSpPr>
      <dsp:spPr>
        <a:xfrm>
          <a:off x="303230" y="1432406"/>
          <a:ext cx="1006692" cy="5033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Directeur pays</a:t>
          </a:r>
          <a:endParaRPr lang="en-US" sz="900" kern="1200">
            <a:latin typeface="Arial" panose="020B0604020202020204" pitchFamily="34" charset="0"/>
            <a:cs typeface="Arial" panose="020B0604020202020204" pitchFamily="34" charset="0"/>
          </a:endParaRPr>
        </a:p>
      </dsp:txBody>
      <dsp:txXfrm>
        <a:off x="303230" y="1432406"/>
        <a:ext cx="1006692" cy="503346"/>
      </dsp:txXfrm>
    </dsp:sp>
    <dsp:sp modelId="{DCCD3B1D-52C2-114E-8374-8AB07E77D4C7}">
      <dsp:nvSpPr>
        <dsp:cNvPr id="0" name=""/>
        <dsp:cNvSpPr/>
      </dsp:nvSpPr>
      <dsp:spPr>
        <a:xfrm>
          <a:off x="554903" y="2147158"/>
          <a:ext cx="1006692" cy="5033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Équipe des opérations</a:t>
          </a:r>
          <a:endParaRPr lang="en-US" sz="900" kern="1200">
            <a:latin typeface="Arial" panose="020B0604020202020204" pitchFamily="34" charset="0"/>
            <a:cs typeface="Arial" panose="020B0604020202020204" pitchFamily="34" charset="0"/>
          </a:endParaRPr>
        </a:p>
      </dsp:txBody>
      <dsp:txXfrm>
        <a:off x="554903" y="2147158"/>
        <a:ext cx="1006692" cy="503346"/>
      </dsp:txXfrm>
    </dsp:sp>
    <dsp:sp modelId="{2158D68F-9804-6148-9BB4-5FC34A031D93}">
      <dsp:nvSpPr>
        <dsp:cNvPr id="0" name=""/>
        <dsp:cNvSpPr/>
      </dsp:nvSpPr>
      <dsp:spPr>
        <a:xfrm>
          <a:off x="554903" y="2861909"/>
          <a:ext cx="1006692" cy="5033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Équipe du programme de RSSBC</a:t>
          </a:r>
          <a:endParaRPr lang="en-US" sz="900" kern="1200">
            <a:latin typeface="Arial" panose="020B0604020202020204" pitchFamily="34" charset="0"/>
            <a:cs typeface="Arial" panose="020B0604020202020204" pitchFamily="34" charset="0"/>
          </a:endParaRPr>
        </a:p>
      </dsp:txBody>
      <dsp:txXfrm>
        <a:off x="554903" y="2861909"/>
        <a:ext cx="1006692" cy="503346"/>
      </dsp:txXfrm>
    </dsp:sp>
    <dsp:sp modelId="{D9476B36-B4AC-5940-BF82-A08A74D0A693}">
      <dsp:nvSpPr>
        <dsp:cNvPr id="0" name=""/>
        <dsp:cNvSpPr/>
      </dsp:nvSpPr>
      <dsp:spPr>
        <a:xfrm>
          <a:off x="554903" y="3528642"/>
          <a:ext cx="1108438" cy="5821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Équipe de surveillance, évaluation et amélioration de la qualité</a:t>
          </a:r>
          <a:endParaRPr lang="en-US" sz="900" kern="1200">
            <a:latin typeface="Arial" panose="020B0604020202020204" pitchFamily="34" charset="0"/>
            <a:cs typeface="Arial" panose="020B0604020202020204" pitchFamily="34" charset="0"/>
          </a:endParaRPr>
        </a:p>
      </dsp:txBody>
      <dsp:txXfrm>
        <a:off x="554903" y="3528642"/>
        <a:ext cx="1108438" cy="582195"/>
      </dsp:txXfrm>
    </dsp:sp>
    <dsp:sp modelId="{FF1B2E7A-FDFD-5F47-87E0-A8A74CD9B5D8}">
      <dsp:nvSpPr>
        <dsp:cNvPr id="0" name=""/>
        <dsp:cNvSpPr/>
      </dsp:nvSpPr>
      <dsp:spPr>
        <a:xfrm>
          <a:off x="1521328" y="1432406"/>
          <a:ext cx="1006692" cy="5033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Directeur des operations</a:t>
          </a:r>
          <a:endParaRPr lang="en-US" sz="900" kern="1200">
            <a:latin typeface="Arial" panose="020B0604020202020204" pitchFamily="34" charset="0"/>
            <a:cs typeface="Arial" panose="020B0604020202020204" pitchFamily="34" charset="0"/>
          </a:endParaRPr>
        </a:p>
      </dsp:txBody>
      <dsp:txXfrm>
        <a:off x="1521328" y="1432406"/>
        <a:ext cx="1006692" cy="503346"/>
      </dsp:txXfrm>
    </dsp:sp>
    <dsp:sp modelId="{26C47230-6AA3-2041-97C3-AF0117DE647D}">
      <dsp:nvSpPr>
        <dsp:cNvPr id="0" name=""/>
        <dsp:cNvSpPr/>
      </dsp:nvSpPr>
      <dsp:spPr>
        <a:xfrm>
          <a:off x="1773001" y="2147158"/>
          <a:ext cx="1006692" cy="5033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Équipe de communication, developpement et financement</a:t>
          </a:r>
          <a:endParaRPr lang="en-US" sz="900" kern="1200">
            <a:latin typeface="Arial" panose="020B0604020202020204" pitchFamily="34" charset="0"/>
            <a:cs typeface="Arial" panose="020B0604020202020204" pitchFamily="34" charset="0"/>
          </a:endParaRPr>
        </a:p>
      </dsp:txBody>
      <dsp:txXfrm>
        <a:off x="1773001" y="2147158"/>
        <a:ext cx="1006692" cy="5033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049A-C17E-4F8F-A6B2-09086AD2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47415</Words>
  <Characters>270269</Characters>
  <Application>Microsoft Office Word</Application>
  <DocSecurity>0</DocSecurity>
  <Lines>2252</Lines>
  <Paragraphs>634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Montefiore</Company>
  <LinksUpToDate>false</LinksUpToDate>
  <CharactersWithSpaces>317050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 Lauria</dc:creator>
  <cp:lastModifiedBy>Verbeek, Alex, BioMed Central Ltd.</cp:lastModifiedBy>
  <cp:revision>2</cp:revision>
  <cp:lastPrinted>2019-08-12T21:25:00Z</cp:lastPrinted>
  <dcterms:created xsi:type="dcterms:W3CDTF">2019-09-19T12:44:00Z</dcterms:created>
  <dcterms:modified xsi:type="dcterms:W3CDTF">2019-09-19T12:44:00Z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a9e8cacf-79fd-355b-a4bb-4d9bcb7804f7</vt:lpwstr>
  </property>
</Properties>
</file>