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3A61" w:rsidRPr="00943A61" w:rsidRDefault="00CA432C">
      <w:pPr>
        <w:rPr>
          <w:rFonts w:ascii="Arial" w:hAnsi="Arial" w:cs="Arial"/>
          <w:b/>
          <w:u w:val="single"/>
        </w:rPr>
      </w:pPr>
      <w:r>
        <w:rPr>
          <w:rFonts w:ascii="Arial" w:hAnsi="Arial" w:cs="Arial"/>
          <w:b/>
          <w:u w:val="single"/>
        </w:rPr>
        <w:t>Additional file 2</w:t>
      </w:r>
    </w:p>
    <w:p w:rsidR="00943A61" w:rsidRDefault="00943A61">
      <w:pPr>
        <w:rPr>
          <w:rFonts w:ascii="Arial" w:hAnsi="Arial" w:cs="Arial"/>
          <w:b/>
        </w:rPr>
      </w:pPr>
    </w:p>
    <w:p w:rsidR="00C81566" w:rsidRPr="00C81566" w:rsidRDefault="00C81566">
      <w:pPr>
        <w:rPr>
          <w:rFonts w:ascii="Arial" w:hAnsi="Arial" w:cs="Arial"/>
          <w:b/>
        </w:rPr>
      </w:pPr>
      <w:r w:rsidRPr="00C81566">
        <w:rPr>
          <w:rFonts w:ascii="Arial" w:hAnsi="Arial" w:cs="Arial"/>
          <w:b/>
        </w:rPr>
        <w:t>Relating the gut metagenome and metatranscriptome to immunotherapy responses in melanoma patients</w:t>
      </w:r>
    </w:p>
    <w:p w:rsidR="000B5332" w:rsidRDefault="00C81566" w:rsidP="00C81566">
      <w:pPr>
        <w:rPr>
          <w:rFonts w:ascii="Arial" w:hAnsi="Arial" w:cs="Arial"/>
          <w:vertAlign w:val="superscript"/>
        </w:rPr>
      </w:pPr>
      <w:r>
        <w:rPr>
          <w:rFonts w:ascii="Arial" w:hAnsi="Arial" w:cs="Arial"/>
        </w:rPr>
        <w:t xml:space="preserve">Brandilyn A. Peters, Melissa Wilson, Una Moran, </w:t>
      </w:r>
      <w:r w:rsidRPr="00151CA2">
        <w:rPr>
          <w:rFonts w:ascii="Arial" w:hAnsi="Arial" w:cs="Arial"/>
        </w:rPr>
        <w:t>Anna Pavlick,</w:t>
      </w:r>
      <w:r>
        <w:rPr>
          <w:rFonts w:ascii="Arial" w:hAnsi="Arial" w:cs="Arial"/>
        </w:rPr>
        <w:t xml:space="preserve"> Allison Izsak, Todd Wechter, Jeffrey S. Weber, Iman Osman, Jiyoung Ahn</w:t>
      </w:r>
    </w:p>
    <w:p w:rsidR="000B5332" w:rsidRDefault="000B5332" w:rsidP="00C81566">
      <w:pPr>
        <w:rPr>
          <w:rFonts w:ascii="Arial" w:hAnsi="Arial" w:cs="Arial"/>
        </w:rPr>
      </w:pPr>
      <w:r>
        <w:rPr>
          <w:rFonts w:ascii="Arial" w:hAnsi="Arial" w:cs="Arial"/>
          <w:vertAlign w:val="superscript"/>
        </w:rPr>
        <w:t>a</w:t>
      </w:r>
      <w:r>
        <w:rPr>
          <w:rFonts w:ascii="Arial" w:hAnsi="Arial" w:cs="Arial"/>
        </w:rPr>
        <w:t>Department of Population Health, NYU School of Medicine, New York, NY, USA</w:t>
      </w:r>
    </w:p>
    <w:p w:rsidR="000B5332" w:rsidRDefault="000B5332" w:rsidP="00C81566">
      <w:pPr>
        <w:rPr>
          <w:rFonts w:ascii="Arial" w:hAnsi="Arial" w:cs="Arial"/>
        </w:rPr>
      </w:pPr>
      <w:r>
        <w:rPr>
          <w:rFonts w:ascii="Arial" w:hAnsi="Arial" w:cs="Arial"/>
          <w:vertAlign w:val="superscript"/>
        </w:rPr>
        <w:t>b</w:t>
      </w:r>
      <w:r>
        <w:rPr>
          <w:rFonts w:ascii="Arial" w:hAnsi="Arial" w:cs="Arial"/>
        </w:rPr>
        <w:t>Department of Medicine, NYU School of Medicine, New York, NY, USA</w:t>
      </w:r>
    </w:p>
    <w:p w:rsidR="000B5332" w:rsidRPr="000B5332" w:rsidRDefault="000B5332" w:rsidP="00C81566">
      <w:pPr>
        <w:rPr>
          <w:rFonts w:ascii="Arial" w:hAnsi="Arial" w:cs="Arial"/>
        </w:rPr>
      </w:pPr>
      <w:r>
        <w:rPr>
          <w:rFonts w:ascii="Arial" w:hAnsi="Arial" w:cs="Arial"/>
          <w:vertAlign w:val="superscript"/>
        </w:rPr>
        <w:t>c</w:t>
      </w:r>
      <w:r>
        <w:rPr>
          <w:rFonts w:ascii="Arial" w:hAnsi="Arial" w:cs="Arial"/>
        </w:rPr>
        <w:t>NYU Perlmutter Cancer Center, New York, NY, USA</w:t>
      </w:r>
    </w:p>
    <w:p w:rsidR="00943A61" w:rsidRDefault="00C81566" w:rsidP="000B5332">
      <w:pPr>
        <w:rPr>
          <w:rFonts w:ascii="Arial" w:hAnsi="Arial" w:cs="Arial"/>
          <w:bCs/>
        </w:rPr>
      </w:pPr>
      <w:r>
        <w:rPr>
          <w:rFonts w:ascii="Arial" w:hAnsi="Arial" w:cs="Arial"/>
        </w:rPr>
        <w:t xml:space="preserve"> </w:t>
      </w:r>
      <w:proofErr w:type="gramStart"/>
      <w:r w:rsidR="000B5332">
        <w:rPr>
          <w:rFonts w:ascii="Arial" w:hAnsi="Arial" w:cs="Arial"/>
          <w:vertAlign w:val="superscript"/>
        </w:rPr>
        <w:t>d</w:t>
      </w:r>
      <w:r w:rsidR="000B5332" w:rsidRPr="000B5332">
        <w:rPr>
          <w:rFonts w:ascii="Arial" w:hAnsi="Arial" w:cs="Arial"/>
          <w:bCs/>
        </w:rPr>
        <w:t>The</w:t>
      </w:r>
      <w:proofErr w:type="gramEnd"/>
      <w:r w:rsidR="000B5332" w:rsidRPr="000B5332">
        <w:rPr>
          <w:rFonts w:ascii="Arial" w:hAnsi="Arial" w:cs="Arial"/>
          <w:bCs/>
        </w:rPr>
        <w:t xml:space="preserve"> Ronald O. Perelman Department of Dermatology</w:t>
      </w:r>
      <w:r w:rsidR="000B5332">
        <w:rPr>
          <w:rFonts w:ascii="Arial" w:hAnsi="Arial" w:cs="Arial"/>
          <w:bCs/>
        </w:rPr>
        <w:t>, NYU School of Medicine, New York, NY, USA</w:t>
      </w:r>
    </w:p>
    <w:p w:rsidR="00803C5D" w:rsidRPr="00141E3A" w:rsidRDefault="00943A61" w:rsidP="00803C5D">
      <w:pPr>
        <w:rPr>
          <w:rFonts w:ascii="Arial" w:hAnsi="Arial" w:cs="Arial"/>
          <w:bCs/>
        </w:rPr>
      </w:pPr>
      <w:r>
        <w:rPr>
          <w:rFonts w:ascii="Arial" w:hAnsi="Arial" w:cs="Arial"/>
          <w:bCs/>
        </w:rPr>
        <w:br w:type="page"/>
      </w:r>
      <w:r w:rsidR="00803C5D" w:rsidRPr="002E39F8">
        <w:rPr>
          <w:rFonts w:ascii="Arial" w:hAnsi="Arial" w:cs="Arial"/>
          <w:b/>
        </w:rPr>
        <w:lastRenderedPageBreak/>
        <w:t xml:space="preserve">Figure </w:t>
      </w:r>
      <w:r w:rsidR="00CA432C">
        <w:rPr>
          <w:rFonts w:ascii="Arial" w:hAnsi="Arial" w:cs="Arial"/>
          <w:b/>
        </w:rPr>
        <w:t>S</w:t>
      </w:r>
      <w:r w:rsidR="00803C5D" w:rsidRPr="002E39F8">
        <w:rPr>
          <w:rFonts w:ascii="Arial" w:hAnsi="Arial" w:cs="Arial"/>
          <w:b/>
        </w:rPr>
        <w:t xml:space="preserve">1. Patient </w:t>
      </w:r>
      <w:r w:rsidR="00803C5D">
        <w:rPr>
          <w:rFonts w:ascii="Arial" w:hAnsi="Arial" w:cs="Arial"/>
          <w:b/>
        </w:rPr>
        <w:t>clusters</w:t>
      </w:r>
      <w:r w:rsidR="00803C5D" w:rsidRPr="002E39F8">
        <w:rPr>
          <w:rFonts w:ascii="Arial" w:hAnsi="Arial" w:cs="Arial"/>
          <w:b/>
        </w:rPr>
        <w:t xml:space="preserve"> based on overall microbiome composition </w:t>
      </w:r>
      <w:r w:rsidR="00803C5D">
        <w:rPr>
          <w:rFonts w:ascii="Arial" w:hAnsi="Arial" w:cs="Arial"/>
          <w:b/>
        </w:rPr>
        <w:t xml:space="preserve">in 16S and shotgun data </w:t>
      </w:r>
      <w:r w:rsidR="00803C5D" w:rsidRPr="002E39F8">
        <w:rPr>
          <w:rFonts w:ascii="Arial" w:hAnsi="Arial" w:cs="Arial"/>
          <w:b/>
        </w:rPr>
        <w:t>are related to progression-free survival.</w:t>
      </w:r>
      <w:r w:rsidR="00803C5D">
        <w:rPr>
          <w:rFonts w:ascii="Arial" w:hAnsi="Arial" w:cs="Arial"/>
        </w:rPr>
        <w:t xml:space="preserve"> </w:t>
      </w:r>
      <w:r w:rsidR="00803C5D" w:rsidRPr="00D610DD">
        <w:rPr>
          <w:rFonts w:ascii="Arial" w:hAnsi="Arial" w:cs="Arial"/>
        </w:rPr>
        <w:t xml:space="preserve">Ward’s Hierarchical </w:t>
      </w:r>
      <w:r w:rsidR="00803C5D">
        <w:rPr>
          <w:rFonts w:ascii="Arial" w:hAnsi="Arial" w:cs="Arial"/>
        </w:rPr>
        <w:t>Agglomerative Clustering method was used on the Jensen-Shannon Divergence (JSD) from the 16S s-OTU data (a) and shotgun subspecies data (d) to cluster patients into groups. Principal coordinate analysis of the JSD showed separation of these patient groups for both the 16S (b) and shotgun (e) data. The Kaplan-Meier curves of the patient JSD clusters from both 16S data (c) and shotgun data (f) had significantly different progression-free survival (log-rank p = 0.005 for 16S JSD cluster, p = 0.02 for shotgun JSD cluster).</w:t>
      </w:r>
    </w:p>
    <w:p w:rsidR="00803C5D" w:rsidRDefault="00803C5D" w:rsidP="00803C5D">
      <w:pPr>
        <w:rPr>
          <w:rFonts w:ascii="Arial" w:hAnsi="Arial" w:cs="Arial"/>
        </w:rPr>
      </w:pPr>
      <w:r>
        <w:rPr>
          <w:rFonts w:ascii="Arial" w:hAnsi="Arial" w:cs="Arial"/>
          <w:noProof/>
        </w:rPr>
        <w:drawing>
          <wp:inline distT="0" distB="0" distL="0" distR="0" wp14:anchorId="26D52E4D" wp14:editId="5B5E02BC">
            <wp:extent cx="8229600" cy="4629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SD_clusters_11_6_18.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8229600" cy="4629150"/>
                    </a:xfrm>
                    <a:prstGeom prst="rect">
                      <a:avLst/>
                    </a:prstGeom>
                  </pic:spPr>
                </pic:pic>
              </a:graphicData>
            </a:graphic>
          </wp:inline>
        </w:drawing>
      </w:r>
    </w:p>
    <w:p w:rsidR="00345476" w:rsidRDefault="00345476" w:rsidP="000B5332">
      <w:pPr>
        <w:rPr>
          <w:rFonts w:ascii="Arial" w:hAnsi="Arial" w:cs="Arial"/>
          <w:bCs/>
          <w:noProof/>
        </w:rPr>
      </w:pPr>
      <w:r w:rsidRPr="00345476">
        <w:rPr>
          <w:rFonts w:ascii="Arial" w:hAnsi="Arial" w:cs="Arial"/>
          <w:b/>
          <w:bCs/>
          <w:noProof/>
        </w:rPr>
        <w:lastRenderedPageBreak/>
        <w:t xml:space="preserve">Figure </w:t>
      </w:r>
      <w:r w:rsidR="00CA432C">
        <w:rPr>
          <w:rFonts w:ascii="Arial" w:hAnsi="Arial" w:cs="Arial"/>
          <w:b/>
          <w:bCs/>
          <w:noProof/>
        </w:rPr>
        <w:t>S</w:t>
      </w:r>
      <w:r w:rsidR="003E5ADC">
        <w:rPr>
          <w:rFonts w:ascii="Arial" w:hAnsi="Arial" w:cs="Arial"/>
          <w:b/>
          <w:bCs/>
          <w:noProof/>
        </w:rPr>
        <w:t>2</w:t>
      </w:r>
      <w:r w:rsidRPr="00345476">
        <w:rPr>
          <w:rFonts w:ascii="Arial" w:hAnsi="Arial" w:cs="Arial"/>
          <w:b/>
          <w:bCs/>
          <w:noProof/>
        </w:rPr>
        <w:t>.</w:t>
      </w:r>
      <w:r>
        <w:rPr>
          <w:rFonts w:ascii="Arial" w:hAnsi="Arial" w:cs="Arial"/>
          <w:bCs/>
          <w:noProof/>
        </w:rPr>
        <w:t xml:space="preserve"> </w:t>
      </w:r>
      <w:r w:rsidR="00FB1214">
        <w:rPr>
          <w:rFonts w:ascii="Arial" w:hAnsi="Arial" w:cs="Arial"/>
          <w:b/>
        </w:rPr>
        <w:t>Subspecies</w:t>
      </w:r>
      <w:r w:rsidRPr="00B23D01">
        <w:rPr>
          <w:rFonts w:ascii="Arial" w:hAnsi="Arial" w:cs="Arial"/>
          <w:b/>
        </w:rPr>
        <w:t xml:space="preserve"> </w:t>
      </w:r>
      <w:r>
        <w:rPr>
          <w:rFonts w:ascii="Arial" w:hAnsi="Arial" w:cs="Arial"/>
          <w:b/>
        </w:rPr>
        <w:t>related to progression-free survival</w:t>
      </w:r>
      <w:r w:rsidRPr="00B23D01">
        <w:rPr>
          <w:rFonts w:ascii="Arial" w:hAnsi="Arial" w:cs="Arial"/>
          <w:b/>
        </w:rPr>
        <w:t>.</w:t>
      </w:r>
      <w:r>
        <w:rPr>
          <w:rFonts w:ascii="Arial" w:hAnsi="Arial" w:cs="Arial"/>
        </w:rPr>
        <w:t xml:space="preserve"> For </w:t>
      </w:r>
      <w:r w:rsidR="00A529F7">
        <w:rPr>
          <w:rFonts w:ascii="Arial" w:hAnsi="Arial" w:cs="Arial"/>
        </w:rPr>
        <w:t xml:space="preserve">shotgun </w:t>
      </w:r>
      <w:r>
        <w:rPr>
          <w:rFonts w:ascii="Arial" w:hAnsi="Arial" w:cs="Arial"/>
        </w:rPr>
        <w:t>subspecies selected &gt;125 times in 500 x 10-fold cross-validated elastic-net penalized Cox regression</w:t>
      </w:r>
      <w:r w:rsidR="006920B2">
        <w:rPr>
          <w:rFonts w:ascii="Arial" w:hAnsi="Arial" w:cs="Arial"/>
        </w:rPr>
        <w:t xml:space="preserve"> and with FDR-adjusted q&lt;0.</w:t>
      </w:r>
      <w:r w:rsidR="00FB1214">
        <w:rPr>
          <w:rFonts w:ascii="Arial" w:hAnsi="Arial" w:cs="Arial"/>
        </w:rPr>
        <w:t>2</w:t>
      </w:r>
      <w:r w:rsidR="006920B2">
        <w:rPr>
          <w:rFonts w:ascii="Arial" w:hAnsi="Arial" w:cs="Arial"/>
        </w:rPr>
        <w:t>0</w:t>
      </w:r>
      <w:r>
        <w:rPr>
          <w:rFonts w:ascii="Arial" w:hAnsi="Arial" w:cs="Arial"/>
        </w:rPr>
        <w:t xml:space="preserve">, we show number of times selected and the hazard ratio. </w:t>
      </w:r>
    </w:p>
    <w:p w:rsidR="003F7B50" w:rsidRDefault="00360245" w:rsidP="000B5332">
      <w:pPr>
        <w:rPr>
          <w:rFonts w:ascii="Arial" w:hAnsi="Arial" w:cs="Arial"/>
        </w:rPr>
      </w:pPr>
      <w:r>
        <w:rPr>
          <w:rFonts w:ascii="Arial" w:hAnsi="Arial" w:cs="Arial"/>
          <w:noProof/>
        </w:rPr>
        <w:drawing>
          <wp:inline distT="0" distB="0" distL="0" distR="0">
            <wp:extent cx="8447583" cy="3423683"/>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_figure_2_8.15.19.jpg"/>
                    <pic:cNvPicPr/>
                  </pic:nvPicPr>
                  <pic:blipFill rotWithShape="1">
                    <a:blip r:embed="rId5">
                      <a:extLst>
                        <a:ext uri="{28A0092B-C50C-407E-A947-70E740481C1C}">
                          <a14:useLocalDpi xmlns:a14="http://schemas.microsoft.com/office/drawing/2010/main" val="0"/>
                        </a:ext>
                      </a:extLst>
                    </a:blip>
                    <a:srcRect l="5039" t="21361" r="31513" b="32925"/>
                    <a:stretch/>
                  </pic:blipFill>
                  <pic:spPr bwMode="auto">
                    <a:xfrm>
                      <a:off x="0" y="0"/>
                      <a:ext cx="8462194" cy="3429605"/>
                    </a:xfrm>
                    <a:prstGeom prst="rect">
                      <a:avLst/>
                    </a:prstGeom>
                    <a:ln>
                      <a:noFill/>
                    </a:ln>
                    <a:extLst>
                      <a:ext uri="{53640926-AAD7-44D8-BBD7-CCE9431645EC}">
                        <a14:shadowObscured xmlns:a14="http://schemas.microsoft.com/office/drawing/2010/main"/>
                      </a:ext>
                    </a:extLst>
                  </pic:spPr>
                </pic:pic>
              </a:graphicData>
            </a:graphic>
          </wp:inline>
        </w:drawing>
      </w:r>
    </w:p>
    <w:p w:rsidR="00C471FF" w:rsidRDefault="00FB1214" w:rsidP="00C471FF">
      <w:pPr>
        <w:spacing w:after="0" w:line="240" w:lineRule="auto"/>
        <w:rPr>
          <w:rFonts w:ascii="Arial" w:hAnsi="Arial" w:cs="Arial"/>
        </w:rPr>
      </w:pPr>
      <w:r>
        <w:rPr>
          <w:rFonts w:ascii="Arial" w:hAnsi="Arial" w:cs="Arial"/>
          <w:b/>
        </w:rPr>
        <w:br w:type="page"/>
      </w:r>
      <w:r w:rsidR="00C471FF" w:rsidRPr="00817288">
        <w:rPr>
          <w:rFonts w:ascii="Arial" w:hAnsi="Arial" w:cs="Arial"/>
          <w:b/>
        </w:rPr>
        <w:lastRenderedPageBreak/>
        <w:t xml:space="preserve">Figure </w:t>
      </w:r>
      <w:r w:rsidR="00CA432C">
        <w:rPr>
          <w:rFonts w:ascii="Arial" w:hAnsi="Arial" w:cs="Arial"/>
          <w:b/>
        </w:rPr>
        <w:t>S</w:t>
      </w:r>
      <w:r w:rsidR="00C471FF">
        <w:rPr>
          <w:rFonts w:ascii="Arial" w:hAnsi="Arial" w:cs="Arial"/>
          <w:b/>
        </w:rPr>
        <w:t>3</w:t>
      </w:r>
      <w:r w:rsidR="00C471FF" w:rsidRPr="00817288">
        <w:rPr>
          <w:rFonts w:ascii="Arial" w:hAnsi="Arial" w:cs="Arial"/>
          <w:b/>
        </w:rPr>
        <w:t>.</w:t>
      </w:r>
      <w:r w:rsidR="00C471FF" w:rsidRPr="00660E2D">
        <w:rPr>
          <w:rFonts w:ascii="Arial" w:hAnsi="Arial"/>
        </w:rPr>
        <w:t xml:space="preserve"> </w:t>
      </w:r>
      <w:r w:rsidR="00C471FF">
        <w:rPr>
          <w:rFonts w:ascii="Arial" w:hAnsi="Arial" w:cs="Arial"/>
          <w:b/>
        </w:rPr>
        <w:t>Metagenomic reactions</w:t>
      </w:r>
      <w:r w:rsidR="00C471FF" w:rsidRPr="00B23D01">
        <w:rPr>
          <w:rFonts w:ascii="Arial" w:hAnsi="Arial" w:cs="Arial"/>
          <w:b/>
        </w:rPr>
        <w:t xml:space="preserve"> </w:t>
      </w:r>
      <w:r w:rsidR="00C471FF">
        <w:rPr>
          <w:rFonts w:ascii="Arial" w:hAnsi="Arial" w:cs="Arial"/>
          <w:b/>
        </w:rPr>
        <w:t>related to progression-free survival</w:t>
      </w:r>
      <w:r w:rsidR="00C471FF" w:rsidRPr="00B23D01">
        <w:rPr>
          <w:rFonts w:ascii="Arial" w:hAnsi="Arial" w:cs="Arial"/>
          <w:b/>
        </w:rPr>
        <w:t>.</w:t>
      </w:r>
      <w:r w:rsidR="00C471FF">
        <w:rPr>
          <w:rFonts w:ascii="Arial" w:hAnsi="Arial" w:cs="Arial"/>
        </w:rPr>
        <w:t xml:space="preserve"> For metagenomic reactions selected &gt;125 times in 500 x 10-fold cross-validated elastic-net penalized Cox regression, that also had FDR-adjusted q&lt;0.20 and correlated (p&lt;0.05) metatranscriptomic expression, we show (a) number of times selected and the hazard ratio (alongside parallel data from the metatranscriptomic analysis in n=17) and (b) c</w:t>
      </w:r>
      <w:r w:rsidR="00C471FF" w:rsidRPr="00634468">
        <w:rPr>
          <w:rFonts w:ascii="Arial" w:hAnsi="Arial" w:cs="Arial"/>
        </w:rPr>
        <w:t xml:space="preserve">orrelations between metagenomic and </w:t>
      </w:r>
      <w:proofErr w:type="spellStart"/>
      <w:r w:rsidR="00C471FF" w:rsidRPr="00634468">
        <w:rPr>
          <w:rFonts w:ascii="Arial" w:hAnsi="Arial" w:cs="Arial"/>
        </w:rPr>
        <w:t>metratranscriptomic</w:t>
      </w:r>
      <w:proofErr w:type="spellEnd"/>
      <w:r w:rsidR="00C471FF" w:rsidRPr="00634468">
        <w:rPr>
          <w:rFonts w:ascii="Arial" w:hAnsi="Arial" w:cs="Arial"/>
        </w:rPr>
        <w:t xml:space="preserve"> </w:t>
      </w:r>
      <w:r w:rsidR="00C471FF">
        <w:rPr>
          <w:rFonts w:ascii="Arial" w:hAnsi="Arial" w:cs="Arial"/>
        </w:rPr>
        <w:t>reactions</w:t>
      </w:r>
      <w:r w:rsidR="00C471FF" w:rsidRPr="00634468">
        <w:rPr>
          <w:rFonts w:ascii="Arial" w:hAnsi="Arial" w:cs="Arial"/>
        </w:rPr>
        <w:t xml:space="preserve"> relative abundance</w:t>
      </w:r>
      <w:r w:rsidR="00C471FF">
        <w:rPr>
          <w:rFonts w:ascii="Arial" w:hAnsi="Arial" w:cs="Arial"/>
        </w:rPr>
        <w:t xml:space="preserve">. Spearman’s rho and p-value are displayed on the plots. </w:t>
      </w:r>
    </w:p>
    <w:p w:rsidR="00C471FF" w:rsidRDefault="00C471FF" w:rsidP="00C471FF">
      <w:pPr>
        <w:spacing w:after="0" w:line="480" w:lineRule="auto"/>
        <w:rPr>
          <w:rFonts w:ascii="Arial" w:hAnsi="Arial" w:cs="Arial"/>
        </w:rPr>
      </w:pPr>
      <w:r>
        <w:rPr>
          <w:rFonts w:ascii="Arial" w:hAnsi="Arial" w:cs="Arial"/>
          <w:noProof/>
        </w:rPr>
        <w:drawing>
          <wp:inline distT="0" distB="0" distL="0" distR="0">
            <wp:extent cx="7639050" cy="4296966"/>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_figure_rxns_8.20.1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642208" cy="4298742"/>
                    </a:xfrm>
                    <a:prstGeom prst="rect">
                      <a:avLst/>
                    </a:prstGeom>
                  </pic:spPr>
                </pic:pic>
              </a:graphicData>
            </a:graphic>
          </wp:inline>
        </w:drawing>
      </w:r>
    </w:p>
    <w:p w:rsidR="004F5CCE" w:rsidRDefault="00C471FF">
      <w:pPr>
        <w:rPr>
          <w:rFonts w:ascii="Arial" w:hAnsi="Arial" w:cs="Arial"/>
        </w:rPr>
        <w:sectPr w:rsidR="004F5CCE" w:rsidSect="00803C5D">
          <w:pgSz w:w="15840" w:h="12240" w:orient="landscape"/>
          <w:pgMar w:top="1440" w:right="1440" w:bottom="1440" w:left="1440" w:header="720" w:footer="720" w:gutter="0"/>
          <w:cols w:space="720"/>
          <w:docGrid w:linePitch="360"/>
        </w:sectPr>
      </w:pPr>
      <w:r>
        <w:rPr>
          <w:rFonts w:ascii="Arial" w:hAnsi="Arial" w:cs="Arial"/>
          <w:b/>
        </w:rPr>
        <w:br w:type="page"/>
      </w:r>
      <w:r w:rsidRPr="00817288">
        <w:rPr>
          <w:rFonts w:ascii="Arial" w:hAnsi="Arial" w:cs="Arial"/>
          <w:b/>
        </w:rPr>
        <w:lastRenderedPageBreak/>
        <w:t xml:space="preserve">Figure </w:t>
      </w:r>
      <w:r w:rsidR="00CA432C">
        <w:rPr>
          <w:rFonts w:ascii="Arial" w:hAnsi="Arial" w:cs="Arial"/>
          <w:b/>
        </w:rPr>
        <w:t>S</w:t>
      </w:r>
      <w:r>
        <w:rPr>
          <w:rFonts w:ascii="Arial" w:hAnsi="Arial" w:cs="Arial"/>
          <w:b/>
        </w:rPr>
        <w:t>4</w:t>
      </w:r>
      <w:r w:rsidRPr="00817288">
        <w:rPr>
          <w:rFonts w:ascii="Arial" w:hAnsi="Arial" w:cs="Arial"/>
          <w:b/>
        </w:rPr>
        <w:t>.</w:t>
      </w:r>
      <w:r w:rsidRPr="00660E2D">
        <w:rPr>
          <w:rFonts w:ascii="Arial" w:hAnsi="Arial"/>
        </w:rPr>
        <w:t xml:space="preserve"> </w:t>
      </w:r>
      <w:r>
        <w:rPr>
          <w:rFonts w:ascii="Arial" w:hAnsi="Arial" w:cs="Arial"/>
          <w:b/>
        </w:rPr>
        <w:t>Metagenomic gene families</w:t>
      </w:r>
      <w:r w:rsidRPr="00B23D01">
        <w:rPr>
          <w:rFonts w:ascii="Arial" w:hAnsi="Arial" w:cs="Arial"/>
          <w:b/>
        </w:rPr>
        <w:t xml:space="preserve"> </w:t>
      </w:r>
      <w:r>
        <w:rPr>
          <w:rFonts w:ascii="Arial" w:hAnsi="Arial" w:cs="Arial"/>
          <w:b/>
        </w:rPr>
        <w:t>related to progression-free survival</w:t>
      </w:r>
      <w:r w:rsidRPr="00B23D01">
        <w:rPr>
          <w:rFonts w:ascii="Arial" w:hAnsi="Arial" w:cs="Arial"/>
          <w:b/>
        </w:rPr>
        <w:t>.</w:t>
      </w:r>
      <w:r>
        <w:rPr>
          <w:rFonts w:ascii="Arial" w:hAnsi="Arial" w:cs="Arial"/>
        </w:rPr>
        <w:t xml:space="preserve"> For metagenomic gene families selected &gt;125 times in 500 x 10-fold cross-validated elastic-net penalized Cox regression, that also had FDR-adjusted q&lt;0.20 and correlated (p&lt;0.05) metatranscriptomic expression, we show (a) number of times selected and the hazard ratio (alongside parallel data from the metatranscriptomic analysis in n=17) and (b) c</w:t>
      </w:r>
      <w:r w:rsidRPr="00634468">
        <w:rPr>
          <w:rFonts w:ascii="Arial" w:hAnsi="Arial" w:cs="Arial"/>
        </w:rPr>
        <w:t xml:space="preserve">orrelations between metagenomic and </w:t>
      </w:r>
      <w:proofErr w:type="spellStart"/>
      <w:r w:rsidRPr="00634468">
        <w:rPr>
          <w:rFonts w:ascii="Arial" w:hAnsi="Arial" w:cs="Arial"/>
        </w:rPr>
        <w:t>metratranscriptomic</w:t>
      </w:r>
      <w:proofErr w:type="spellEnd"/>
      <w:r w:rsidRPr="00634468">
        <w:rPr>
          <w:rFonts w:ascii="Arial" w:hAnsi="Arial" w:cs="Arial"/>
        </w:rPr>
        <w:t xml:space="preserve"> </w:t>
      </w:r>
      <w:r>
        <w:rPr>
          <w:rFonts w:ascii="Arial" w:hAnsi="Arial" w:cs="Arial"/>
        </w:rPr>
        <w:t>gene families</w:t>
      </w:r>
      <w:r w:rsidRPr="00634468">
        <w:rPr>
          <w:rFonts w:ascii="Arial" w:hAnsi="Arial" w:cs="Arial"/>
        </w:rPr>
        <w:t xml:space="preserve"> relative abundance</w:t>
      </w:r>
      <w:r>
        <w:rPr>
          <w:rFonts w:ascii="Arial" w:hAnsi="Arial" w:cs="Arial"/>
        </w:rPr>
        <w:t xml:space="preserve">. Spearman’s rho and p-value are displayed on the plots. </w:t>
      </w:r>
      <w:r>
        <w:rPr>
          <w:rFonts w:ascii="Arial" w:hAnsi="Arial" w:cs="Arial"/>
          <w:b/>
          <w:noProof/>
        </w:rPr>
        <w:drawing>
          <wp:inline distT="0" distB="0" distL="0" distR="0">
            <wp:extent cx="8229600" cy="4629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_figure_genes_8.20.1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229600" cy="4629150"/>
                    </a:xfrm>
                    <a:prstGeom prst="rect">
                      <a:avLst/>
                    </a:prstGeom>
                  </pic:spPr>
                </pic:pic>
              </a:graphicData>
            </a:graphic>
          </wp:inline>
        </w:drawing>
      </w:r>
    </w:p>
    <w:p w:rsidR="004F5CCE" w:rsidRDefault="004F5CCE" w:rsidP="004F5CCE">
      <w:pPr>
        <w:spacing w:after="0" w:line="240" w:lineRule="auto"/>
        <w:rPr>
          <w:rFonts w:ascii="Arial" w:hAnsi="Arial" w:cs="Arial"/>
        </w:rPr>
      </w:pPr>
      <w:r w:rsidRPr="00817288">
        <w:rPr>
          <w:rFonts w:ascii="Arial" w:hAnsi="Arial" w:cs="Arial"/>
          <w:b/>
        </w:rPr>
        <w:lastRenderedPageBreak/>
        <w:t xml:space="preserve">Figure </w:t>
      </w:r>
      <w:r w:rsidR="00CA432C">
        <w:rPr>
          <w:rFonts w:ascii="Arial" w:hAnsi="Arial" w:cs="Arial"/>
          <w:b/>
        </w:rPr>
        <w:t>S</w:t>
      </w:r>
      <w:r>
        <w:rPr>
          <w:rFonts w:ascii="Arial" w:hAnsi="Arial" w:cs="Arial"/>
          <w:b/>
        </w:rPr>
        <w:t>5</w:t>
      </w:r>
      <w:r w:rsidRPr="00817288">
        <w:rPr>
          <w:rFonts w:ascii="Arial" w:hAnsi="Arial" w:cs="Arial"/>
          <w:b/>
        </w:rPr>
        <w:t xml:space="preserve">. </w:t>
      </w:r>
      <w:r>
        <w:rPr>
          <w:rFonts w:ascii="Arial" w:hAnsi="Arial" w:cs="Arial"/>
          <w:b/>
        </w:rPr>
        <w:t xml:space="preserve">Contribution </w:t>
      </w:r>
      <w:r w:rsidRPr="00817288">
        <w:rPr>
          <w:rFonts w:ascii="Arial" w:hAnsi="Arial" w:cs="Arial"/>
          <w:b/>
        </w:rPr>
        <w:t xml:space="preserve">of shotgun metagenome </w:t>
      </w:r>
      <w:r>
        <w:rPr>
          <w:rFonts w:ascii="Arial" w:hAnsi="Arial" w:cs="Arial"/>
          <w:b/>
        </w:rPr>
        <w:t>taxa to</w:t>
      </w:r>
      <w:r w:rsidRPr="00817288">
        <w:rPr>
          <w:rFonts w:ascii="Arial" w:hAnsi="Arial" w:cs="Arial"/>
          <w:b/>
        </w:rPr>
        <w:t xml:space="preserve"> shotgun metagenome </w:t>
      </w:r>
      <w:r>
        <w:rPr>
          <w:rFonts w:ascii="Arial" w:hAnsi="Arial" w:cs="Arial"/>
          <w:b/>
        </w:rPr>
        <w:t>reactions</w:t>
      </w:r>
      <w:r w:rsidRPr="00817288">
        <w:rPr>
          <w:rFonts w:ascii="Arial" w:hAnsi="Arial" w:cs="Arial"/>
          <w:b/>
        </w:rPr>
        <w:t>.</w:t>
      </w:r>
      <w:r>
        <w:rPr>
          <w:rFonts w:ascii="Arial" w:hAnsi="Arial" w:cs="Arial"/>
        </w:rPr>
        <w:t xml:space="preserve"> (a) Spearman’s correlations are shown for shotgun species and subspecies vs. shotgun metagenome reactions and shotgun metatranscriptome reactions. Only taxa selected in repeated cross-validated elastic-net penalized Cox regression are shown, and only reactions selected in regression and that had correlated metatranscriptomic expression are shown. Taxa and reactions relative abundance were used for correlation analysis. Taxa and reactions are annotated with the direction of their hazard ratio with progression-free survival in the metagenome analysis. *p&lt;0.05; **p&lt;0.01. (b) Mean percent contribution of species to reactions in the metagenome and metatranscriptome data. Per species reaction abundance values were normalized to 100% for each reaction within each patient individually, and means were taken across patients; here we show the mean percent contribution for the top 5 contributing species to each reaction.</w:t>
      </w:r>
    </w:p>
    <w:p w:rsidR="00C471FF" w:rsidRDefault="004F5CCE" w:rsidP="004F5CCE">
      <w:pPr>
        <w:spacing w:after="0" w:line="240" w:lineRule="auto"/>
        <w:rPr>
          <w:rFonts w:ascii="Arial" w:hAnsi="Arial" w:cs="Arial"/>
          <w:b/>
        </w:rPr>
      </w:pPr>
      <w:r>
        <w:rPr>
          <w:rFonts w:ascii="Arial" w:hAnsi="Arial" w:cs="Arial"/>
          <w:b/>
          <w:noProof/>
        </w:rPr>
        <w:drawing>
          <wp:inline distT="0" distB="0" distL="0" distR="0">
            <wp:extent cx="4714875" cy="6286497"/>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pp_figure_rxns_sp_8.21.1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36412" cy="6315213"/>
                    </a:xfrm>
                    <a:prstGeom prst="rect">
                      <a:avLst/>
                    </a:prstGeom>
                  </pic:spPr>
                </pic:pic>
              </a:graphicData>
            </a:graphic>
          </wp:inline>
        </w:drawing>
      </w:r>
      <w:r w:rsidR="00C471FF">
        <w:rPr>
          <w:rFonts w:ascii="Arial" w:hAnsi="Arial" w:cs="Arial"/>
          <w:b/>
        </w:rPr>
        <w:br w:type="page"/>
      </w:r>
    </w:p>
    <w:p w:rsidR="002B2E47" w:rsidRDefault="002B2E47">
      <w:pPr>
        <w:rPr>
          <w:rFonts w:ascii="Arial" w:hAnsi="Arial" w:cs="Arial"/>
        </w:rPr>
      </w:pPr>
      <w:r w:rsidRPr="002B2E47">
        <w:rPr>
          <w:rFonts w:ascii="Arial" w:hAnsi="Arial" w:cs="Arial"/>
          <w:b/>
        </w:rPr>
        <w:lastRenderedPageBreak/>
        <w:t xml:space="preserve">Figure </w:t>
      </w:r>
      <w:r w:rsidR="00CA432C">
        <w:rPr>
          <w:rFonts w:ascii="Arial" w:hAnsi="Arial" w:cs="Arial"/>
          <w:b/>
        </w:rPr>
        <w:t>S</w:t>
      </w:r>
      <w:r w:rsidR="004F5CCE">
        <w:rPr>
          <w:rFonts w:ascii="Arial" w:hAnsi="Arial" w:cs="Arial"/>
          <w:b/>
        </w:rPr>
        <w:t>6</w:t>
      </w:r>
      <w:r w:rsidRPr="002B2E47">
        <w:rPr>
          <w:rFonts w:ascii="Arial" w:hAnsi="Arial" w:cs="Arial"/>
          <w:b/>
        </w:rPr>
        <w:t>.</w:t>
      </w:r>
      <w:r>
        <w:rPr>
          <w:rFonts w:ascii="Arial" w:hAnsi="Arial" w:cs="Arial"/>
        </w:rPr>
        <w:t xml:space="preserve"> </w:t>
      </w:r>
      <w:r w:rsidRPr="00E35D1E">
        <w:rPr>
          <w:rFonts w:ascii="Arial" w:hAnsi="Arial" w:cs="Arial"/>
          <w:b/>
        </w:rPr>
        <w:t>Principal co</w:t>
      </w:r>
      <w:bookmarkStart w:id="0" w:name="_GoBack"/>
      <w:bookmarkEnd w:id="0"/>
      <w:r w:rsidRPr="00E35D1E">
        <w:rPr>
          <w:rFonts w:ascii="Arial" w:hAnsi="Arial" w:cs="Arial"/>
          <w:b/>
        </w:rPr>
        <w:t xml:space="preserve">ordinate analysis of the Jensen Shannon Divergence. </w:t>
      </w:r>
      <w:r>
        <w:rPr>
          <w:rFonts w:ascii="Arial" w:hAnsi="Arial" w:cs="Arial"/>
        </w:rPr>
        <w:t>Patient samples are colored based on adjuvant or metastatic status, with no significant difference between the two groups (PERMANOVA p = 0.16 adjusting for age, sex, BMI, stage, and antibiotics in last 6 months).</w:t>
      </w:r>
    </w:p>
    <w:p w:rsidR="00E34B18" w:rsidRPr="003E5ADC" w:rsidRDefault="002B2E47">
      <w:pPr>
        <w:rPr>
          <w:rFonts w:ascii="Arial" w:hAnsi="Arial" w:cs="Arial"/>
        </w:rPr>
      </w:pPr>
      <w:r>
        <w:rPr>
          <w:rFonts w:ascii="Arial" w:hAnsi="Arial" w:cs="Arial"/>
        </w:rPr>
        <w:t xml:space="preserve"> </w:t>
      </w:r>
      <w:r>
        <w:rPr>
          <w:noProof/>
        </w:rPr>
        <w:drawing>
          <wp:inline distT="0" distB="0" distL="0" distR="0" wp14:anchorId="44BBF151" wp14:editId="7925949A">
            <wp:extent cx="3928745" cy="285750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28745" cy="2857500"/>
                    </a:xfrm>
                    <a:prstGeom prst="rect">
                      <a:avLst/>
                    </a:prstGeom>
                  </pic:spPr>
                </pic:pic>
              </a:graphicData>
            </a:graphic>
          </wp:inline>
        </w:drawing>
      </w:r>
      <w:r>
        <w:rPr>
          <w:rFonts w:ascii="Arial" w:hAnsi="Arial" w:cs="Arial"/>
        </w:rPr>
        <w:t xml:space="preserve"> </w:t>
      </w:r>
    </w:p>
    <w:sectPr w:rsidR="00E34B18" w:rsidRPr="003E5ADC" w:rsidSect="004F5CC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990xs59ur0fa7eve5a5p0tewraas2zdtdsv&quot;&gt;My EndNote Library&lt;record-ids&gt;&lt;item&gt;371&lt;/item&gt;&lt;item&gt;699&lt;/item&gt;&lt;item&gt;1068&lt;/item&gt;&lt;item&gt;1069&lt;/item&gt;&lt;item&gt;1072&lt;/item&gt;&lt;item&gt;1073&lt;/item&gt;&lt;item&gt;1074&lt;/item&gt;&lt;item&gt;1075&lt;/item&gt;&lt;item&gt;1076&lt;/item&gt;&lt;item&gt;1078&lt;/item&gt;&lt;item&gt;1079&lt;/item&gt;&lt;/record-ids&gt;&lt;/item&gt;&lt;/Libraries&gt;"/>
  </w:docVars>
  <w:rsids>
    <w:rsidRoot w:val="00C81566"/>
    <w:rsid w:val="000B5332"/>
    <w:rsid w:val="00106E9A"/>
    <w:rsid w:val="00126322"/>
    <w:rsid w:val="00141E3A"/>
    <w:rsid w:val="0014596A"/>
    <w:rsid w:val="001C3D15"/>
    <w:rsid w:val="00251284"/>
    <w:rsid w:val="00294852"/>
    <w:rsid w:val="002B2E47"/>
    <w:rsid w:val="002B76B4"/>
    <w:rsid w:val="002F5065"/>
    <w:rsid w:val="00307CB5"/>
    <w:rsid w:val="00314CB0"/>
    <w:rsid w:val="00345476"/>
    <w:rsid w:val="003513C5"/>
    <w:rsid w:val="00360245"/>
    <w:rsid w:val="003C0E5C"/>
    <w:rsid w:val="003D3639"/>
    <w:rsid w:val="003E5ADC"/>
    <w:rsid w:val="003F7B50"/>
    <w:rsid w:val="004314C9"/>
    <w:rsid w:val="00442783"/>
    <w:rsid w:val="004D05ED"/>
    <w:rsid w:val="004F5CCE"/>
    <w:rsid w:val="005426C3"/>
    <w:rsid w:val="005C3603"/>
    <w:rsid w:val="005C39D3"/>
    <w:rsid w:val="00600A1F"/>
    <w:rsid w:val="00625B48"/>
    <w:rsid w:val="00657995"/>
    <w:rsid w:val="00666377"/>
    <w:rsid w:val="006848A1"/>
    <w:rsid w:val="006920B2"/>
    <w:rsid w:val="006B4D22"/>
    <w:rsid w:val="006E2DDF"/>
    <w:rsid w:val="0074681D"/>
    <w:rsid w:val="00767CCE"/>
    <w:rsid w:val="007C6B2D"/>
    <w:rsid w:val="007D6325"/>
    <w:rsid w:val="007E7401"/>
    <w:rsid w:val="007E7416"/>
    <w:rsid w:val="00803C5D"/>
    <w:rsid w:val="00821125"/>
    <w:rsid w:val="008469D8"/>
    <w:rsid w:val="008734EC"/>
    <w:rsid w:val="008B2248"/>
    <w:rsid w:val="009064D1"/>
    <w:rsid w:val="00943A61"/>
    <w:rsid w:val="00985747"/>
    <w:rsid w:val="009B2391"/>
    <w:rsid w:val="009B569F"/>
    <w:rsid w:val="009C6C5F"/>
    <w:rsid w:val="00A529F7"/>
    <w:rsid w:val="00A8064C"/>
    <w:rsid w:val="00A83046"/>
    <w:rsid w:val="00AC488A"/>
    <w:rsid w:val="00B4502A"/>
    <w:rsid w:val="00B96973"/>
    <w:rsid w:val="00BB4D2D"/>
    <w:rsid w:val="00BB65F7"/>
    <w:rsid w:val="00BC5293"/>
    <w:rsid w:val="00BE1E64"/>
    <w:rsid w:val="00C05473"/>
    <w:rsid w:val="00C471FF"/>
    <w:rsid w:val="00C75500"/>
    <w:rsid w:val="00C81566"/>
    <w:rsid w:val="00C85130"/>
    <w:rsid w:val="00C975EF"/>
    <w:rsid w:val="00CA432C"/>
    <w:rsid w:val="00CE3C8F"/>
    <w:rsid w:val="00D35EDB"/>
    <w:rsid w:val="00D371B0"/>
    <w:rsid w:val="00D77DC6"/>
    <w:rsid w:val="00D9389F"/>
    <w:rsid w:val="00D94AF8"/>
    <w:rsid w:val="00D9572C"/>
    <w:rsid w:val="00DB0964"/>
    <w:rsid w:val="00DF7001"/>
    <w:rsid w:val="00E0044B"/>
    <w:rsid w:val="00E27700"/>
    <w:rsid w:val="00E34B18"/>
    <w:rsid w:val="00E35D1E"/>
    <w:rsid w:val="00E45C93"/>
    <w:rsid w:val="00E51FDA"/>
    <w:rsid w:val="00E967D5"/>
    <w:rsid w:val="00FA692B"/>
    <w:rsid w:val="00FB12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64DC21"/>
  <w15:docId w15:val="{35D3D64D-5BE8-434A-BEB8-2A8BEF91C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442783"/>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442783"/>
    <w:rPr>
      <w:rFonts w:ascii="Calibri" w:hAnsi="Calibri"/>
      <w:noProof/>
    </w:rPr>
  </w:style>
  <w:style w:type="paragraph" w:customStyle="1" w:styleId="EndNoteBibliography">
    <w:name w:val="EndNote Bibliography"/>
    <w:basedOn w:val="Normal"/>
    <w:link w:val="EndNoteBibliographyChar"/>
    <w:rsid w:val="00442783"/>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442783"/>
    <w:rPr>
      <w:rFonts w:ascii="Calibri" w:hAnsi="Calibri"/>
      <w:noProof/>
    </w:rPr>
  </w:style>
  <w:style w:type="table" w:styleId="TableGrid">
    <w:name w:val="Table Grid"/>
    <w:basedOn w:val="TableNormal"/>
    <w:uiPriority w:val="59"/>
    <w:rsid w:val="00D371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1167094">
      <w:bodyDiv w:val="1"/>
      <w:marLeft w:val="0"/>
      <w:marRight w:val="0"/>
      <w:marTop w:val="0"/>
      <w:marBottom w:val="0"/>
      <w:divBdr>
        <w:top w:val="none" w:sz="0" w:space="0" w:color="auto"/>
        <w:left w:val="none" w:sz="0" w:space="0" w:color="auto"/>
        <w:bottom w:val="none" w:sz="0" w:space="0" w:color="auto"/>
        <w:right w:val="none" w:sz="0" w:space="0" w:color="auto"/>
      </w:divBdr>
    </w:div>
    <w:div w:id="1483153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583</Words>
  <Characters>3329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NYU Langone Medical Center</Company>
  <LinksUpToDate>false</LinksUpToDate>
  <CharactersWithSpaces>3905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Brandilyn Peters-Samuelson</cp:lastModifiedBy>
  <cp:revision>3</cp:revision>
  <dcterms:created xsi:type="dcterms:W3CDTF">2019-09-09T16:48:00Z</dcterms:created>
  <dcterms:modified xsi:type="dcterms:W3CDTF">2019-09-09T16:49:00Z</dcterms:modified>
</cp:coreProperties>
</file>