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6A29A" w14:textId="77777777" w:rsidR="006E756C" w:rsidRDefault="006C42DE">
      <w:pPr>
        <w:spacing w:line="480" w:lineRule="auto"/>
        <w:rPr>
          <w:b/>
        </w:rPr>
      </w:pPr>
      <w:r>
        <w:rPr>
          <w:b/>
        </w:rPr>
        <w:t>SUPPLEMENTARY FIGURES</w:t>
      </w:r>
      <w:bookmarkStart w:id="0" w:name="_GoBack"/>
      <w:bookmarkEnd w:id="0"/>
    </w:p>
    <w:p w14:paraId="52C8B593" w14:textId="77777777" w:rsidR="006E756C" w:rsidRDefault="006C42DE">
      <w:pPr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0DBC4C62" wp14:editId="0BCAF21E">
            <wp:extent cx="3395663" cy="2544213"/>
            <wp:effectExtent l="0" t="0" r="0" b="0"/>
            <wp:docPr id="6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4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ABB1D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1. </w:t>
      </w:r>
      <w:r>
        <w:rPr>
          <w:sz w:val="20"/>
          <w:szCs w:val="20"/>
        </w:rPr>
        <w:t xml:space="preserve">Root mean square distance (RMSD) of aligned structures from identical datasets (GM12878 chr21, 100-kb resolution) independently inferred and aligned from multiple iterations of MDS (left) and jointly inferred and aligned from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(right). Each algorithm was tested 10 times. </w:t>
      </w:r>
    </w:p>
    <w:p w14:paraId="60194B42" w14:textId="77777777" w:rsidR="006E756C" w:rsidRDefault="006C42DE">
      <w:pPr>
        <w:spacing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03B72A51" wp14:editId="24DF087F">
            <wp:extent cx="4306613" cy="3233738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613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9096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2. </w:t>
      </w:r>
      <w:r>
        <w:rPr>
          <w:sz w:val="20"/>
          <w:szCs w:val="20"/>
        </w:rPr>
        <w:t xml:space="preserve">Embedding error for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run on GM12878 and K562 chr21, measured across a range of similarity weights.</w:t>
      </w:r>
    </w:p>
    <w:p w14:paraId="699A99DE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1B55A3EA" wp14:editId="3F7E0F31">
            <wp:extent cx="4186238" cy="3144094"/>
            <wp:effectExtent l="0" t="0" r="0" b="0"/>
            <wp:docPr id="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3144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DD79A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3. </w:t>
      </w:r>
      <w:r>
        <w:rPr>
          <w:sz w:val="20"/>
          <w:szCs w:val="20"/>
        </w:rPr>
        <w:t xml:space="preserve">Pairwise correlations between multiple runs of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applied to </w:t>
      </w:r>
      <w:proofErr w:type="spellStart"/>
      <w:r>
        <w:rPr>
          <w:sz w:val="20"/>
          <w:szCs w:val="20"/>
        </w:rPr>
        <w:t>mESC</w:t>
      </w:r>
      <w:proofErr w:type="spellEnd"/>
      <w:r>
        <w:rPr>
          <w:sz w:val="20"/>
          <w:szCs w:val="20"/>
        </w:rPr>
        <w:t xml:space="preserve"> and mouse hepatocyte chr19, measured across a range of similarity weights. Zero weight represents independent inference and alignment.</w:t>
      </w:r>
    </w:p>
    <w:p w14:paraId="0D1515C0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621993B4" wp14:editId="18916437">
            <wp:extent cx="4411066" cy="3094329"/>
            <wp:effectExtent l="0" t="0" r="0" b="5080"/>
            <wp:docPr id="6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821" cy="3110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F02251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</w:p>
    <w:p w14:paraId="236166C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4. </w:t>
      </w:r>
      <w:r>
        <w:rPr>
          <w:sz w:val="20"/>
          <w:szCs w:val="20"/>
        </w:rPr>
        <w:t xml:space="preserve">Computational time for </w:t>
      </w:r>
      <w:proofErr w:type="spellStart"/>
      <w:r>
        <w:rPr>
          <w:sz w:val="20"/>
          <w:szCs w:val="20"/>
        </w:rPr>
        <w:t>intrachromosomal</w:t>
      </w:r>
      <w:proofErr w:type="spellEnd"/>
      <w:r>
        <w:rPr>
          <w:sz w:val="20"/>
          <w:szCs w:val="20"/>
        </w:rPr>
        <w:t xml:space="preserve"> datasets of various sizes, measured for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and for independent MDS structural inference followed by alignment. </w:t>
      </w:r>
    </w:p>
    <w:p w14:paraId="6AB0A2C1" w14:textId="77777777" w:rsidR="006E756C" w:rsidRDefault="006E756C">
      <w:pPr>
        <w:spacing w:line="240" w:lineRule="auto"/>
        <w:rPr>
          <w:sz w:val="20"/>
          <w:szCs w:val="20"/>
        </w:rPr>
      </w:pPr>
    </w:p>
    <w:p w14:paraId="1560A460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7AB66A59" wp14:editId="5F52354F">
            <wp:extent cx="4645152" cy="2238366"/>
            <wp:effectExtent l="0" t="0" r="3175" b="0"/>
            <wp:docPr id="6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964" cy="2259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EBDAF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5.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applied to GM12878 (red) and K562 (cyan) chr21 datasets at 5-kb resolution. Only loci with average </w:t>
      </w:r>
      <w:proofErr w:type="spellStart"/>
      <w:r>
        <w:rPr>
          <w:sz w:val="20"/>
          <w:szCs w:val="20"/>
        </w:rPr>
        <w:t>mappability</w:t>
      </w:r>
      <w:proofErr w:type="spellEnd"/>
      <w:r>
        <w:rPr>
          <w:sz w:val="20"/>
          <w:szCs w:val="20"/>
        </w:rPr>
        <w:t xml:space="preserve"> &gt; 0.75 are shown. </w:t>
      </w:r>
    </w:p>
    <w:p w14:paraId="7A0FAEFF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75039358" wp14:editId="25387FB8">
            <wp:extent cx="2824163" cy="4712991"/>
            <wp:effectExtent l="0" t="0" r="0" b="0"/>
            <wp:docPr id="6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4712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3B3BF" w14:textId="6FD410DB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6. </w:t>
      </w:r>
      <w:r>
        <w:rPr>
          <w:sz w:val="20"/>
          <w:szCs w:val="20"/>
        </w:rPr>
        <w:t xml:space="preserve">Simulated chr21 Hi-C contact heatmaps. Black boxes are shown around CIDs. A simulated differential CID boundary is found at 40 Mb in A and 39 Mb at B. </w:t>
      </w:r>
    </w:p>
    <w:p w14:paraId="78B3853E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03888D4A" wp14:editId="28A10263">
            <wp:extent cx="3386138" cy="4666152"/>
            <wp:effectExtent l="0" t="0" r="0" b="0"/>
            <wp:docPr id="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4666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B9A14" w14:textId="359796BF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7.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between two simulated datasets calculated with independent MDS inference and alignment (A) and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(B). </w:t>
      </w:r>
    </w:p>
    <w:p w14:paraId="137EFA87" w14:textId="095DB80E" w:rsidR="006C42DE" w:rsidRDefault="006C42DE">
      <w:pPr>
        <w:spacing w:line="240" w:lineRule="auto"/>
        <w:rPr>
          <w:sz w:val="20"/>
          <w:szCs w:val="20"/>
        </w:rPr>
      </w:pPr>
    </w:p>
    <w:p w14:paraId="6B6AAE9A" w14:textId="76B928A7" w:rsidR="006C42DE" w:rsidRDefault="006C42DE">
      <w:pPr>
        <w:spacing w:line="240" w:lineRule="auto"/>
        <w:rPr>
          <w:sz w:val="20"/>
          <w:szCs w:val="20"/>
        </w:rPr>
      </w:pPr>
    </w:p>
    <w:p w14:paraId="38597F49" w14:textId="77777777" w:rsidR="006C42DE" w:rsidRDefault="006C42DE">
      <w:pPr>
        <w:spacing w:line="240" w:lineRule="auto"/>
        <w:rPr>
          <w:sz w:val="20"/>
          <w:szCs w:val="20"/>
        </w:rPr>
      </w:pPr>
    </w:p>
    <w:p w14:paraId="4A22C329" w14:textId="77777777" w:rsidR="006E756C" w:rsidRDefault="006E756C">
      <w:pPr>
        <w:spacing w:line="240" w:lineRule="auto"/>
        <w:rPr>
          <w:sz w:val="20"/>
          <w:szCs w:val="20"/>
        </w:rPr>
      </w:pPr>
    </w:p>
    <w:p w14:paraId="32A5EA31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43E553C6" wp14:editId="4FCBBB87">
            <wp:extent cx="4405313" cy="2126703"/>
            <wp:effectExtent l="0" t="0" r="0" b="0"/>
            <wp:docPr id="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2126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015A2" w14:textId="41794756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8. </w:t>
      </w:r>
      <w:r>
        <w:rPr>
          <w:sz w:val="20"/>
          <w:szCs w:val="20"/>
        </w:rPr>
        <w:t xml:space="preserve">Compartment score plotted on GM12878 chr21 at 100-kb resolution. Positive scores (corresponding to A compartment) are plotted in reds, and negative scores (corresponding to B compartment) are plotted in blues. The structure has been rotated so that the SVR axis (arrow) aligns with the z axis. Pericentromeric regions have been removed. </w:t>
      </w:r>
    </w:p>
    <w:p w14:paraId="79BC1CEA" w14:textId="38FAD079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55E619C3" wp14:editId="017035D7">
            <wp:extent cx="3369262" cy="4557370"/>
            <wp:effectExtent l="0" t="0" r="0" b="254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951" cy="457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E3D83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Supplementary Figure 9. A)</w:t>
      </w:r>
      <w:r>
        <w:rPr>
          <w:sz w:val="20"/>
          <w:szCs w:val="20"/>
        </w:rPr>
        <w:t xml:space="preserve"> Variance explained by PC1 of Hi-C correlation matrix by species.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Linear SVR coefficient of determination of compartment scores predicted by 3D coordinates by species.</w:t>
      </w:r>
    </w:p>
    <w:p w14:paraId="777A91D8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303A3B65" wp14:editId="45055A4C">
            <wp:extent cx="4386263" cy="4393958"/>
            <wp:effectExtent l="0" t="0" r="0" b="0"/>
            <wp:docPr id="7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4393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A01B5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30604882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10. </w:t>
      </w:r>
      <w:r>
        <w:rPr>
          <w:sz w:val="20"/>
          <w:szCs w:val="20"/>
        </w:rPr>
        <w:t xml:space="preserve">chr12 </w:t>
      </w:r>
      <w:r>
        <w:rPr>
          <w:i/>
          <w:sz w:val="20"/>
          <w:szCs w:val="20"/>
        </w:rPr>
        <w:t xml:space="preserve">S. cerevisiae </w:t>
      </w:r>
      <w:r>
        <w:rPr>
          <w:sz w:val="20"/>
          <w:szCs w:val="20"/>
        </w:rPr>
        <w:t xml:space="preserve">glucose (red) and galactose (cyan) alignment for </w:t>
      </w:r>
      <w:r>
        <w:rPr>
          <w:b/>
          <w:sz w:val="20"/>
          <w:szCs w:val="20"/>
        </w:rPr>
        <w:t>A)</w:t>
      </w:r>
      <w:r>
        <w:rPr>
          <w:sz w:val="20"/>
          <w:szCs w:val="20"/>
        </w:rPr>
        <w:t xml:space="preserve"> full structures and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split structures.</w:t>
      </w:r>
    </w:p>
    <w:p w14:paraId="78CA6F33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7965EFD2" wp14:editId="56AE3FCD">
            <wp:extent cx="3475513" cy="7262813"/>
            <wp:effectExtent l="0" t="0" r="0" b="0"/>
            <wp:docPr id="7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513" cy="726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0918FEC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11.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of yeast loci between glucose and galactose conditions calculated from independent MDS inference and alignment, separated by homolog, for selected chromosomes, calculated from individual inference and alignment. Gray: individual iterations. Blue: mean. Genomic coordinates (kb) are shown on x axes. </w:t>
      </w:r>
      <w:r>
        <w:rPr>
          <w:b/>
          <w:sz w:val="20"/>
          <w:szCs w:val="20"/>
        </w:rPr>
        <w:t>A-B:</w:t>
      </w:r>
      <w:r>
        <w:rPr>
          <w:sz w:val="20"/>
          <w:szCs w:val="20"/>
        </w:rPr>
        <w:t xml:space="preserve"> Has1-Tda1.</w:t>
      </w:r>
      <w:r>
        <w:rPr>
          <w:b/>
          <w:sz w:val="20"/>
          <w:szCs w:val="20"/>
        </w:rPr>
        <w:t xml:space="preserve"> C-D:</w:t>
      </w:r>
      <w:r>
        <w:rPr>
          <w:sz w:val="20"/>
          <w:szCs w:val="20"/>
        </w:rPr>
        <w:t xml:space="preserve"> Gal1-Gal7-Gal10. </w:t>
      </w:r>
      <w:r>
        <w:rPr>
          <w:b/>
          <w:sz w:val="20"/>
          <w:szCs w:val="20"/>
        </w:rPr>
        <w:t>E-F:</w:t>
      </w:r>
      <w:r>
        <w:rPr>
          <w:sz w:val="20"/>
          <w:szCs w:val="20"/>
        </w:rPr>
        <w:t xml:space="preserve"> Gal3. </w:t>
      </w:r>
      <w:r>
        <w:rPr>
          <w:b/>
          <w:sz w:val="20"/>
          <w:szCs w:val="20"/>
        </w:rPr>
        <w:t>G-H</w:t>
      </w:r>
      <w:r>
        <w:rPr>
          <w:sz w:val="20"/>
          <w:szCs w:val="20"/>
        </w:rPr>
        <w:t xml:space="preserve">: Gal4. </w:t>
      </w:r>
      <w:r>
        <w:rPr>
          <w:b/>
          <w:sz w:val="20"/>
          <w:szCs w:val="20"/>
        </w:rPr>
        <w:t>I-J:</w:t>
      </w:r>
      <w:r>
        <w:rPr>
          <w:sz w:val="20"/>
          <w:szCs w:val="20"/>
        </w:rPr>
        <w:t xml:space="preserve"> Gal2. </w:t>
      </w:r>
      <w:r>
        <w:rPr>
          <w:b/>
          <w:sz w:val="20"/>
          <w:szCs w:val="20"/>
        </w:rPr>
        <w:t>K-L</w:t>
      </w:r>
      <w:r>
        <w:rPr>
          <w:sz w:val="20"/>
          <w:szCs w:val="20"/>
        </w:rPr>
        <w:t xml:space="preserve">: rDNA. </w:t>
      </w:r>
    </w:p>
    <w:p w14:paraId="1EF2C68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75D286B1" wp14:editId="288631BC">
            <wp:extent cx="5429250" cy="6070600"/>
            <wp:effectExtent l="0" t="0" r="0" b="0"/>
            <wp:docPr id="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6DF4A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1CA10735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12. </w:t>
      </w:r>
      <w:r>
        <w:rPr>
          <w:sz w:val="20"/>
          <w:szCs w:val="20"/>
        </w:rPr>
        <w:t xml:space="preserve">Nup60 </w:t>
      </w:r>
      <w:proofErr w:type="spellStart"/>
      <w:r>
        <w:rPr>
          <w:sz w:val="20"/>
          <w:szCs w:val="20"/>
        </w:rPr>
        <w:t>ChIP-seq</w:t>
      </w:r>
      <w:proofErr w:type="spellEnd"/>
      <w:r>
        <w:rPr>
          <w:sz w:val="20"/>
          <w:szCs w:val="20"/>
        </w:rPr>
        <w:t xml:space="preserve"> tag counts in glucose and galactose conditions at </w:t>
      </w:r>
      <w:r>
        <w:rPr>
          <w:b/>
          <w:sz w:val="20"/>
          <w:szCs w:val="20"/>
        </w:rPr>
        <w:t xml:space="preserve">A) </w:t>
      </w:r>
      <w:r>
        <w:rPr>
          <w:sz w:val="20"/>
          <w:szCs w:val="20"/>
        </w:rPr>
        <w:t xml:space="preserve">Gal1-Gal7-Gal10,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Gal2, </w:t>
      </w:r>
      <w:r>
        <w:rPr>
          <w:b/>
          <w:sz w:val="20"/>
          <w:szCs w:val="20"/>
        </w:rPr>
        <w:t>C)</w:t>
      </w:r>
      <w:r>
        <w:rPr>
          <w:sz w:val="20"/>
          <w:szCs w:val="20"/>
        </w:rPr>
        <w:t xml:space="preserve"> Has1-Tda1, </w:t>
      </w:r>
      <w:r>
        <w:rPr>
          <w:b/>
          <w:sz w:val="20"/>
          <w:szCs w:val="20"/>
        </w:rPr>
        <w:t xml:space="preserve">D) </w:t>
      </w:r>
      <w:r>
        <w:rPr>
          <w:sz w:val="20"/>
          <w:szCs w:val="20"/>
        </w:rPr>
        <w:t xml:space="preserve">Gal3, </w:t>
      </w:r>
      <w:r>
        <w:rPr>
          <w:b/>
          <w:sz w:val="20"/>
          <w:szCs w:val="20"/>
        </w:rPr>
        <w:t>E)</w:t>
      </w:r>
      <w:r>
        <w:rPr>
          <w:sz w:val="20"/>
          <w:szCs w:val="20"/>
        </w:rPr>
        <w:t xml:space="preserve"> Gal4, and </w:t>
      </w:r>
      <w:r>
        <w:rPr>
          <w:b/>
          <w:sz w:val="20"/>
          <w:szCs w:val="20"/>
        </w:rPr>
        <w:t xml:space="preserve">F) </w:t>
      </w:r>
      <w:r>
        <w:rPr>
          <w:sz w:val="20"/>
          <w:szCs w:val="20"/>
        </w:rPr>
        <w:t xml:space="preserve">Hxt1. </w:t>
      </w:r>
    </w:p>
    <w:p w14:paraId="689E3041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3F2EAF78" wp14:editId="7D0E74F1">
            <wp:extent cx="3557588" cy="2958493"/>
            <wp:effectExtent l="0" t="0" r="0" b="0"/>
            <wp:docPr id="7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958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17AE09B4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13. </w:t>
      </w:r>
      <w:r>
        <w:rPr>
          <w:sz w:val="20"/>
          <w:szCs w:val="20"/>
        </w:rPr>
        <w:t xml:space="preserve">Log fold change of </w:t>
      </w:r>
      <w:r>
        <w:rPr>
          <w:b/>
          <w:sz w:val="20"/>
          <w:szCs w:val="20"/>
        </w:rPr>
        <w:t xml:space="preserve">A) </w:t>
      </w:r>
      <w:r>
        <w:rPr>
          <w:sz w:val="20"/>
          <w:szCs w:val="20"/>
        </w:rPr>
        <w:t xml:space="preserve">Nup60 </w:t>
      </w:r>
      <w:proofErr w:type="spellStart"/>
      <w:r>
        <w:rPr>
          <w:sz w:val="20"/>
          <w:szCs w:val="20"/>
        </w:rPr>
        <w:t>ChIP-seq</w:t>
      </w:r>
      <w:proofErr w:type="spellEnd"/>
      <w:r>
        <w:rPr>
          <w:sz w:val="20"/>
          <w:szCs w:val="20"/>
        </w:rPr>
        <w:t xml:space="preserve"> tag counts and </w:t>
      </w:r>
      <w:r>
        <w:rPr>
          <w:b/>
          <w:sz w:val="20"/>
          <w:szCs w:val="20"/>
        </w:rPr>
        <w:t xml:space="preserve">B) </w:t>
      </w:r>
      <w:r>
        <w:rPr>
          <w:sz w:val="20"/>
          <w:szCs w:val="20"/>
        </w:rPr>
        <w:t>RNA-</w:t>
      </w:r>
      <w:proofErr w:type="spellStart"/>
      <w:r>
        <w:rPr>
          <w:sz w:val="20"/>
          <w:szCs w:val="20"/>
        </w:rPr>
        <w:t>seq</w:t>
      </w:r>
      <w:proofErr w:type="spellEnd"/>
      <w:r>
        <w:rPr>
          <w:sz w:val="20"/>
          <w:szCs w:val="20"/>
        </w:rPr>
        <w:t xml:space="preserve"> counts at selected genes in galactose relative to glucose. </w:t>
      </w:r>
    </w:p>
    <w:p w14:paraId="0AB6FAF0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EA94666" wp14:editId="2EFE92D8">
            <wp:extent cx="4179761" cy="3138488"/>
            <wp:effectExtent l="0" t="0" r="0" b="0"/>
            <wp:docPr id="7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761" cy="313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573AC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14. </w:t>
      </w:r>
      <w:r>
        <w:rPr>
          <w:sz w:val="20"/>
          <w:szCs w:val="20"/>
        </w:rPr>
        <w:t>SVR coefficient of determination of compartment scores predicted by 3D coordinates for aligned and unaligned GM12878 and K562 structures</w:t>
      </w:r>
      <w:r>
        <w:rPr>
          <w:color w:val="0000FF"/>
          <w:sz w:val="20"/>
          <w:szCs w:val="20"/>
        </w:rPr>
        <w:t xml:space="preserve"> </w:t>
      </w:r>
      <w:r>
        <w:rPr>
          <w:sz w:val="20"/>
          <w:szCs w:val="20"/>
        </w:rPr>
        <w:t>for each chromosome.</w:t>
      </w:r>
    </w:p>
    <w:p w14:paraId="39F366F3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77542F7F" wp14:editId="73AF22D4">
            <wp:extent cx="2019300" cy="2428875"/>
            <wp:effectExtent l="0" t="0" r="0" b="0"/>
            <wp:docPr id="7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14D78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17C5E297" w14:textId="091C7612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15. </w:t>
      </w:r>
      <w:r>
        <w:rPr>
          <w:sz w:val="20"/>
          <w:szCs w:val="20"/>
        </w:rPr>
        <w:t xml:space="preserve">chr21:41900000-43900000 aligned to the compartment axis (see Supplementary Fig. 7). </w:t>
      </w:r>
      <w:r>
        <w:rPr>
          <w:b/>
          <w:sz w:val="20"/>
          <w:szCs w:val="20"/>
        </w:rPr>
        <w:t>A)</w:t>
      </w:r>
      <w:r>
        <w:rPr>
          <w:sz w:val="20"/>
          <w:szCs w:val="20"/>
        </w:rPr>
        <w:t xml:space="preserve"> Blue: GM12878. Green: K562: Red: Mx1/Mx2. </w:t>
      </w:r>
      <w:r>
        <w:rPr>
          <w:b/>
          <w:sz w:val="20"/>
          <w:szCs w:val="20"/>
        </w:rPr>
        <w:t xml:space="preserve">B) </w:t>
      </w:r>
      <w:r>
        <w:rPr>
          <w:sz w:val="20"/>
          <w:szCs w:val="20"/>
        </w:rPr>
        <w:t>Compartment scores. Positive scores are plotted in reds, and negative scores are plotted in blues.</w:t>
      </w:r>
    </w:p>
    <w:p w14:paraId="23EA56AD" w14:textId="700BDEEC" w:rsidR="006C42DE" w:rsidRDefault="006C42DE">
      <w:pPr>
        <w:spacing w:line="240" w:lineRule="auto"/>
        <w:rPr>
          <w:sz w:val="20"/>
          <w:szCs w:val="20"/>
        </w:rPr>
      </w:pPr>
    </w:p>
    <w:p w14:paraId="1273E6CB" w14:textId="012158B3" w:rsidR="006C42DE" w:rsidRDefault="006C42DE">
      <w:pPr>
        <w:spacing w:line="240" w:lineRule="auto"/>
        <w:rPr>
          <w:sz w:val="20"/>
          <w:szCs w:val="20"/>
        </w:rPr>
      </w:pPr>
    </w:p>
    <w:p w14:paraId="77546C5E" w14:textId="77777777" w:rsidR="006C42DE" w:rsidRDefault="006C42DE">
      <w:pPr>
        <w:spacing w:line="240" w:lineRule="auto"/>
        <w:rPr>
          <w:sz w:val="20"/>
          <w:szCs w:val="20"/>
        </w:rPr>
      </w:pPr>
    </w:p>
    <w:p w14:paraId="1D928736" w14:textId="77777777" w:rsidR="006E756C" w:rsidRDefault="006E756C">
      <w:pPr>
        <w:spacing w:line="240" w:lineRule="auto"/>
        <w:rPr>
          <w:sz w:val="20"/>
          <w:szCs w:val="20"/>
        </w:rPr>
      </w:pPr>
    </w:p>
    <w:p w14:paraId="1959D99E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20D81D6C" wp14:editId="7AA7597F">
            <wp:extent cx="5171846" cy="3883421"/>
            <wp:effectExtent l="0" t="0" r="0" b="3175"/>
            <wp:docPr id="7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186" cy="3897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2CE95" w14:textId="7B8B8B0D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16. </w:t>
      </w:r>
      <w:r>
        <w:rPr>
          <w:sz w:val="20"/>
          <w:szCs w:val="20"/>
        </w:rPr>
        <w:t xml:space="preserve">Fraction of total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distance along each axis for all chromosomes, calculated from independent structural inference and alignment, for </w:t>
      </w:r>
      <w:r>
        <w:rPr>
          <w:b/>
          <w:sz w:val="20"/>
          <w:szCs w:val="20"/>
        </w:rPr>
        <w:t>A)</w:t>
      </w:r>
      <w:r>
        <w:rPr>
          <w:sz w:val="20"/>
          <w:szCs w:val="20"/>
        </w:rPr>
        <w:t xml:space="preserve"> ENCODE cell lines,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mouse cell types, </w:t>
      </w:r>
      <w:r>
        <w:rPr>
          <w:b/>
          <w:sz w:val="20"/>
          <w:szCs w:val="20"/>
        </w:rPr>
        <w:t>C)</w:t>
      </w:r>
      <w:r>
        <w:rPr>
          <w:sz w:val="20"/>
          <w:szCs w:val="20"/>
        </w:rPr>
        <w:t xml:space="preserve"> LCLs, and </w:t>
      </w:r>
      <w:r>
        <w:rPr>
          <w:b/>
          <w:sz w:val="20"/>
          <w:szCs w:val="20"/>
        </w:rPr>
        <w:t xml:space="preserve">D) </w:t>
      </w:r>
      <w:proofErr w:type="spellStart"/>
      <w:r>
        <w:rPr>
          <w:sz w:val="20"/>
          <w:szCs w:val="20"/>
        </w:rPr>
        <w:t>cohesin</w:t>
      </w:r>
      <w:proofErr w:type="spellEnd"/>
      <w:r>
        <w:rPr>
          <w:sz w:val="20"/>
          <w:szCs w:val="20"/>
        </w:rPr>
        <w:t xml:space="preserve"> KO. </w:t>
      </w:r>
    </w:p>
    <w:p w14:paraId="3E574AA3" w14:textId="124EF46A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3AC25A57" wp14:editId="11400F29">
            <wp:extent cx="5741035" cy="3013862"/>
            <wp:effectExtent l="0" t="0" r="0" b="0"/>
            <wp:docPr id="8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22"/>
                    <a:srcRect l="7464" r="7738" b="9765"/>
                    <a:stretch/>
                  </pic:blipFill>
                  <pic:spPr bwMode="auto">
                    <a:xfrm>
                      <a:off x="0" y="0"/>
                      <a:ext cx="5741168" cy="301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728D4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17. </w:t>
      </w:r>
      <w:r>
        <w:rPr>
          <w:sz w:val="20"/>
          <w:szCs w:val="20"/>
        </w:rPr>
        <w:t xml:space="preserve">Compartment score correlations between each pair of datasets, separated by data type. </w:t>
      </w:r>
    </w:p>
    <w:p w14:paraId="1A463026" w14:textId="281E4FC3" w:rsidR="006E756C" w:rsidRDefault="006C42DE" w:rsidP="006C42DE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0C8D72C4" wp14:editId="470F117A">
            <wp:extent cx="3857913" cy="2896819"/>
            <wp:effectExtent l="0" t="0" r="3175" b="0"/>
            <wp:docPr id="8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711" cy="291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1E132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18. </w:t>
      </w:r>
      <w:r>
        <w:rPr>
          <w:sz w:val="20"/>
          <w:szCs w:val="20"/>
        </w:rPr>
        <w:t xml:space="preserve">Fraction of total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distance along each axis for all chromosomes for GM12878 replicates. </w:t>
      </w:r>
    </w:p>
    <w:p w14:paraId="70190843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10D7D3EB" wp14:editId="42E98F00">
            <wp:extent cx="4324350" cy="7410450"/>
            <wp:effectExtent l="0" t="0" r="0" b="0"/>
            <wp:docPr id="8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41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EF06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5404763F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Supplementary Figure 19. A)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ChIP-seq</w:t>
      </w:r>
      <w:proofErr w:type="spellEnd"/>
      <w:r>
        <w:rPr>
          <w:sz w:val="20"/>
          <w:szCs w:val="20"/>
        </w:rPr>
        <w:t xml:space="preserve"> data for chr21:47.475-47.5 Mb.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H3K36me3 </w:t>
      </w:r>
      <w:proofErr w:type="spellStart"/>
      <w:r>
        <w:rPr>
          <w:sz w:val="20"/>
          <w:szCs w:val="20"/>
        </w:rPr>
        <w:t>ChIP-seq</w:t>
      </w:r>
      <w:proofErr w:type="spellEnd"/>
      <w:r>
        <w:rPr>
          <w:sz w:val="20"/>
          <w:szCs w:val="20"/>
        </w:rPr>
        <w:t xml:space="preserve"> data for COL18A1. </w:t>
      </w:r>
      <w:r>
        <w:rPr>
          <w:b/>
          <w:sz w:val="20"/>
          <w:szCs w:val="20"/>
        </w:rPr>
        <w:t>C)</w:t>
      </w:r>
      <w:r>
        <w:rPr>
          <w:sz w:val="20"/>
          <w:szCs w:val="20"/>
        </w:rPr>
        <w:t xml:space="preserve"> Emission probabilities for IDEAS states. </w:t>
      </w:r>
    </w:p>
    <w:p w14:paraId="4A392A26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151FC86C" wp14:editId="7F588D67">
            <wp:extent cx="6405563" cy="3157830"/>
            <wp:effectExtent l="0" t="0" r="0" b="0"/>
            <wp:docPr id="8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563" cy="315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6B4D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20.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and absolute compartment score differences between GM12878 and K562 chr19, normalized to 1. For ease of visualization, 100-kb resolution is shown. Gray dashed line is the threshold for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. Gray dots are compartment-dependent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, and blue dots are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>.</w:t>
      </w:r>
    </w:p>
    <w:p w14:paraId="79144B15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0335B523" wp14:editId="3E72B7FD">
            <wp:extent cx="6849711" cy="4605338"/>
            <wp:effectExtent l="0" t="0" r="0" b="0"/>
            <wp:docPr id="6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9711" cy="460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16090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56323892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Supplementary Figure 21.</w:t>
      </w:r>
      <w:r>
        <w:rPr>
          <w:sz w:val="20"/>
          <w:szCs w:val="20"/>
        </w:rPr>
        <w:t xml:space="preserve"> Validation that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 are not different from background in compartmentalization. </w:t>
      </w:r>
      <w:r>
        <w:rPr>
          <w:b/>
          <w:sz w:val="20"/>
          <w:szCs w:val="20"/>
        </w:rPr>
        <w:t>A)</w:t>
      </w:r>
      <w:r>
        <w:rPr>
          <w:sz w:val="20"/>
          <w:szCs w:val="20"/>
        </w:rPr>
        <w:t xml:space="preserve"> Difference in compartment score in 10-kb A compartment bins that did not significantly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and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Compartment scores for both cell types in 10-kb A compartment bins that did not significantly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and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C)</w:t>
      </w:r>
      <w:r>
        <w:rPr>
          <w:sz w:val="20"/>
          <w:szCs w:val="20"/>
        </w:rPr>
        <w:t xml:space="preserve"> Difference in compartment score in 10-kb B compartment bins that did not significantly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and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D)</w:t>
      </w:r>
      <w:r>
        <w:rPr>
          <w:sz w:val="20"/>
          <w:szCs w:val="20"/>
        </w:rPr>
        <w:t xml:space="preserve"> Compartment scores for both cell types in 10-kb B compartment bins that did not significantly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and compartment-independent </w:t>
      </w:r>
      <w:proofErr w:type="spellStart"/>
      <w:r>
        <w:rPr>
          <w:sz w:val="20"/>
          <w:szCs w:val="20"/>
        </w:rPr>
        <w:t>relocalizations</w:t>
      </w:r>
      <w:proofErr w:type="spellEnd"/>
      <w:r>
        <w:rPr>
          <w:sz w:val="20"/>
          <w:szCs w:val="20"/>
        </w:rPr>
        <w:t>.</w:t>
      </w:r>
    </w:p>
    <w:p w14:paraId="5FB12516" w14:textId="77777777" w:rsidR="006E756C" w:rsidRDefault="006E756C">
      <w:pPr>
        <w:spacing w:line="240" w:lineRule="auto"/>
        <w:rPr>
          <w:sz w:val="20"/>
          <w:szCs w:val="20"/>
        </w:rPr>
      </w:pPr>
    </w:p>
    <w:p w14:paraId="29E893FC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52092833" wp14:editId="4457FB5A">
            <wp:extent cx="4652963" cy="6979444"/>
            <wp:effectExtent l="0" t="0" r="0" b="0"/>
            <wp:docPr id="7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6979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5A81FFF7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Supplementary Figure 22. A)</w:t>
      </w:r>
      <w:r>
        <w:rPr>
          <w:sz w:val="20"/>
          <w:szCs w:val="20"/>
        </w:rPr>
        <w:t xml:space="preserve"> Enrichment of mean coverage of selected chromatin marks in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compartment loci that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without changing compartment score relative to those that do not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, calculated from independent structural inference and alignment. </w:t>
      </w:r>
      <w:r>
        <w:rPr>
          <w:b/>
          <w:sz w:val="20"/>
          <w:szCs w:val="20"/>
        </w:rPr>
        <w:t>B)</w:t>
      </w:r>
      <w:r>
        <w:rPr>
          <w:sz w:val="20"/>
          <w:szCs w:val="20"/>
        </w:rPr>
        <w:t xml:space="preserve"> Enrichment of mean coverage of selected chromatin marks in B compartment loci that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 xml:space="preserve"> without changing compartment score relative to those that do not </w:t>
      </w:r>
      <w:proofErr w:type="spellStart"/>
      <w:r>
        <w:rPr>
          <w:sz w:val="20"/>
          <w:szCs w:val="20"/>
        </w:rPr>
        <w:t>relocalize</w:t>
      </w:r>
      <w:proofErr w:type="spellEnd"/>
      <w:r>
        <w:rPr>
          <w:sz w:val="20"/>
          <w:szCs w:val="20"/>
        </w:rPr>
        <w:t>, calculated from independent structural inference and alignment.</w:t>
      </w:r>
    </w:p>
    <w:p w14:paraId="48458344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7E5288D4" wp14:editId="3F5824C0">
            <wp:extent cx="4523968" cy="3395663"/>
            <wp:effectExtent l="0" t="0" r="0" b="0"/>
            <wp:docPr id="7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968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9AE0E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23. </w:t>
      </w:r>
      <w:r>
        <w:rPr>
          <w:sz w:val="20"/>
          <w:szCs w:val="20"/>
        </w:rPr>
        <w:t xml:space="preserve">Enrichment of mean coverage of chromatin marks in intra-B </w:t>
      </w:r>
      <w:proofErr w:type="spellStart"/>
      <w:r>
        <w:rPr>
          <w:sz w:val="20"/>
          <w:szCs w:val="20"/>
        </w:rPr>
        <w:t>relocalization</w:t>
      </w:r>
      <w:proofErr w:type="spellEnd"/>
      <w:r>
        <w:rPr>
          <w:sz w:val="20"/>
          <w:szCs w:val="20"/>
        </w:rPr>
        <w:t xml:space="preserve"> peaks relative to background B compartment. Stars represent </w:t>
      </w:r>
      <w:r>
        <w:rPr>
          <w:i/>
          <w:sz w:val="20"/>
          <w:szCs w:val="20"/>
        </w:rPr>
        <w:t>p</w:t>
      </w:r>
      <w:r>
        <w:rPr>
          <w:sz w:val="20"/>
          <w:szCs w:val="20"/>
        </w:rPr>
        <w:t xml:space="preserve">&lt;0.01. </w:t>
      </w:r>
    </w:p>
    <w:p w14:paraId="2D272D92" w14:textId="77777777" w:rsidR="006E756C" w:rsidRDefault="006E756C">
      <w:pPr>
        <w:spacing w:line="240" w:lineRule="auto"/>
        <w:rPr>
          <w:sz w:val="20"/>
          <w:szCs w:val="20"/>
        </w:rPr>
      </w:pPr>
    </w:p>
    <w:p w14:paraId="530C15C0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3386BDC8" wp14:editId="532B67F0">
            <wp:extent cx="2751906" cy="2795588"/>
            <wp:effectExtent l="0" t="0" r="0" b="0"/>
            <wp:docPr id="7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 l="32631" t="18181" r="35789" b="15272"/>
                    <a:stretch>
                      <a:fillRect/>
                    </a:stretch>
                  </pic:blipFill>
                  <pic:spPr>
                    <a:xfrm>
                      <a:off x="0" y="0"/>
                      <a:ext cx="2751906" cy="279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B4D2E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24. </w:t>
      </w:r>
      <w:proofErr w:type="spellStart"/>
      <w:r>
        <w:rPr>
          <w:sz w:val="20"/>
          <w:szCs w:val="20"/>
        </w:rPr>
        <w:t>MultiMDS</w:t>
      </w:r>
      <w:proofErr w:type="spellEnd"/>
      <w:r>
        <w:rPr>
          <w:sz w:val="20"/>
          <w:szCs w:val="20"/>
        </w:rPr>
        <w:t xml:space="preserve"> applied to GM12878 (red) and K562 (cyan) chr21 datasets at 10-kb resolution without distance-decay prior. Compare to Fig. 1A, which is the output of the same analysis with a distance-decay prior of 0.05. </w:t>
      </w:r>
    </w:p>
    <w:p w14:paraId="73BC9CCC" w14:textId="77777777" w:rsidR="006E756C" w:rsidRDefault="006C42D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</w:r>
    </w:p>
    <w:p w14:paraId="25D83C11" w14:textId="77777777" w:rsidR="006E756C" w:rsidRDefault="006E756C">
      <w:pPr>
        <w:spacing w:line="240" w:lineRule="auto"/>
        <w:rPr>
          <w:b/>
          <w:sz w:val="20"/>
          <w:szCs w:val="20"/>
        </w:rPr>
      </w:pPr>
    </w:p>
    <w:p w14:paraId="738518B0" w14:textId="77777777" w:rsidR="006E756C" w:rsidRDefault="006E756C">
      <w:pPr>
        <w:spacing w:line="240" w:lineRule="auto"/>
        <w:rPr>
          <w:b/>
          <w:sz w:val="20"/>
          <w:szCs w:val="20"/>
        </w:rPr>
      </w:pPr>
    </w:p>
    <w:p w14:paraId="541100D6" w14:textId="51C31935" w:rsidR="006E756C" w:rsidRDefault="006C42DE">
      <w:pPr>
        <w:spacing w:line="240" w:lineRule="auto"/>
        <w:rPr>
          <w:b/>
        </w:rPr>
      </w:pPr>
      <w:r>
        <w:rPr>
          <w:b/>
        </w:rPr>
        <w:t>SUPPLEMENTARY TABLE</w:t>
      </w:r>
    </w:p>
    <w:p w14:paraId="44AAE51D" w14:textId="77777777" w:rsidR="006C42DE" w:rsidRDefault="006C42DE">
      <w:pPr>
        <w:spacing w:line="240" w:lineRule="auto"/>
        <w:rPr>
          <w:b/>
          <w:sz w:val="20"/>
          <w:szCs w:val="20"/>
        </w:rPr>
      </w:pPr>
    </w:p>
    <w:p w14:paraId="5726766E" w14:textId="6B2461B9" w:rsidR="006E756C" w:rsidRDefault="006C42DE" w:rsidP="006C42DE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Table 1. </w:t>
      </w:r>
      <w:r>
        <w:rPr>
          <w:sz w:val="20"/>
          <w:szCs w:val="20"/>
        </w:rPr>
        <w:t>Compartment scores at chr21:47.4-47.5 Mb</w:t>
      </w:r>
    </w:p>
    <w:tbl>
      <w:tblPr>
        <w:tblStyle w:val="a"/>
        <w:tblW w:w="3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310"/>
      </w:tblGrid>
      <w:tr w:rsidR="006E756C" w14:paraId="60D22803" w14:textId="77777777"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3B9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Cell type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3147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Compartment score</w:t>
            </w:r>
          </w:p>
        </w:tc>
      </w:tr>
      <w:tr w:rsidR="006E756C" w14:paraId="2C64832A" w14:textId="77777777"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F645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IMR90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5A694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0.900</w:t>
            </w:r>
          </w:p>
        </w:tc>
      </w:tr>
      <w:tr w:rsidR="006E756C" w14:paraId="2D49E4CD" w14:textId="77777777"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9E6D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HMEC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28FF8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0.756</w:t>
            </w:r>
          </w:p>
        </w:tc>
      </w:tr>
      <w:tr w:rsidR="006E756C" w14:paraId="1E62F533" w14:textId="77777777"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5FCC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HUVEC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6C7FD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0.767</w:t>
            </w:r>
          </w:p>
        </w:tc>
      </w:tr>
      <w:tr w:rsidR="006E756C" w14:paraId="153BB036" w14:textId="77777777"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7985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K562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D4E9" w14:textId="77777777" w:rsidR="006E756C" w:rsidRDefault="006C4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0.853</w:t>
            </w:r>
          </w:p>
        </w:tc>
      </w:tr>
    </w:tbl>
    <w:p w14:paraId="2DE3B89F" w14:textId="77777777" w:rsidR="006E756C" w:rsidRDefault="006E756C">
      <w:pPr>
        <w:spacing w:line="480" w:lineRule="auto"/>
        <w:rPr>
          <w:sz w:val="20"/>
          <w:szCs w:val="20"/>
        </w:rPr>
      </w:pPr>
    </w:p>
    <w:p w14:paraId="142E7DA9" w14:textId="77777777" w:rsidR="006E756C" w:rsidRDefault="006E756C">
      <w:pPr>
        <w:spacing w:line="480" w:lineRule="auto"/>
        <w:rPr>
          <w:sz w:val="20"/>
          <w:szCs w:val="20"/>
        </w:rPr>
      </w:pPr>
    </w:p>
    <w:p w14:paraId="56978453" w14:textId="77777777" w:rsidR="006E756C" w:rsidRDefault="006E756C"/>
    <w:sectPr w:rsidR="006E756C">
      <w:pgSz w:w="12240" w:h="15840"/>
      <w:pgMar w:top="1440" w:right="225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6C"/>
    <w:rsid w:val="006C42DE"/>
    <w:rsid w:val="006E756C"/>
    <w:rsid w:val="00A4517B"/>
    <w:rsid w:val="00B6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C5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7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A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7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A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t93AwkGUVYgPQysyBX82pcQBUA==">AMUW2mWI0L0XOuK7KA/lnRBIu9bLdrYo/B94B99ZjdgnPNHQ5O5UPmppSVDmVvLBaajQ/VDseOrTJRQnAD8MWVrHh83AAw9AGhel05Ji/nvGtWeVr890QRTtGRiQizGmB8qtQvVX7Egk66rqFdT2P6+tnX+EcEjN2/2fIWZSjnCnWoBNE9wRTvzIuVQllbATb4PXbhrrtMYTe8Prrr8nCuF3yzj1riDoDCrY8QPEquiXx02Lg8kLlb7/iyy1JyXULM/tngTp3jIr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921</Words>
  <Characters>5252</Characters>
  <Application>Microsoft Office Word</Application>
  <DocSecurity>0</DocSecurity>
  <Lines>43</Lines>
  <Paragraphs>12</Paragraphs>
  <ScaleCrop>false</ScaleCrop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0012761</dc:creator>
  <cp:lastModifiedBy>Jayagopal S.</cp:lastModifiedBy>
  <cp:revision>4</cp:revision>
  <dcterms:created xsi:type="dcterms:W3CDTF">2019-10-03T13:23:00Z</dcterms:created>
  <dcterms:modified xsi:type="dcterms:W3CDTF">2019-10-04T08:51:00Z</dcterms:modified>
</cp:coreProperties>
</file>