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E3" w:rsidRPr="00A01B0B" w:rsidRDefault="00154A7D" w:rsidP="00E921E3">
      <w:pPr>
        <w:spacing w:after="0"/>
        <w:rPr>
          <w:rFonts w:ascii="Arial" w:hAnsi="Arial" w:cs="Arial"/>
          <w:b/>
          <w:sz w:val="24"/>
          <w:lang w:val="en-GB"/>
        </w:rPr>
      </w:pPr>
      <w:r>
        <w:rPr>
          <w:rFonts w:ascii="Arial" w:hAnsi="Arial" w:cs="Arial"/>
          <w:b/>
          <w:sz w:val="24"/>
          <w:lang w:val="en-GB"/>
        </w:rPr>
        <w:t xml:space="preserve">ADDITIONAL </w:t>
      </w:r>
      <w:r w:rsidR="00E921E3">
        <w:rPr>
          <w:rFonts w:ascii="Arial" w:hAnsi="Arial" w:cs="Arial"/>
          <w:b/>
          <w:sz w:val="24"/>
          <w:lang w:val="en-GB"/>
        </w:rPr>
        <w:t>MATERIAL</w:t>
      </w:r>
    </w:p>
    <w:p w:rsidR="00E921E3" w:rsidRDefault="00E921E3" w:rsidP="00E921E3">
      <w:pPr>
        <w:spacing w:after="0"/>
        <w:rPr>
          <w:rFonts w:ascii="Times New Roman" w:hAnsi="Times New Roman" w:cs="Times New Roman"/>
          <w:b/>
          <w:lang w:val="en-GB"/>
        </w:rPr>
      </w:pPr>
    </w:p>
    <w:p w:rsidR="00E921E3" w:rsidRDefault="00E921E3" w:rsidP="00E921E3">
      <w:pPr>
        <w:spacing w:after="0"/>
        <w:rPr>
          <w:rFonts w:ascii="Arial" w:hAnsi="Arial" w:cs="Arial"/>
          <w:b/>
          <w:lang w:val="en-GB"/>
        </w:rPr>
      </w:pPr>
    </w:p>
    <w:p w:rsidR="00E921E3" w:rsidRDefault="00E921E3" w:rsidP="00E921E3">
      <w:pPr>
        <w:spacing w:after="0"/>
        <w:rPr>
          <w:rFonts w:ascii="Arial" w:hAnsi="Arial" w:cs="Arial"/>
          <w:lang w:val="en-GB"/>
        </w:rPr>
      </w:pPr>
      <w:r w:rsidRPr="00764516">
        <w:rPr>
          <w:rFonts w:ascii="Arial" w:hAnsi="Arial" w:cs="Arial"/>
          <w:b/>
          <w:lang w:val="en-GB"/>
        </w:rPr>
        <w:t xml:space="preserve">Table </w:t>
      </w:r>
      <w:r>
        <w:rPr>
          <w:rFonts w:ascii="Arial" w:hAnsi="Arial" w:cs="Arial"/>
          <w:b/>
          <w:lang w:val="en-GB"/>
        </w:rPr>
        <w:t>S</w:t>
      </w:r>
      <w:r w:rsidRPr="00764516">
        <w:rPr>
          <w:rFonts w:ascii="Arial" w:hAnsi="Arial" w:cs="Arial"/>
          <w:b/>
          <w:lang w:val="en-GB"/>
        </w:rPr>
        <w:t>1.</w:t>
      </w:r>
      <w:r w:rsidRPr="00764516">
        <w:rPr>
          <w:rFonts w:ascii="Arial" w:hAnsi="Arial" w:cs="Arial"/>
          <w:lang w:val="en-GB"/>
        </w:rPr>
        <w:t xml:space="preserve"> Characteristics of </w:t>
      </w:r>
      <w:r>
        <w:rPr>
          <w:rFonts w:ascii="Arial" w:hAnsi="Arial" w:cs="Arial"/>
          <w:lang w:val="en-GB"/>
        </w:rPr>
        <w:t xml:space="preserve">rupatadine clinical </w:t>
      </w:r>
      <w:r w:rsidRPr="00764516">
        <w:rPr>
          <w:rFonts w:ascii="Arial" w:hAnsi="Arial" w:cs="Arial"/>
          <w:lang w:val="en-GB"/>
        </w:rPr>
        <w:t xml:space="preserve">studies included in the pooled analysis. </w:t>
      </w:r>
    </w:p>
    <w:p w:rsidR="00E921E3" w:rsidRDefault="00E921E3" w:rsidP="00E921E3">
      <w:pPr>
        <w:spacing w:after="0"/>
        <w:rPr>
          <w:rFonts w:ascii="Arial" w:hAnsi="Arial" w:cs="Arial"/>
          <w:lang w:val="en-GB"/>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2514"/>
        <w:gridCol w:w="2863"/>
        <w:gridCol w:w="2075"/>
        <w:gridCol w:w="1463"/>
        <w:gridCol w:w="1306"/>
        <w:gridCol w:w="2590"/>
        <w:gridCol w:w="1409"/>
      </w:tblGrid>
      <w:tr w:rsidR="00E921E3" w:rsidRPr="00764516" w:rsidTr="00A20821">
        <w:trPr>
          <w:trHeight w:val="340"/>
        </w:trPr>
        <w:tc>
          <w:tcPr>
            <w:tcW w:w="2475"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Study</w:t>
            </w:r>
          </w:p>
        </w:tc>
        <w:tc>
          <w:tcPr>
            <w:tcW w:w="2820"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Design</w:t>
            </w:r>
          </w:p>
        </w:tc>
        <w:tc>
          <w:tcPr>
            <w:tcW w:w="2043"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Comparator</w:t>
            </w:r>
          </w:p>
        </w:tc>
        <w:tc>
          <w:tcPr>
            <w:tcW w:w="1441"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No. patients</w:t>
            </w:r>
          </w:p>
        </w:tc>
        <w:tc>
          <w:tcPr>
            <w:tcW w:w="1286"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Primary</w:t>
            </w:r>
          </w:p>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endpoint</w:t>
            </w:r>
          </w:p>
        </w:tc>
        <w:tc>
          <w:tcPr>
            <w:tcW w:w="2551"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Symptoms</w:t>
            </w:r>
          </w:p>
        </w:tc>
        <w:tc>
          <w:tcPr>
            <w:tcW w:w="1388" w:type="dxa"/>
            <w:tcBorders>
              <w:bottom w:val="single" w:sz="12" w:space="0" w:color="auto"/>
            </w:tcBorders>
            <w:vAlign w:val="center"/>
          </w:tcPr>
          <w:p w:rsidR="00E921E3" w:rsidRPr="00764516" w:rsidRDefault="00E921E3" w:rsidP="00A20821">
            <w:pPr>
              <w:rPr>
                <w:rFonts w:ascii="Arial" w:hAnsi="Arial" w:cs="Arial"/>
                <w:b/>
                <w:sz w:val="18"/>
                <w:szCs w:val="18"/>
                <w:lang w:val="en-GB"/>
              </w:rPr>
            </w:pPr>
            <w:r w:rsidRPr="00764516">
              <w:rPr>
                <w:rFonts w:ascii="Arial" w:hAnsi="Arial" w:cs="Arial"/>
                <w:b/>
                <w:sz w:val="18"/>
                <w:szCs w:val="18"/>
                <w:lang w:val="en-GB"/>
              </w:rPr>
              <w:t>Duration</w:t>
            </w:r>
          </w:p>
        </w:tc>
      </w:tr>
      <w:tr w:rsidR="00E921E3" w:rsidRPr="00764516" w:rsidTr="00A20821">
        <w:trPr>
          <w:trHeight w:val="340"/>
        </w:trPr>
        <w:tc>
          <w:tcPr>
            <w:tcW w:w="2475" w:type="dxa"/>
            <w:tcBorders>
              <w:top w:val="single" w:sz="12" w:space="0" w:color="auto"/>
              <w:bottom w:val="single" w:sz="8" w:space="0" w:color="auto"/>
            </w:tcBorders>
            <w:vAlign w:val="center"/>
          </w:tcPr>
          <w:p w:rsidR="00E921E3" w:rsidRPr="00764516" w:rsidRDefault="00E921E3" w:rsidP="00A20821">
            <w:pPr>
              <w:rPr>
                <w:rFonts w:ascii="Arial" w:hAnsi="Arial" w:cs="Arial"/>
                <w:i/>
                <w:sz w:val="18"/>
                <w:szCs w:val="18"/>
                <w:lang w:val="en-GB"/>
              </w:rPr>
            </w:pPr>
            <w:r w:rsidRPr="00764516">
              <w:rPr>
                <w:rFonts w:ascii="Arial" w:hAnsi="Arial" w:cs="Arial"/>
                <w:sz w:val="18"/>
                <w:szCs w:val="18"/>
                <w:lang w:val="en-GB"/>
              </w:rPr>
              <w:t>Saint-Martin</w:t>
            </w:r>
            <w:r w:rsidRPr="00764516">
              <w:rPr>
                <w:rFonts w:ascii="Arial" w:hAnsi="Arial" w:cs="Arial"/>
                <w:i/>
                <w:sz w:val="18"/>
                <w:szCs w:val="18"/>
                <w:lang w:val="en-GB"/>
              </w:rPr>
              <w:t xml:space="preserve"> et al. </w:t>
            </w:r>
            <w:r w:rsidR="00372C01" w:rsidRPr="00764516">
              <w:rPr>
                <w:rFonts w:ascii="Arial" w:hAnsi="Arial" w:cs="Arial"/>
                <w:i/>
                <w:sz w:val="18"/>
                <w:szCs w:val="18"/>
                <w:lang w:val="en-GB"/>
              </w:rPr>
              <w:fldChar w:fldCharType="begin" w:fldLock="1"/>
            </w:r>
            <w:r>
              <w:rPr>
                <w:rFonts w:ascii="Arial" w:hAnsi="Arial" w:cs="Arial"/>
                <w:i/>
                <w:sz w:val="18"/>
                <w:szCs w:val="18"/>
                <w:lang w:val="en-GB"/>
              </w:rPr>
              <w:instrText>ADDIN CSL_CITATION { "citationItems" : [ { "id" : "ITEM-1", "itemData" : { "ISSN" : "1018-9068", "PMID" : "15160440", "abstract" : "BACKGROUND The main objective of this randomized, double-blind, parallel-group, comparative study was to assess the efficacy and safety of rupatadine 10 mg (R10) and 20 mg (R20) administered once-daily for two weeks compared with those of loratadine 10 mg (L10) in the treatment of seasonal allergic rhinitis (SAR). METHODS A total of 339 SAR patients were randomized to receive R20 (111 patients), R10 (112 patients) or L10 (116 patients). The main efficacy variable was the mean total daily symptom score (mTDSS) based on the daily subjective assessment of the severity of rhinitis symptoms--rhinorrhea, sneezing, nasal itching, nasal obstruction, conjunctival itching, tearing and pharyngeal itching--recorded by patients. RESULTS The mTDSS was significantly lower in the groups treated with R20 (0.80 +/- 0.46) and R10 (0.85 +/- 0.52) than in the group treated with L10 (0.92 +/- 0.51) by protocol analysis (p = 0.03) but not by intention-to-treat analysis. The secondary variables used to assess efficacy (mDSS, DSSmax, CSS and TCSS) also showed significantly milder symptoms in patients treated with R20 and R10, particularly in sneezing and nasal itching. All treatments were well tolerated and no serious adverse events were recorded. Headache was the most frequent non-serious adverse event, and these did not show significant differences between treatments at similar dose levels. Somnolence was more frequent in R20 than in the other two groups. CONCLUSIONS The present results suggest that rupatadine 10 mg a day may be a valuable and safe alternative for the symptomatic treatment of seasonal allergic rhinitis.", "author" : [ { "dropping-particle" : "", "family" : "Saint-Martin", "given" : "F", "non-dropping-particle" : "", "parse-names" : false, "suffix" : "" }, { "dropping-particle" : "", "family" : "Dumur", "given" : "J P", "non-dropping-particle" : "", "parse-names" : false, "suffix" : "" }, { "dropping-particle" : "", "family" : "P\u00e9rez", "given" : "I", "non-dropping-particle" : "", "parse-names" : false, "suffix" : "" }, { "dropping-particle" : "", "family" : "Izquierdo", "given" : "I", "non-dropping-particle" : "", "parse-names" : false, "suffix" : "" }, { "dropping-particle" : "", "family" : "French Rupatadine-Rhinitis Study Group", "given" : "", "non-dropping-particle" : "", "parse-names" : false, "suffix" : "" } ], "container-title" : "Journal of investigational allergology &amp; clinical immunology", "id" : "ITEM-1", "issue" : "1", "issued" : { "date-parts" : [ [ "2004" ] ] }, "page" : "34-40", "title" : "A randomized, double-blind, parallel-group study, comparing the efficacy and safety of rupatadine (20 and 10 mg), a new PAF and H1 receptor-specific histamine antagonist, to loratadine 10 mg in the treatment of seasonal allergic rhinitis.", "type" : "article-journal", "volume" : "14" }, "uris" : [ "http://www.mendeley.com/documents/?uuid=b3b6f9cd-7a02-4ec0-a61a-56e2e0aa6f7a" ] } ], "mendeley" : { "formattedCitation" : "[24]", "plainTextFormattedCitation" : "[24]", "previouslyFormattedCitation" : "[24]" }, "properties" : { "noteIndex" : 2 }, "schema" : "https://github.com/citation-style-language/schema/raw/master/csl-citation.json" }</w:instrText>
            </w:r>
            <w:r w:rsidR="00372C01" w:rsidRPr="00764516">
              <w:rPr>
                <w:rFonts w:ascii="Arial" w:hAnsi="Arial" w:cs="Arial"/>
                <w:i/>
                <w:sz w:val="18"/>
                <w:szCs w:val="18"/>
                <w:lang w:val="en-GB"/>
              </w:rPr>
              <w:fldChar w:fldCharType="separate"/>
            </w:r>
            <w:r w:rsidRPr="00290DEA">
              <w:rPr>
                <w:rFonts w:ascii="Arial" w:hAnsi="Arial" w:cs="Arial"/>
                <w:noProof/>
                <w:sz w:val="18"/>
                <w:szCs w:val="18"/>
                <w:lang w:val="en-GB"/>
              </w:rPr>
              <w:t>[24]</w:t>
            </w:r>
            <w:r w:rsidR="00372C01" w:rsidRPr="00764516">
              <w:rPr>
                <w:rFonts w:ascii="Arial" w:hAnsi="Arial" w:cs="Arial"/>
                <w:i/>
                <w:sz w:val="18"/>
                <w:szCs w:val="18"/>
                <w:lang w:val="en-GB"/>
              </w:rPr>
              <w:fldChar w:fldCharType="end"/>
            </w:r>
          </w:p>
        </w:tc>
        <w:tc>
          <w:tcPr>
            <w:tcW w:w="2820" w:type="dxa"/>
            <w:tcBorders>
              <w:top w:val="single" w:sz="12"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 xml:space="preserve">Multicentre, </w:t>
            </w:r>
            <w:r>
              <w:rPr>
                <w:rFonts w:ascii="Arial" w:hAnsi="Arial" w:cs="Arial"/>
                <w:sz w:val="18"/>
                <w:szCs w:val="18"/>
                <w:lang w:val="en-GB"/>
              </w:rPr>
              <w:t>r</w:t>
            </w:r>
            <w:r w:rsidRPr="00764516">
              <w:rPr>
                <w:rFonts w:ascii="Arial" w:hAnsi="Arial" w:cs="Arial"/>
                <w:sz w:val="18"/>
                <w:szCs w:val="18"/>
                <w:lang w:val="en-GB"/>
              </w:rPr>
              <w:t>andomized, double-blind</w:t>
            </w:r>
          </w:p>
        </w:tc>
        <w:tc>
          <w:tcPr>
            <w:tcW w:w="2043" w:type="dxa"/>
            <w:tcBorders>
              <w:top w:val="single" w:sz="12"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 20mg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LOR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top w:val="single" w:sz="12"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339</w:t>
            </w:r>
          </w:p>
        </w:tc>
        <w:tc>
          <w:tcPr>
            <w:tcW w:w="1286" w:type="dxa"/>
            <w:tcBorders>
              <w:top w:val="single" w:sz="12" w:space="0" w:color="auto"/>
              <w:bottom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tcBorders>
              <w:top w:val="single" w:sz="12" w:space="0" w:color="auto"/>
              <w:bottom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throat</w:t>
            </w:r>
          </w:p>
        </w:tc>
        <w:tc>
          <w:tcPr>
            <w:tcW w:w="1388" w:type="dxa"/>
            <w:tcBorders>
              <w:top w:val="single" w:sz="12"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r w:rsidR="00E921E3" w:rsidRPr="00764516" w:rsidTr="00A20821">
        <w:trPr>
          <w:trHeight w:val="340"/>
        </w:trPr>
        <w:tc>
          <w:tcPr>
            <w:tcW w:w="2475" w:type="dxa"/>
            <w:tcBorders>
              <w:top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Guadaño</w:t>
            </w:r>
            <w:proofErr w:type="spellEnd"/>
            <w:r w:rsidRPr="00764516">
              <w:rPr>
                <w:rFonts w:ascii="Arial" w:hAnsi="Arial" w:cs="Arial"/>
                <w:sz w:val="18"/>
                <w:szCs w:val="18"/>
                <w:lang w:val="en-GB"/>
              </w:rPr>
              <w:t xml:space="preserve"> </w:t>
            </w:r>
            <w:r w:rsidRPr="00764516">
              <w:rPr>
                <w:rFonts w:ascii="Arial" w:hAnsi="Arial" w:cs="Arial"/>
                <w:i/>
                <w:sz w:val="18"/>
                <w:szCs w:val="18"/>
                <w:lang w:val="en-GB"/>
              </w:rPr>
              <w:t>et al.</w:t>
            </w:r>
            <w:r w:rsidRPr="00764516">
              <w:rPr>
                <w:rFonts w:ascii="Arial" w:hAnsi="Arial" w:cs="Arial"/>
                <w:sz w:val="18"/>
                <w:szCs w:val="18"/>
                <w:lang w:val="en-GB"/>
              </w:rPr>
              <w:t xml:space="preserve"> </w:t>
            </w:r>
            <w:r w:rsidR="00372C01" w:rsidRPr="00764516">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"DOI" : "10.1111/j.1398-9995.2004.00576.x", "ISSN" : "0105-4538", "PMID" : "15180765", "abstract" : "The aim of this study is to establish the efficacy and safety of rupatadine vs ebastine and placebo in the treatment of seasonal allergic rhinitis (SAR). Rupatadine is a new second generation H(1)-antihistamine with once-daily dosing that may provide better control of symptoms than the currently used H(1)-receptor blockers because of its dual pharmacological profile (anti-PAF and anti-H(1)).", "author" : [ { "dropping-particle" : "", "family" : "Guadano", "given" : "E. M.", "non-dropping-particle" : "", "parse-names" : false, "suffix" : "" }, { "dropping-particle" : "", "family" : "Serra-Batlles", "given" : "J.", "non-dropping-particle" : "", "parse-names" : false, "suffix" : "" }, { "dropping-particle" : "", "family" : "Meseguer", "given" : "J.", "non-dropping-particle" : "", "parse-names" : false, "suffix" : "" }, { "dropping-particle" : "", "family" : "Castillo", "given" : "J. A.", "non-dropping-particle" : "", "parse-names" : false, "suffix" : "" }, { "dropping-particle" : "", "family" : "Molina", "given" : "M.", "non-dropping-particle" : "de", "parse-names" : false, "suffix" : "" }, { "dropping-particle" : "", "family" : "Valero", "given" : "A.", "non-dropping-particle" : "", "parse-names" : false, "suffix" : "" }, { "dropping-particle" : "", "family" : "Picado", "given" : "C.", "non-dropping-particle" : "", "parse-names" : false, "suffix" : "" } ], "container-title" : "Allergy", "id" : "ITEM-1", "issue" : "7", "issued" : { "date-parts" : [ [ "2004", "7" ] ] }, "page" : "766-771", "title" : "Rupatadine 10 mg and ebastine 10 mg in seasonal allergic rhinitis: a comparison study", "type" : "article-journal", "volume" : "59" }, "uris" : [ "http://www.mendeley.com/documents/?uuid=cda3e82e-2dc7-4cd7-80cb-01169bc6ff56" ] } ], "mendeley" : { "formattedCitation" : "[26]", "plainTextFormattedCitation" : "[26]", "previouslyFormattedCitation" : "[26]" }, "properties" : { "noteIndex" : 2 }, "schema" : "https://github.com/citation-style-language/schema/raw/master/csl-citation.json" }</w:instrText>
            </w:r>
            <w:r w:rsidR="00372C01" w:rsidRPr="00764516">
              <w:rPr>
                <w:rFonts w:ascii="Arial" w:hAnsi="Arial" w:cs="Arial"/>
                <w:sz w:val="18"/>
                <w:szCs w:val="18"/>
                <w:lang w:val="en-GB"/>
              </w:rPr>
              <w:fldChar w:fldCharType="separate"/>
            </w:r>
            <w:r w:rsidRPr="00290DEA">
              <w:rPr>
                <w:rFonts w:ascii="Arial" w:hAnsi="Arial" w:cs="Arial"/>
                <w:noProof/>
                <w:sz w:val="18"/>
                <w:szCs w:val="18"/>
                <w:lang w:val="en-GB"/>
              </w:rPr>
              <w:t>[26]</w:t>
            </w:r>
            <w:r w:rsidR="00372C01" w:rsidRPr="00764516">
              <w:rPr>
                <w:rFonts w:ascii="Arial" w:hAnsi="Arial" w:cs="Arial"/>
                <w:sz w:val="18"/>
                <w:szCs w:val="18"/>
                <w:lang w:val="en-GB"/>
              </w:rPr>
              <w:fldChar w:fldCharType="end"/>
            </w:r>
          </w:p>
        </w:tc>
        <w:tc>
          <w:tcPr>
            <w:tcW w:w="2820"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Multicentre, randomized, double-blind</w:t>
            </w:r>
          </w:p>
        </w:tc>
        <w:tc>
          <w:tcPr>
            <w:tcW w:w="2043"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EBA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250</w:t>
            </w:r>
          </w:p>
        </w:tc>
        <w:tc>
          <w:tcPr>
            <w:tcW w:w="1286" w:type="dxa"/>
            <w:tcBorders>
              <w:top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tcBorders>
              <w:top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throat</w:t>
            </w:r>
          </w:p>
        </w:tc>
        <w:tc>
          <w:tcPr>
            <w:tcW w:w="1388"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r w:rsidR="00E921E3" w:rsidRPr="00764516" w:rsidTr="00A20821">
        <w:trPr>
          <w:trHeight w:val="340"/>
        </w:trPr>
        <w:tc>
          <w:tcPr>
            <w:tcW w:w="2475" w:type="dxa"/>
            <w:tcBorders>
              <w:top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Martínez-Cócera</w:t>
            </w:r>
            <w:proofErr w:type="spellEnd"/>
            <w:r w:rsidRPr="00764516">
              <w:rPr>
                <w:rFonts w:ascii="Arial" w:hAnsi="Arial" w:cs="Arial"/>
                <w:sz w:val="18"/>
                <w:szCs w:val="18"/>
                <w:lang w:val="en-GB"/>
              </w:rPr>
              <w:t xml:space="preserve"> </w:t>
            </w:r>
            <w:r w:rsidRPr="00764516">
              <w:rPr>
                <w:rFonts w:ascii="Arial" w:hAnsi="Arial" w:cs="Arial"/>
                <w:i/>
                <w:sz w:val="18"/>
                <w:szCs w:val="18"/>
                <w:lang w:val="en-GB"/>
              </w:rPr>
              <w:t>et al</w:t>
            </w:r>
            <w:r w:rsidRPr="00764516">
              <w:rPr>
                <w:rFonts w:ascii="Arial" w:hAnsi="Arial" w:cs="Arial"/>
                <w:sz w:val="18"/>
                <w:szCs w:val="18"/>
                <w:lang w:val="en-GB"/>
              </w:rPr>
              <w:t xml:space="preserve">. </w:t>
            </w:r>
            <w:r w:rsidR="00372C01" w:rsidRPr="00764516">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"ISSN" : "10189068", "abstract" : "This randomised, double-blind, parallel-group, multicentre clinical trial evaluated the efficacy and safety of rupatadine, a new antihistamine with antiplatelet-activating factor (PAF) activity, and cetirizine in the treatment of patients with seasonal allergic rhinitis (SAR). A total 249 patients were randomised to receive rupatadine 10 mg once daily (127 patients) or cetirizine 10 mg (122 patients) for two weeks. The main efficacy variable was the mean total daily symptom score (mTDSS) and was based on the daily subjective assessment of the severity of each rhinitis symptom--nasal (runny nose, sneezing, nasal itching and nasal obstruction) and non-nasal (conjunctival itching, tearing, and pharyngeal itching)--recorded by patients in their diaries. The mTDSS was 0.7 for both treatment groups (intention to treat analysis). In the investigator's global evaluation of efficacy at the seventh day, 93.3% and 83.7% patients in the rupatadine and cetirizine groups, respectively, showed some or great improvement (p = 0.022). In the per protocol analysis (n = 181), runny nose at the seventh day of treatment was absent or mild in 81.1% of patients in the rupatadine group and in 68.6% of patients in the cetirizine group (p = 0.029). In any case statistical significance was not maintained at the second week. Overall, all treatments were well tolerated. Adverse events (AEs) were similar in both treatment groups, i.e. headache, somnolence and fatigue/asthenia as the most often reported. Somnolence was reported in 9.6% and 8.5% of patients treated with rupatadine or cetirizine, respectively. The most reported AEs (67%) were mild in intensity. Our results suggest that rupatadine 10 mg may be a valuable and safe alternative for the symptomatic treatment of SAR.", "author" : [ { "dropping-particle" : "", "family" : "Mart\u00ednez-C\u00f3cera", "given" : "C.", "non-dropping-particle" : "", "parse-names" : false, "suffix" : "" }, { "dropping-particle" : "", "family" : "Molina", "given" : "M.", "non-dropping-particle" : "De", "parse-names" : false, "suffix" : "" }, { "dropping-particle" : "", "family" : "Mart\u00ed-Guada\u00f1o", "given" : "E.", "non-dropping-particle" : "", "parse-names" : false, "suffix" : "" }, { "dropping-particle" : "", "family" : "Pola", "given" : "J.", "non-dropping-particle" : "", "parse-names" : false, "suffix" : "" }, { "dropping-particle" : "", "family" : "Conde", "given" : "J.", "non-dropping-particle" : "", "parse-names" : false, "suffix" : "" }, { "dropping-particle" : "", "family" : "Borja", "given" : "J.", "non-dropping-particle" : "", "parse-names" : false, "suffix" : "" }, { "dropping-particle" : "", "family" : "P\u00e9rez", "given" : "I.", "non-dropping-particle" : "", "parse-names" : false, "suffix" : "" }, { "dropping-particle" : "", "family" : "Arnaiz", "given" : "E.", "non-dropping-particle" : "", "parse-names" : false, "suffix" : "" }, { "dropping-particle" : "", "family" : "Izquierdo", "given" : "I\u00f1aki", "non-dropping-particle" : "", "parse-names" : false, "suffix" : "" } ], "container-title" : "Journal of Investigational Allergology and Clinical Immunology", "id" : "ITEM-1", "issue" : "1", "issued" : { "date-parts" : [ [ "2005" ] ] }, "page" : "22-29", "title" : "Rupatadine 10 mg and cetirizine 10 mg seasonal allergic rhinitis: A randomised, double-blind parallel study", "type" : "article-journal", "volume" : "15" }, "uris" : [ "http://www.mendeley.com/documents/?uuid=29d107e1-70a6-4872-b4d5-6e53b610144c" ] } ], "mendeley" : { "formattedCitation" : "[25]", "plainTextFormattedCitation" : "[25]", "previouslyFormattedCitation" : "[25]" }, "properties" : { "noteIndex" : 1 }, "schema" : "https://github.com/citation-style-language/schema/raw/master/csl-citation.json" }</w:instrText>
            </w:r>
            <w:r w:rsidR="00372C01" w:rsidRPr="00764516">
              <w:rPr>
                <w:rFonts w:ascii="Arial" w:hAnsi="Arial" w:cs="Arial"/>
                <w:sz w:val="18"/>
                <w:szCs w:val="18"/>
                <w:lang w:val="en-GB"/>
              </w:rPr>
              <w:fldChar w:fldCharType="separate"/>
            </w:r>
            <w:r w:rsidRPr="00290DEA">
              <w:rPr>
                <w:rFonts w:ascii="Arial" w:hAnsi="Arial" w:cs="Arial"/>
                <w:noProof/>
                <w:sz w:val="18"/>
                <w:szCs w:val="18"/>
                <w:lang w:val="en-GB"/>
              </w:rPr>
              <w:t>[25]</w:t>
            </w:r>
            <w:r w:rsidR="00372C01" w:rsidRPr="00764516">
              <w:rPr>
                <w:rFonts w:ascii="Arial" w:hAnsi="Arial" w:cs="Arial"/>
                <w:sz w:val="18"/>
                <w:szCs w:val="18"/>
                <w:lang w:val="en-GB"/>
              </w:rPr>
              <w:fldChar w:fldCharType="end"/>
            </w:r>
          </w:p>
        </w:tc>
        <w:tc>
          <w:tcPr>
            <w:tcW w:w="2820"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Multicentre, randomized, double-blind</w:t>
            </w:r>
          </w:p>
        </w:tc>
        <w:tc>
          <w:tcPr>
            <w:tcW w:w="2043"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CET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249</w:t>
            </w:r>
          </w:p>
        </w:tc>
        <w:tc>
          <w:tcPr>
            <w:tcW w:w="1286" w:type="dxa"/>
            <w:tcBorders>
              <w:top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tcBorders>
              <w:top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rPr>
                <w:rFonts w:ascii="Arial" w:hAnsi="Arial" w:cs="Arial"/>
                <w:sz w:val="18"/>
                <w:szCs w:val="18"/>
                <w:lang w:val="en-GB"/>
              </w:rPr>
            </w:pPr>
            <w:r>
              <w:rPr>
                <w:rFonts w:ascii="Arial" w:hAnsi="Arial" w:cs="Arial"/>
                <w:sz w:val="18"/>
                <w:szCs w:val="18"/>
                <w:lang w:val="en-GB"/>
              </w:rPr>
              <w:t>Itchy throat</w:t>
            </w:r>
          </w:p>
        </w:tc>
        <w:tc>
          <w:tcPr>
            <w:tcW w:w="1388" w:type="dxa"/>
            <w:tcBorders>
              <w:top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r w:rsidR="00E921E3" w:rsidRPr="00764516" w:rsidTr="00A20821">
        <w:trPr>
          <w:trHeight w:val="340"/>
        </w:trPr>
        <w:tc>
          <w:tcPr>
            <w:tcW w:w="2475" w:type="dxa"/>
            <w:tcBorders>
              <w:bottom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Lukat</w:t>
            </w:r>
            <w:proofErr w:type="spellEnd"/>
            <w:r w:rsidRPr="00764516">
              <w:rPr>
                <w:rFonts w:ascii="Arial" w:hAnsi="Arial" w:cs="Arial"/>
                <w:sz w:val="18"/>
                <w:szCs w:val="18"/>
                <w:lang w:val="en-GB"/>
              </w:rPr>
              <w:t xml:space="preserve"> </w:t>
            </w:r>
            <w:r w:rsidRPr="00764516">
              <w:rPr>
                <w:rFonts w:ascii="Arial" w:hAnsi="Arial" w:cs="Arial"/>
                <w:i/>
                <w:sz w:val="18"/>
                <w:szCs w:val="18"/>
                <w:lang w:val="en-GB"/>
              </w:rPr>
              <w:t>et al</w:t>
            </w:r>
            <w:r w:rsidRPr="00764516">
              <w:rPr>
                <w:rFonts w:ascii="Arial" w:hAnsi="Arial" w:cs="Arial"/>
                <w:sz w:val="18"/>
                <w:szCs w:val="18"/>
                <w:lang w:val="en-GB"/>
              </w:rPr>
              <w:t xml:space="preserve">. </w:t>
            </w:r>
            <w:r w:rsidR="00372C01" w:rsidRPr="00764516">
              <w:rPr>
                <w:rFonts w:ascii="Arial" w:hAnsi="Arial" w:cs="Arial"/>
                <w:sz w:val="18"/>
                <w:szCs w:val="18"/>
                <w:lang w:val="en-GB"/>
              </w:rPr>
              <w:fldChar w:fldCharType="begin" w:fldLock="1"/>
            </w:r>
            <w:r>
              <w:rPr>
                <w:rFonts w:ascii="Arial" w:hAnsi="Arial" w:cs="Arial"/>
                <w:sz w:val="18"/>
                <w:szCs w:val="18"/>
                <w:lang w:val="en-GB"/>
              </w:rPr>
              <w:instrText>ADDIN CSL_CITATION { "citationItems" : [ { "id" : "ITEM-1", "itemData" : { "DOI" : "10.2147/JAA.S39496", "ISSN" : "1178-6965", "PMID" : "23459334", "abstract" : "BACKGROUND H1-antihistamines are recommended as the first-line symptomatic treatment of allergic rhinitis. The objective of this study was to evaluate the effects of rupatadine (RUP) versus desloratadine (DES) in subjects with seasonal allergic rhinitis (SAR). METHOD To assess the efficacy and safety of RUP in SAR in comparison with placebo (PL) and DES. A randomized, double-blind, multicenter, international, and PL-controlled study was carried out. The main selection criteria included SAR patients over 12 years old with a positive prick test to a relevant seasonal allergen for the geographic area. Symptomatic patients at screening with a nasal symptom sum score of \u22656 points (nasal discharge, nasal obstruction, sneezing, and nasal pruritus), a non-nasal score of \u22653 points (ocular pruritus, ocular redness, and tearing eyes), and a rhinorrhea score of \u22652 points with laboratory test results and electrocardiography within acceptable limits were included in the study. Change from baseline in the total symptom-score (T7SS) over the 4-week treatment period (reflective evaluation) was considered the primary efficacy variable. Secondary efficacy measures included total nasal symptom score (T4NSS) and conjunctival symptom score (T3NNSS), both of which are reflective and instantaneous evaluations. Furthermore questions related to quality of life (eg, sleep disturbances or impairment of daily activities) have also been evaluated. Safety was assessed according to adverse events reported, as well as laboratory and electrocardiography controls. RESULTS A total of 379 patients were randomized, of which 356 were included and allocated to PL (n = 122), RUP (n = 117), or DES (n = 117). Mean change of T7SS over the 4-week treatment period was significantly reduced in the RUP (-46.1%, P = 0.03) and DES (-48.9%, P = 0.01) groups, compared with PL. Similarly, RUP and DES were comparable and significantly superior to PL for all secondary endpoints, including nasal and conjunctival symptoms and patients' and investigator's overall clinical opinions. Symptom score evaluation (both reflective and instantaneous evaluations) throughout the treatment period showed a progressive and maintained significant improvement with both treatments at day 7 (P = 0.01), day 14 (P = 0.007), and day 21 (P = 0.01) in comparison with PL. Adverse events were scarce and were similar in both treatment groups. Electrocardiography (QTc) and lab test results did not show any relevant findings. CONCLUSION \u2026", "author" : [ { "dropping-particle" : "", "family" : "Lukat", "given" : "Kf", "non-dropping-particle" : "", "parse-names" : false, "suffix" : "" }, { "dropping-particle" : "", "family" : "Rivas", "given" : "P", "non-dropping-particle" : "", "parse-names" : false, "suffix" : "" }, { "dropping-particle" : "", "family" : "Roger", "given" : "A", "non-dropping-particle" : "", "parse-names" : false, "suffix" : "" }, { "dropping-particle" : "", "family" : "Kowalski", "given" : "Ml", "non-dropping-particle" : "", "parse-names" : false, "suffix" : "" }, { "dropping-particle" : "", "family" : "Botzen", "given" : "Ulrich", "non-dropping-particle" : "", "parse-names" : false, "suffix" : "" }, { "dropping-particle" : "", "family" : "Wessel", "given" : "Francois", "non-dropping-particle" : "", "parse-names" : false, "suffix" : "" }, { "dropping-particle" : "", "family" : "Sanquer", "given" : "Francoise", "non-dropping-particle" : "", "parse-names" : false, "suffix" : "" }, { "dropping-particle" : "", "family" : "Agache", "given" : "I", "non-dropping-particle" : "", "parse-names" : false, "suffix" : "" }, { "dropping-particle" : "", "family" : "Izquierdo", "given" : "Inaki", "non-dropping-particle" : "", "parse-names" : false, "suffix" : "" } ], "container-title" : "Journal of asthma and allergy", "id" : "ITEM-1", "issued" : { "date-parts" : [ [ "2013", "2" ] ] }, "page" : "31-9", "title" : "A direct comparison of efficacy between desloratadine and rupatadine in seasonal allergic rhinoconjunctivitis: a randomized, double-blind, placebo-controlled study.", "type" : "article-journal", "volume" : "6" }, "uris" : [ "http://www.mendeley.com/documents/?uuid=dd78dd7e-db09-44c7-b5cc-ec5152eacc59" ] } ], "mendeley" : { "formattedCitation" : "[23]", "plainTextFormattedCitation" : "[23]", "previouslyFormattedCitation" : "[23]" }, "properties" : { "noteIndex" : 1 }, "schema" : "https://github.com/citation-style-language/schema/raw/master/csl-citation.json" }</w:instrText>
            </w:r>
            <w:r w:rsidR="00372C01" w:rsidRPr="00764516">
              <w:rPr>
                <w:rFonts w:ascii="Arial" w:hAnsi="Arial" w:cs="Arial"/>
                <w:sz w:val="18"/>
                <w:szCs w:val="18"/>
                <w:lang w:val="en-GB"/>
              </w:rPr>
              <w:fldChar w:fldCharType="separate"/>
            </w:r>
            <w:r w:rsidRPr="00290DEA">
              <w:rPr>
                <w:rFonts w:ascii="Arial" w:hAnsi="Arial" w:cs="Arial"/>
                <w:noProof/>
                <w:sz w:val="18"/>
                <w:szCs w:val="18"/>
                <w:lang w:val="en-GB"/>
              </w:rPr>
              <w:t>[23]</w:t>
            </w:r>
            <w:r w:rsidR="00372C01" w:rsidRPr="00764516">
              <w:rPr>
                <w:rFonts w:ascii="Arial" w:hAnsi="Arial" w:cs="Arial"/>
                <w:sz w:val="18"/>
                <w:szCs w:val="18"/>
                <w:lang w:val="en-GB"/>
              </w:rPr>
              <w:fldChar w:fldCharType="end"/>
            </w:r>
          </w:p>
        </w:tc>
        <w:tc>
          <w:tcPr>
            <w:tcW w:w="2820"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 xml:space="preserve">Multicentre, randomized, double-blind </w:t>
            </w:r>
          </w:p>
        </w:tc>
        <w:tc>
          <w:tcPr>
            <w:tcW w:w="2043"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DES 5mg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356</w:t>
            </w:r>
          </w:p>
        </w:tc>
        <w:tc>
          <w:tcPr>
            <w:tcW w:w="1286"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T7SS</w:t>
            </w:r>
          </w:p>
        </w:tc>
        <w:tc>
          <w:tcPr>
            <w:tcW w:w="2551" w:type="dxa"/>
            <w:tcBorders>
              <w:bottom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r w:rsidRPr="00764516">
              <w:rPr>
                <w:rFonts w:ascii="Arial" w:hAnsi="Arial" w:cs="Arial"/>
                <w:sz w:val="18"/>
                <w:szCs w:val="18"/>
                <w:lang w:val="en-GB"/>
              </w:rPr>
              <w:t xml:space="preserve"> </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Tearing </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Redness</w:t>
            </w:r>
          </w:p>
        </w:tc>
        <w:tc>
          <w:tcPr>
            <w:tcW w:w="1388"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 xml:space="preserve">4 </w:t>
            </w:r>
            <w:r w:rsidRPr="00B85BE3">
              <w:rPr>
                <w:rFonts w:ascii="Arial" w:hAnsi="Arial" w:cs="Arial"/>
                <w:sz w:val="18"/>
                <w:szCs w:val="18"/>
                <w:lang w:val="en-GB"/>
              </w:rPr>
              <w:t>weeks*</w:t>
            </w:r>
          </w:p>
        </w:tc>
      </w:tr>
      <w:tr w:rsidR="00E921E3" w:rsidRPr="00764516" w:rsidTr="00A20821">
        <w:trPr>
          <w:trHeight w:val="340"/>
        </w:trPr>
        <w:tc>
          <w:tcPr>
            <w:tcW w:w="2475" w:type="dxa"/>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lastRenderedPageBreak/>
              <w:t>RD477_21212</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(data on file)</w:t>
            </w:r>
          </w:p>
        </w:tc>
        <w:tc>
          <w:tcPr>
            <w:tcW w:w="2820" w:type="dxa"/>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Multicentre, randomized</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Double blind</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Dose finding</w:t>
            </w:r>
          </w:p>
        </w:tc>
        <w:tc>
          <w:tcPr>
            <w:tcW w:w="2043" w:type="dxa"/>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w:t>
            </w:r>
            <w:r>
              <w:rPr>
                <w:rFonts w:ascii="Arial" w:hAnsi="Arial" w:cs="Arial"/>
                <w:sz w:val="18"/>
                <w:szCs w:val="18"/>
                <w:lang w:val="en-GB"/>
              </w:rPr>
              <w:t>mg</w:t>
            </w:r>
            <w:r w:rsidRPr="00764516">
              <w:rPr>
                <w:rFonts w:ascii="Arial" w:hAnsi="Arial" w:cs="Arial"/>
                <w:sz w:val="18"/>
                <w:szCs w:val="18"/>
                <w:lang w:val="en-GB"/>
              </w:rPr>
              <w:t>, 20mg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60</w:t>
            </w:r>
          </w:p>
        </w:tc>
        <w:tc>
          <w:tcPr>
            <w:tcW w:w="1286" w:type="dxa"/>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r w:rsidRPr="00764516">
              <w:rPr>
                <w:rFonts w:ascii="Arial" w:hAnsi="Arial" w:cs="Arial"/>
                <w:sz w:val="18"/>
                <w:szCs w:val="18"/>
                <w:lang w:val="en-GB"/>
              </w:rPr>
              <w:t xml:space="preserve"> </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throat</w:t>
            </w:r>
          </w:p>
        </w:tc>
        <w:tc>
          <w:tcPr>
            <w:tcW w:w="1388" w:type="dxa"/>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r w:rsidR="00E921E3" w:rsidRPr="00764516" w:rsidTr="00A20821">
        <w:trPr>
          <w:trHeight w:val="340"/>
        </w:trPr>
        <w:tc>
          <w:tcPr>
            <w:tcW w:w="2475"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RD477_22115</w:t>
            </w:r>
          </w:p>
          <w:p w:rsidR="00E921E3" w:rsidRPr="00764516" w:rsidRDefault="00E921E3" w:rsidP="00A20821">
            <w:pPr>
              <w:rPr>
                <w:rFonts w:ascii="Arial" w:hAnsi="Arial" w:cs="Arial"/>
                <w:b/>
                <w:sz w:val="18"/>
                <w:szCs w:val="18"/>
                <w:lang w:val="en-GB"/>
              </w:rPr>
            </w:pPr>
            <w:r w:rsidRPr="00764516">
              <w:rPr>
                <w:rFonts w:ascii="Arial" w:hAnsi="Arial" w:cs="Arial"/>
                <w:sz w:val="18"/>
                <w:szCs w:val="18"/>
                <w:lang w:val="en-GB"/>
              </w:rPr>
              <w:t>(data on file)</w:t>
            </w:r>
          </w:p>
        </w:tc>
        <w:tc>
          <w:tcPr>
            <w:tcW w:w="2820"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Multicentre, randomized</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Double blind</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Dose finding</w:t>
            </w:r>
          </w:p>
        </w:tc>
        <w:tc>
          <w:tcPr>
            <w:tcW w:w="2043"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w:t>
            </w:r>
            <w:r>
              <w:rPr>
                <w:rFonts w:ascii="Arial" w:hAnsi="Arial" w:cs="Arial"/>
                <w:sz w:val="18"/>
                <w:szCs w:val="18"/>
                <w:lang w:val="en-GB"/>
              </w:rPr>
              <w:t>mg</w:t>
            </w:r>
            <w:r w:rsidRPr="00764516">
              <w:rPr>
                <w:rFonts w:ascii="Arial" w:hAnsi="Arial" w:cs="Arial"/>
                <w:sz w:val="18"/>
                <w:szCs w:val="18"/>
                <w:lang w:val="en-GB"/>
              </w:rPr>
              <w:t>, 20mg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430</w:t>
            </w:r>
          </w:p>
        </w:tc>
        <w:tc>
          <w:tcPr>
            <w:tcW w:w="1286" w:type="dxa"/>
            <w:tcBorders>
              <w:bottom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tcBorders>
              <w:bottom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throat</w:t>
            </w:r>
          </w:p>
        </w:tc>
        <w:tc>
          <w:tcPr>
            <w:tcW w:w="1388" w:type="dxa"/>
            <w:tcBorders>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r w:rsidR="00E921E3" w:rsidRPr="00764516" w:rsidTr="00A20821">
        <w:trPr>
          <w:trHeight w:val="340"/>
        </w:trPr>
        <w:tc>
          <w:tcPr>
            <w:tcW w:w="2475"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URFC98III04</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(data on file)</w:t>
            </w:r>
          </w:p>
        </w:tc>
        <w:tc>
          <w:tcPr>
            <w:tcW w:w="2820"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 xml:space="preserve">Multicentre, randomized </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double-blind</w:t>
            </w:r>
          </w:p>
        </w:tc>
        <w:tc>
          <w:tcPr>
            <w:tcW w:w="2043"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RUP 10</w:t>
            </w:r>
            <w:r>
              <w:rPr>
                <w:rFonts w:ascii="Arial" w:hAnsi="Arial" w:cs="Arial"/>
                <w:sz w:val="18"/>
                <w:szCs w:val="18"/>
                <w:lang w:val="en-GB"/>
              </w:rPr>
              <w:t>mg</w:t>
            </w:r>
            <w:r w:rsidRPr="00764516">
              <w:rPr>
                <w:rFonts w:ascii="Arial" w:hAnsi="Arial" w:cs="Arial"/>
                <w:sz w:val="18"/>
                <w:szCs w:val="18"/>
                <w:lang w:val="en-GB"/>
              </w:rPr>
              <w:t>, 20mg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LOR 10mg</w:t>
            </w:r>
          </w:p>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PL</w:t>
            </w:r>
          </w:p>
        </w:tc>
        <w:tc>
          <w:tcPr>
            <w:tcW w:w="1441"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324</w:t>
            </w:r>
          </w:p>
        </w:tc>
        <w:tc>
          <w:tcPr>
            <w:tcW w:w="1286"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proofErr w:type="spellStart"/>
            <w:r w:rsidRPr="00764516">
              <w:rPr>
                <w:rFonts w:ascii="Arial" w:hAnsi="Arial" w:cs="Arial"/>
                <w:sz w:val="18"/>
                <w:szCs w:val="18"/>
                <w:lang w:val="en-GB"/>
              </w:rPr>
              <w:t>mTDSS</w:t>
            </w:r>
            <w:proofErr w:type="spellEnd"/>
          </w:p>
        </w:tc>
        <w:tc>
          <w:tcPr>
            <w:tcW w:w="2551" w:type="dxa"/>
            <w:tcBorders>
              <w:top w:val="single" w:sz="8" w:space="0" w:color="auto"/>
              <w:bottom w:val="single" w:sz="8" w:space="0" w:color="auto"/>
            </w:tcBorders>
            <w:vAlign w:val="center"/>
          </w:tcPr>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Running nose</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nose</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 xml:space="preserve">Nasal </w:t>
            </w:r>
            <w:r>
              <w:rPr>
                <w:rFonts w:ascii="Arial" w:hAnsi="Arial" w:cs="Arial"/>
                <w:sz w:val="18"/>
                <w:szCs w:val="18"/>
                <w:lang w:val="en-GB"/>
              </w:rPr>
              <w:t>congestion</w:t>
            </w:r>
            <w:r w:rsidRPr="00764516">
              <w:rPr>
                <w:rFonts w:ascii="Arial" w:hAnsi="Arial" w:cs="Arial"/>
                <w:sz w:val="18"/>
                <w:szCs w:val="18"/>
                <w:lang w:val="en-GB"/>
              </w:rPr>
              <w:t xml:space="preserve"> </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Sneezing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eyes</w:t>
            </w:r>
          </w:p>
          <w:p w:rsidR="00E921E3" w:rsidRPr="00764516" w:rsidRDefault="00E921E3" w:rsidP="00A20821">
            <w:pPr>
              <w:spacing w:line="276" w:lineRule="auto"/>
              <w:rPr>
                <w:rFonts w:ascii="Arial" w:hAnsi="Arial" w:cs="Arial"/>
                <w:sz w:val="18"/>
                <w:szCs w:val="18"/>
                <w:lang w:val="en-GB"/>
              </w:rPr>
            </w:pPr>
            <w:r w:rsidRPr="00764516">
              <w:rPr>
                <w:rFonts w:ascii="Arial" w:hAnsi="Arial" w:cs="Arial"/>
                <w:sz w:val="18"/>
                <w:szCs w:val="18"/>
                <w:lang w:val="en-GB"/>
              </w:rPr>
              <w:t>Tearing</w:t>
            </w:r>
          </w:p>
          <w:p w:rsidR="00E921E3" w:rsidRPr="00764516" w:rsidRDefault="00E921E3" w:rsidP="00A20821">
            <w:pPr>
              <w:spacing w:line="276" w:lineRule="auto"/>
              <w:rPr>
                <w:rFonts w:ascii="Arial" w:hAnsi="Arial" w:cs="Arial"/>
                <w:sz w:val="18"/>
                <w:szCs w:val="18"/>
                <w:lang w:val="en-GB"/>
              </w:rPr>
            </w:pPr>
            <w:r>
              <w:rPr>
                <w:rFonts w:ascii="Arial" w:hAnsi="Arial" w:cs="Arial"/>
                <w:sz w:val="18"/>
                <w:szCs w:val="18"/>
                <w:lang w:val="en-GB"/>
              </w:rPr>
              <w:t>Itchy throat</w:t>
            </w:r>
          </w:p>
        </w:tc>
        <w:tc>
          <w:tcPr>
            <w:tcW w:w="1388" w:type="dxa"/>
            <w:tcBorders>
              <w:top w:val="single" w:sz="8" w:space="0" w:color="auto"/>
              <w:bottom w:val="single" w:sz="8" w:space="0" w:color="auto"/>
            </w:tcBorders>
            <w:vAlign w:val="center"/>
          </w:tcPr>
          <w:p w:rsidR="00E921E3" w:rsidRPr="00764516" w:rsidRDefault="00E921E3" w:rsidP="00A20821">
            <w:pPr>
              <w:rPr>
                <w:rFonts w:ascii="Arial" w:hAnsi="Arial" w:cs="Arial"/>
                <w:sz w:val="18"/>
                <w:szCs w:val="18"/>
                <w:lang w:val="en-GB"/>
              </w:rPr>
            </w:pPr>
            <w:r w:rsidRPr="00764516">
              <w:rPr>
                <w:rFonts w:ascii="Arial" w:hAnsi="Arial" w:cs="Arial"/>
                <w:sz w:val="18"/>
                <w:szCs w:val="18"/>
                <w:lang w:val="en-GB"/>
              </w:rPr>
              <w:t>2 weeks</w:t>
            </w:r>
          </w:p>
        </w:tc>
      </w:tr>
    </w:tbl>
    <w:p w:rsidR="00E921E3" w:rsidRPr="00764516" w:rsidRDefault="00E921E3" w:rsidP="00E921E3">
      <w:pPr>
        <w:spacing w:after="0"/>
        <w:rPr>
          <w:rFonts w:ascii="Arial" w:hAnsi="Arial" w:cs="Arial"/>
          <w:lang w:val="en-GB"/>
        </w:rPr>
      </w:pPr>
    </w:p>
    <w:p w:rsidR="00E921E3" w:rsidRDefault="00E921E3" w:rsidP="00E921E3">
      <w:pPr>
        <w:spacing w:after="0"/>
        <w:jc w:val="both"/>
        <w:rPr>
          <w:rFonts w:ascii="Arial" w:hAnsi="Arial" w:cs="Arial"/>
          <w:lang w:val="en-GB"/>
        </w:rPr>
      </w:pPr>
      <w:r w:rsidRPr="00764516">
        <w:rPr>
          <w:rFonts w:ascii="Arial" w:hAnsi="Arial" w:cs="Arial"/>
          <w:lang w:val="en-GB"/>
        </w:rPr>
        <w:t>RUP</w:t>
      </w:r>
      <w:r>
        <w:rPr>
          <w:rFonts w:ascii="Arial" w:hAnsi="Arial" w:cs="Arial"/>
          <w:lang w:val="en-GB"/>
        </w:rPr>
        <w:t>,</w:t>
      </w:r>
      <w:r w:rsidRPr="00764516">
        <w:rPr>
          <w:rFonts w:ascii="Arial" w:hAnsi="Arial" w:cs="Arial"/>
          <w:lang w:val="en-GB"/>
        </w:rPr>
        <w:t xml:space="preserve"> rupatadine; DES</w:t>
      </w:r>
      <w:r>
        <w:rPr>
          <w:rFonts w:ascii="Arial" w:hAnsi="Arial" w:cs="Arial"/>
          <w:lang w:val="en-GB"/>
        </w:rPr>
        <w:t>,</w:t>
      </w:r>
      <w:r w:rsidRPr="00764516">
        <w:rPr>
          <w:rFonts w:ascii="Arial" w:hAnsi="Arial" w:cs="Arial"/>
          <w:lang w:val="en-GB"/>
        </w:rPr>
        <w:t xml:space="preserve"> desloratadine; PL</w:t>
      </w:r>
      <w:r>
        <w:rPr>
          <w:rFonts w:ascii="Arial" w:hAnsi="Arial" w:cs="Arial"/>
          <w:lang w:val="en-GB"/>
        </w:rPr>
        <w:t>,</w:t>
      </w:r>
      <w:r w:rsidRPr="00764516">
        <w:rPr>
          <w:rFonts w:ascii="Arial" w:hAnsi="Arial" w:cs="Arial"/>
          <w:lang w:val="en-GB"/>
        </w:rPr>
        <w:t xml:space="preserve"> placebo; LOR</w:t>
      </w:r>
      <w:r>
        <w:rPr>
          <w:rFonts w:ascii="Arial" w:hAnsi="Arial" w:cs="Arial"/>
          <w:lang w:val="en-GB"/>
        </w:rPr>
        <w:t>,</w:t>
      </w:r>
      <w:r w:rsidRPr="00764516">
        <w:rPr>
          <w:rFonts w:ascii="Arial" w:hAnsi="Arial" w:cs="Arial"/>
          <w:lang w:val="en-GB"/>
        </w:rPr>
        <w:t xml:space="preserve"> loratadine; EBA</w:t>
      </w:r>
      <w:r>
        <w:rPr>
          <w:rFonts w:ascii="Arial" w:hAnsi="Arial" w:cs="Arial"/>
          <w:lang w:val="en-GB"/>
        </w:rPr>
        <w:t>,</w:t>
      </w:r>
      <w:r w:rsidRPr="00764516">
        <w:rPr>
          <w:rFonts w:ascii="Arial" w:hAnsi="Arial" w:cs="Arial"/>
          <w:lang w:val="en-GB"/>
        </w:rPr>
        <w:t xml:space="preserve"> </w:t>
      </w:r>
      <w:proofErr w:type="spellStart"/>
      <w:r w:rsidRPr="00764516">
        <w:rPr>
          <w:rFonts w:ascii="Arial" w:hAnsi="Arial" w:cs="Arial"/>
          <w:lang w:val="en-GB"/>
        </w:rPr>
        <w:t>ebastine</w:t>
      </w:r>
      <w:proofErr w:type="spellEnd"/>
      <w:r w:rsidRPr="00764516">
        <w:rPr>
          <w:rFonts w:ascii="Arial" w:hAnsi="Arial" w:cs="Arial"/>
          <w:lang w:val="en-GB"/>
        </w:rPr>
        <w:t>; CET</w:t>
      </w:r>
      <w:r>
        <w:rPr>
          <w:rFonts w:ascii="Arial" w:hAnsi="Arial" w:cs="Arial"/>
          <w:lang w:val="en-GB"/>
        </w:rPr>
        <w:t>,</w:t>
      </w:r>
      <w:r w:rsidRPr="00764516">
        <w:rPr>
          <w:rFonts w:ascii="Arial" w:hAnsi="Arial" w:cs="Arial"/>
          <w:lang w:val="en-GB"/>
        </w:rPr>
        <w:t xml:space="preserve"> cetirizine;</w:t>
      </w:r>
      <w:r w:rsidRPr="00764516">
        <w:rPr>
          <w:rFonts w:ascii="Arial" w:hAnsi="Arial" w:cs="Arial"/>
          <w:sz w:val="20"/>
          <w:szCs w:val="20"/>
          <w:lang w:val="en-GB"/>
        </w:rPr>
        <w:t xml:space="preserve"> </w:t>
      </w:r>
      <w:proofErr w:type="spellStart"/>
      <w:r w:rsidRPr="00764516">
        <w:rPr>
          <w:rFonts w:ascii="Arial" w:hAnsi="Arial" w:cs="Arial"/>
          <w:lang w:val="en-GB"/>
        </w:rPr>
        <w:t>mDTSS</w:t>
      </w:r>
      <w:proofErr w:type="spellEnd"/>
      <w:r>
        <w:rPr>
          <w:rFonts w:ascii="Arial" w:hAnsi="Arial" w:cs="Arial"/>
          <w:lang w:val="en-GB"/>
        </w:rPr>
        <w:t>,</w:t>
      </w:r>
      <w:r w:rsidRPr="00764516">
        <w:rPr>
          <w:rFonts w:ascii="Arial" w:hAnsi="Arial" w:cs="Arial"/>
          <w:lang w:val="en-GB"/>
        </w:rPr>
        <w:t xml:space="preserve"> mean daily total symptom score</w:t>
      </w:r>
      <w:r>
        <w:rPr>
          <w:rFonts w:ascii="Arial" w:hAnsi="Arial" w:cs="Arial"/>
          <w:lang w:val="en-GB"/>
        </w:rPr>
        <w:t>.</w:t>
      </w:r>
    </w:p>
    <w:p w:rsidR="00E921E3" w:rsidRDefault="00E921E3" w:rsidP="00E921E3">
      <w:pPr>
        <w:spacing w:after="0"/>
        <w:jc w:val="both"/>
        <w:rPr>
          <w:rFonts w:ascii="Arial" w:hAnsi="Arial" w:cs="Arial"/>
          <w:lang w:val="en-GB"/>
        </w:rPr>
      </w:pPr>
    </w:p>
    <w:p w:rsidR="00E921E3" w:rsidRDefault="00E921E3" w:rsidP="00E921E3">
      <w:pPr>
        <w:spacing w:after="0"/>
        <w:rPr>
          <w:rFonts w:ascii="Arial" w:hAnsi="Arial" w:cs="Arial"/>
          <w:lang w:val="en-GB"/>
        </w:rPr>
      </w:pPr>
      <w:r>
        <w:rPr>
          <w:rFonts w:ascii="Arial" w:hAnsi="Arial" w:cs="Arial"/>
          <w:lang w:val="en-GB"/>
        </w:rPr>
        <w:t>* only data from the first 14 days was evaluated.</w:t>
      </w:r>
    </w:p>
    <w:p w:rsidR="00E921E3" w:rsidRDefault="00E921E3" w:rsidP="00E921E3">
      <w:pPr>
        <w:spacing w:after="0"/>
        <w:jc w:val="both"/>
        <w:rPr>
          <w:rFonts w:ascii="Arial" w:hAnsi="Arial" w:cs="Arial"/>
          <w:lang w:val="en-GB"/>
        </w:rPr>
      </w:pPr>
    </w:p>
    <w:p w:rsidR="00E921E3" w:rsidRDefault="00E921E3" w:rsidP="00E921E3">
      <w:pPr>
        <w:spacing w:after="0"/>
        <w:jc w:val="both"/>
        <w:rPr>
          <w:rFonts w:ascii="Arial" w:hAnsi="Arial" w:cs="Arial"/>
          <w:lang w:val="en-GB"/>
        </w:rPr>
      </w:pPr>
    </w:p>
    <w:p w:rsidR="00E921E3" w:rsidRDefault="00E921E3" w:rsidP="00E921E3">
      <w:pPr>
        <w:spacing w:after="0"/>
        <w:jc w:val="both"/>
        <w:rPr>
          <w:rFonts w:ascii="Arial" w:hAnsi="Arial" w:cs="Arial"/>
          <w:lang w:val="en-GB"/>
        </w:rPr>
        <w:sectPr w:rsidR="00E921E3" w:rsidSect="00154A7D">
          <w:type w:val="continuous"/>
          <w:pgSz w:w="16838" w:h="11906" w:orient="landscape"/>
          <w:pgMar w:top="1701" w:right="1417" w:bottom="1701" w:left="1417" w:header="708" w:footer="708" w:gutter="0"/>
          <w:cols w:space="708"/>
          <w:docGrid w:linePitch="360"/>
        </w:sectPr>
      </w:pPr>
    </w:p>
    <w:p w:rsidR="00E921E3" w:rsidRDefault="00E921E3" w:rsidP="00E921E3">
      <w:pPr>
        <w:spacing w:after="0" w:line="360" w:lineRule="auto"/>
        <w:jc w:val="both"/>
        <w:rPr>
          <w:rFonts w:ascii="Arial" w:hAnsi="Arial" w:cs="Arial"/>
          <w:lang w:val="en-GB"/>
        </w:rPr>
      </w:pPr>
      <w:r w:rsidRPr="00764516">
        <w:rPr>
          <w:rFonts w:ascii="Arial" w:hAnsi="Arial" w:cs="Arial"/>
          <w:b/>
          <w:lang w:val="en-GB"/>
        </w:rPr>
        <w:lastRenderedPageBreak/>
        <w:t xml:space="preserve">Table </w:t>
      </w:r>
      <w:r>
        <w:rPr>
          <w:rFonts w:ascii="Arial" w:hAnsi="Arial" w:cs="Arial"/>
          <w:b/>
          <w:lang w:val="en-GB"/>
        </w:rPr>
        <w:t>S</w:t>
      </w:r>
      <w:r w:rsidRPr="00764516">
        <w:rPr>
          <w:rFonts w:ascii="Arial" w:hAnsi="Arial" w:cs="Arial"/>
          <w:b/>
          <w:lang w:val="en-GB"/>
        </w:rPr>
        <w:t>2.</w:t>
      </w:r>
      <w:r w:rsidRPr="00764516">
        <w:rPr>
          <w:rFonts w:ascii="Arial" w:hAnsi="Arial" w:cs="Arial"/>
          <w:lang w:val="en-GB"/>
        </w:rPr>
        <w:t xml:space="preserve"> Effects of</w:t>
      </w:r>
      <w:r>
        <w:rPr>
          <w:rFonts w:ascii="Arial" w:hAnsi="Arial" w:cs="Arial"/>
          <w:lang w:val="en-GB"/>
        </w:rPr>
        <w:t xml:space="preserve"> rupatadine</w:t>
      </w:r>
      <w:r w:rsidRPr="00764516">
        <w:rPr>
          <w:rFonts w:ascii="Arial" w:hAnsi="Arial" w:cs="Arial"/>
          <w:lang w:val="en-GB"/>
        </w:rPr>
        <w:t xml:space="preserve"> treatment on </w:t>
      </w:r>
      <w:r>
        <w:rPr>
          <w:rFonts w:ascii="Arial" w:hAnsi="Arial" w:cs="Arial"/>
          <w:lang w:val="en-GB"/>
        </w:rPr>
        <w:t xml:space="preserve">total </w:t>
      </w:r>
      <w:r w:rsidRPr="00764516">
        <w:rPr>
          <w:rFonts w:ascii="Arial" w:hAnsi="Arial" w:cs="Arial"/>
          <w:lang w:val="en-GB"/>
        </w:rPr>
        <w:t>nasal symptom (T4NSS), ocular symptom (T2OSS), and total symptom (T6SS)</w:t>
      </w:r>
      <w:r>
        <w:rPr>
          <w:rFonts w:ascii="Arial" w:hAnsi="Arial" w:cs="Arial"/>
          <w:lang w:val="en-GB"/>
        </w:rPr>
        <w:t xml:space="preserve"> scores</w:t>
      </w:r>
      <w:r w:rsidRPr="00764516">
        <w:rPr>
          <w:rFonts w:ascii="Arial" w:hAnsi="Arial" w:cs="Arial"/>
          <w:lang w:val="en-GB"/>
        </w:rPr>
        <w:t xml:space="preserve">. </w:t>
      </w:r>
    </w:p>
    <w:p w:rsidR="00E921E3" w:rsidRDefault="00E921E3" w:rsidP="00E921E3">
      <w:pPr>
        <w:spacing w:after="0" w:line="360" w:lineRule="auto"/>
        <w:jc w:val="both"/>
        <w:rPr>
          <w:rFonts w:ascii="Arial" w:hAnsi="Arial" w:cs="Arial"/>
          <w:lang w:val="en-GB"/>
        </w:rPr>
      </w:pPr>
    </w:p>
    <w:p w:rsidR="00E921E3" w:rsidRPr="00764516" w:rsidRDefault="00E921E3" w:rsidP="00E921E3">
      <w:pPr>
        <w:spacing w:after="0" w:line="360" w:lineRule="auto"/>
        <w:jc w:val="both"/>
        <w:rPr>
          <w:rFonts w:ascii="Arial" w:hAnsi="Arial" w:cs="Arial"/>
          <w:lang w:val="en-GB"/>
        </w:rP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ook w:val="04A0"/>
      </w:tblPr>
      <w:tblGrid>
        <w:gridCol w:w="2213"/>
        <w:gridCol w:w="1446"/>
        <w:gridCol w:w="1752"/>
        <w:gridCol w:w="1752"/>
        <w:gridCol w:w="1557"/>
      </w:tblGrid>
      <w:tr w:rsidR="00E921E3" w:rsidRPr="00764516" w:rsidTr="00A20821">
        <w:trPr>
          <w:trHeight w:val="340"/>
        </w:trPr>
        <w:tc>
          <w:tcPr>
            <w:tcW w:w="2158" w:type="dxa"/>
            <w:tcBorders>
              <w:bottom w:val="single" w:sz="12" w:space="0" w:color="auto"/>
            </w:tcBorders>
            <w:vAlign w:val="center"/>
          </w:tcPr>
          <w:p w:rsidR="00E921E3" w:rsidRPr="00764516" w:rsidRDefault="00E921E3" w:rsidP="00A20821">
            <w:pPr>
              <w:rPr>
                <w:rFonts w:ascii="Arial" w:hAnsi="Arial" w:cs="Arial"/>
                <w:sz w:val="20"/>
                <w:szCs w:val="20"/>
                <w:lang w:val="en-GB"/>
              </w:rPr>
            </w:pPr>
          </w:p>
        </w:tc>
        <w:tc>
          <w:tcPr>
            <w:tcW w:w="1410" w:type="dxa"/>
            <w:tcBorders>
              <w:bottom w:val="single" w:sz="12" w:space="0" w:color="auto"/>
            </w:tcBorders>
            <w:vAlign w:val="center"/>
          </w:tcPr>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Placebo</w:t>
            </w:r>
          </w:p>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(N = 332)</w:t>
            </w:r>
          </w:p>
        </w:tc>
        <w:tc>
          <w:tcPr>
            <w:tcW w:w="1709" w:type="dxa"/>
            <w:tcBorders>
              <w:bottom w:val="single" w:sz="12" w:space="0" w:color="auto"/>
            </w:tcBorders>
            <w:vAlign w:val="center"/>
          </w:tcPr>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Rup 10mg</w:t>
            </w:r>
          </w:p>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(N = 662)</w:t>
            </w:r>
          </w:p>
        </w:tc>
        <w:tc>
          <w:tcPr>
            <w:tcW w:w="1709" w:type="dxa"/>
            <w:tcBorders>
              <w:bottom w:val="single" w:sz="12" w:space="0" w:color="auto"/>
            </w:tcBorders>
            <w:vAlign w:val="center"/>
          </w:tcPr>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Rup</w:t>
            </w:r>
            <w:r>
              <w:rPr>
                <w:rFonts w:ascii="Arial" w:hAnsi="Arial" w:cs="Arial"/>
                <w:b/>
                <w:sz w:val="20"/>
                <w:szCs w:val="20"/>
                <w:lang w:val="en-GB"/>
              </w:rPr>
              <w:t xml:space="preserve"> </w:t>
            </w:r>
            <w:r w:rsidRPr="00764516">
              <w:rPr>
                <w:rFonts w:ascii="Arial" w:hAnsi="Arial" w:cs="Arial"/>
                <w:b/>
                <w:sz w:val="20"/>
                <w:szCs w:val="20"/>
                <w:lang w:val="en-GB"/>
              </w:rPr>
              <w:t>20mg</w:t>
            </w:r>
          </w:p>
          <w:p w:rsidR="00E921E3" w:rsidRPr="00764516" w:rsidRDefault="00E921E3" w:rsidP="00A20821">
            <w:pPr>
              <w:jc w:val="center"/>
              <w:rPr>
                <w:rFonts w:ascii="Arial" w:hAnsi="Arial" w:cs="Arial"/>
                <w:b/>
                <w:sz w:val="20"/>
                <w:szCs w:val="20"/>
                <w:lang w:val="en-GB"/>
              </w:rPr>
            </w:pPr>
            <w:r w:rsidRPr="00764516">
              <w:rPr>
                <w:rFonts w:ascii="Arial" w:hAnsi="Arial" w:cs="Arial"/>
                <w:b/>
                <w:sz w:val="20"/>
                <w:szCs w:val="20"/>
                <w:lang w:val="en-GB"/>
              </w:rPr>
              <w:t>(N = 476)</w:t>
            </w:r>
          </w:p>
        </w:tc>
        <w:tc>
          <w:tcPr>
            <w:tcW w:w="1518" w:type="dxa"/>
            <w:tcBorders>
              <w:bottom w:val="single" w:sz="12" w:space="0" w:color="auto"/>
            </w:tcBorders>
            <w:vAlign w:val="center"/>
          </w:tcPr>
          <w:p w:rsidR="00E921E3" w:rsidRPr="00764516" w:rsidRDefault="00E921E3" w:rsidP="00A20821">
            <w:pPr>
              <w:jc w:val="center"/>
              <w:rPr>
                <w:rFonts w:ascii="Arial" w:hAnsi="Arial" w:cs="Arial"/>
                <w:b/>
                <w:sz w:val="20"/>
                <w:szCs w:val="20"/>
                <w:lang w:val="en-GB"/>
              </w:rPr>
            </w:pPr>
            <w:r>
              <w:rPr>
                <w:rFonts w:ascii="Arial" w:hAnsi="Arial" w:cs="Arial"/>
                <w:b/>
                <w:sz w:val="20"/>
                <w:szCs w:val="20"/>
                <w:lang w:val="en-GB"/>
              </w:rPr>
              <w:t>p-</w:t>
            </w:r>
            <w:proofErr w:type="spellStart"/>
            <w:r>
              <w:rPr>
                <w:rFonts w:ascii="Arial" w:hAnsi="Arial" w:cs="Arial"/>
                <w:b/>
                <w:sz w:val="20"/>
                <w:szCs w:val="20"/>
                <w:lang w:val="en-GB"/>
              </w:rPr>
              <w:t>value</w:t>
            </w:r>
            <w:r w:rsidRPr="00BD391E">
              <w:rPr>
                <w:rFonts w:ascii="Arial" w:hAnsi="Arial" w:cs="Arial"/>
                <w:b/>
                <w:sz w:val="20"/>
                <w:szCs w:val="20"/>
                <w:vertAlign w:val="superscript"/>
                <w:lang w:val="en-GB"/>
              </w:rPr>
              <w:t>a</w:t>
            </w:r>
            <w:proofErr w:type="spellEnd"/>
          </w:p>
        </w:tc>
      </w:tr>
      <w:tr w:rsidR="00E921E3" w:rsidRPr="00764516" w:rsidTr="00A20821">
        <w:trPr>
          <w:trHeight w:val="340"/>
        </w:trPr>
        <w:tc>
          <w:tcPr>
            <w:tcW w:w="2158" w:type="dxa"/>
            <w:tcBorders>
              <w:top w:val="single" w:sz="12" w:space="0" w:color="auto"/>
              <w:bottom w:val="single" w:sz="8" w:space="0" w:color="auto"/>
            </w:tcBorders>
            <w:vAlign w:val="center"/>
          </w:tcPr>
          <w:p w:rsidR="00E921E3" w:rsidRPr="00764516" w:rsidRDefault="00E921E3" w:rsidP="00A20821">
            <w:pPr>
              <w:rPr>
                <w:rFonts w:ascii="Arial" w:hAnsi="Arial" w:cs="Arial"/>
                <w:b/>
                <w:sz w:val="20"/>
                <w:szCs w:val="20"/>
                <w:lang w:val="en-GB"/>
              </w:rPr>
            </w:pPr>
            <w:proofErr w:type="spellStart"/>
            <w:r w:rsidRPr="00764516">
              <w:rPr>
                <w:rFonts w:ascii="Arial" w:hAnsi="Arial" w:cs="Arial"/>
                <w:b/>
                <w:sz w:val="20"/>
                <w:szCs w:val="20"/>
                <w:lang w:val="en-GB"/>
              </w:rPr>
              <w:t>T4NSS</w:t>
            </w:r>
            <w:proofErr w:type="spellEnd"/>
            <w:r>
              <w:rPr>
                <w:rFonts w:ascii="Arial" w:hAnsi="Arial" w:cs="Arial"/>
                <w:b/>
                <w:sz w:val="20"/>
                <w:szCs w:val="20"/>
                <w:lang w:val="en-GB"/>
              </w:rPr>
              <w:t xml:space="preserve"> (0-12)</w:t>
            </w:r>
          </w:p>
        </w:tc>
        <w:tc>
          <w:tcPr>
            <w:tcW w:w="1410" w:type="dxa"/>
            <w:tcBorders>
              <w:top w:val="single" w:sz="12" w:space="0" w:color="auto"/>
              <w:bottom w:val="single" w:sz="8" w:space="0" w:color="auto"/>
            </w:tcBorders>
            <w:vAlign w:val="center"/>
          </w:tcPr>
          <w:p w:rsidR="00E921E3" w:rsidRPr="00764516" w:rsidRDefault="00E921E3" w:rsidP="00A20821">
            <w:pPr>
              <w:jc w:val="center"/>
              <w:rPr>
                <w:rFonts w:ascii="Arial" w:hAnsi="Arial" w:cs="Arial"/>
                <w:sz w:val="20"/>
                <w:szCs w:val="20"/>
                <w:lang w:val="en-GB"/>
              </w:rPr>
            </w:pPr>
          </w:p>
        </w:tc>
        <w:tc>
          <w:tcPr>
            <w:tcW w:w="1709" w:type="dxa"/>
            <w:tcBorders>
              <w:top w:val="single" w:sz="12" w:space="0" w:color="auto"/>
              <w:bottom w:val="single" w:sz="8" w:space="0" w:color="auto"/>
            </w:tcBorders>
            <w:vAlign w:val="center"/>
          </w:tcPr>
          <w:p w:rsidR="00E921E3" w:rsidRPr="00764516" w:rsidRDefault="00E921E3" w:rsidP="00A20821">
            <w:pPr>
              <w:jc w:val="center"/>
              <w:rPr>
                <w:rFonts w:ascii="Arial" w:hAnsi="Arial" w:cs="Arial"/>
                <w:sz w:val="20"/>
                <w:szCs w:val="20"/>
                <w:lang w:val="en-GB"/>
              </w:rPr>
            </w:pPr>
          </w:p>
        </w:tc>
        <w:tc>
          <w:tcPr>
            <w:tcW w:w="1709" w:type="dxa"/>
            <w:tcBorders>
              <w:top w:val="single" w:sz="12" w:space="0" w:color="auto"/>
              <w:bottom w:val="single" w:sz="8" w:space="0" w:color="auto"/>
            </w:tcBorders>
            <w:vAlign w:val="center"/>
          </w:tcPr>
          <w:p w:rsidR="00E921E3" w:rsidRPr="00764516" w:rsidRDefault="00E921E3" w:rsidP="00A20821">
            <w:pPr>
              <w:jc w:val="center"/>
              <w:rPr>
                <w:rFonts w:ascii="Arial" w:hAnsi="Arial" w:cs="Arial"/>
                <w:sz w:val="20"/>
                <w:szCs w:val="20"/>
                <w:lang w:val="en-GB"/>
              </w:rPr>
            </w:pPr>
          </w:p>
        </w:tc>
        <w:tc>
          <w:tcPr>
            <w:tcW w:w="1518" w:type="dxa"/>
            <w:tcBorders>
              <w:top w:val="single" w:sz="12" w:space="0" w:color="auto"/>
              <w:bottom w:val="single" w:sz="8" w:space="0" w:color="auto"/>
            </w:tcBorders>
            <w:vAlign w:val="center"/>
          </w:tcPr>
          <w:p w:rsidR="00E921E3" w:rsidRPr="00764516" w:rsidRDefault="00E921E3" w:rsidP="00A20821">
            <w:pPr>
              <w:jc w:val="center"/>
              <w:rPr>
                <w:rFonts w:ascii="Arial" w:hAnsi="Arial" w:cs="Arial"/>
                <w:sz w:val="20"/>
                <w:szCs w:val="20"/>
                <w:lang w:val="en-GB"/>
              </w:rPr>
            </w:pPr>
          </w:p>
        </w:tc>
      </w:tr>
      <w:tr w:rsidR="00E921E3" w:rsidRPr="00263168" w:rsidTr="00A20821">
        <w:trPr>
          <w:trHeight w:val="340"/>
        </w:trPr>
        <w:tc>
          <w:tcPr>
            <w:tcW w:w="2158" w:type="dxa"/>
            <w:tcBorders>
              <w:bottom w:val="single" w:sz="4" w:space="0" w:color="auto"/>
            </w:tcBorders>
            <w:vAlign w:val="center"/>
          </w:tcPr>
          <w:p w:rsidR="00E921E3" w:rsidRPr="00263168" w:rsidRDefault="00E921E3" w:rsidP="00A20821">
            <w:pPr>
              <w:rPr>
                <w:rFonts w:ascii="Arial" w:hAnsi="Arial" w:cs="Arial"/>
                <w:sz w:val="20"/>
                <w:szCs w:val="20"/>
                <w:lang w:val="en-GB"/>
              </w:rPr>
            </w:pPr>
            <w:r w:rsidRPr="00263168">
              <w:rPr>
                <w:rFonts w:ascii="Arial" w:hAnsi="Arial" w:cs="Arial"/>
                <w:sz w:val="20"/>
                <w:szCs w:val="20"/>
                <w:lang w:val="en-GB"/>
              </w:rPr>
              <w:t>Day 7</w:t>
            </w:r>
          </w:p>
        </w:tc>
        <w:tc>
          <w:tcPr>
            <w:tcW w:w="1410" w:type="dxa"/>
            <w:tcBorders>
              <w:bottom w:val="single" w:sz="4"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bottom w:val="single" w:sz="4"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bottom w:val="single" w:sz="4" w:space="0" w:color="auto"/>
            </w:tcBorders>
            <w:vAlign w:val="center"/>
          </w:tcPr>
          <w:p w:rsidR="00E921E3" w:rsidRPr="00263168" w:rsidRDefault="00E921E3" w:rsidP="00A20821">
            <w:pPr>
              <w:jc w:val="center"/>
              <w:rPr>
                <w:rFonts w:ascii="Arial" w:hAnsi="Arial" w:cs="Arial"/>
                <w:sz w:val="20"/>
                <w:szCs w:val="20"/>
                <w:lang w:val="en-GB"/>
              </w:rPr>
            </w:pPr>
          </w:p>
        </w:tc>
        <w:tc>
          <w:tcPr>
            <w:tcW w:w="1518" w:type="dxa"/>
            <w:tcBorders>
              <w:bottom w:val="single" w:sz="4" w:space="0" w:color="auto"/>
            </w:tcBorders>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tcBorders>
              <w:top w:val="single" w:sz="4" w:space="0" w:color="auto"/>
              <w:bottom w:val="single" w:sz="4" w:space="0" w:color="auto"/>
            </w:tcBorders>
            <w:vAlign w:val="center"/>
          </w:tcPr>
          <w:p w:rsidR="00E921E3" w:rsidRPr="00263168" w:rsidRDefault="00E921E3" w:rsidP="00A20821">
            <w:pPr>
              <w:ind w:firstLine="174"/>
              <w:rPr>
                <w:rFonts w:ascii="Arial" w:hAnsi="Arial" w:cs="Arial"/>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(S</w:t>
            </w:r>
            <w:r w:rsidRPr="00263168">
              <w:rPr>
                <w:rFonts w:ascii="Arial" w:hAnsi="Arial" w:cs="Arial"/>
                <w:sz w:val="20"/>
                <w:szCs w:val="20"/>
                <w:lang w:val="en-GB"/>
              </w:rPr>
              <w:t>D</w:t>
            </w:r>
            <w:r>
              <w:rPr>
                <w:rFonts w:ascii="Arial" w:hAnsi="Arial" w:cs="Arial"/>
                <w:sz w:val="20"/>
                <w:szCs w:val="20"/>
                <w:lang w:val="en-GB"/>
              </w:rPr>
              <w:t>)</w:t>
            </w:r>
          </w:p>
        </w:tc>
        <w:tc>
          <w:tcPr>
            <w:tcW w:w="1410" w:type="dxa"/>
            <w:tcBorders>
              <w:top w:val="single" w:sz="4" w:space="0" w:color="auto"/>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4.</w:t>
            </w:r>
            <w:r>
              <w:rPr>
                <w:rFonts w:ascii="Arial" w:hAnsi="Arial" w:cs="Arial"/>
                <w:sz w:val="20"/>
                <w:szCs w:val="20"/>
                <w:lang w:val="en-GB"/>
              </w:rPr>
              <w:t>9</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2.</w:t>
            </w:r>
            <w:r>
              <w:rPr>
                <w:rFonts w:ascii="Arial" w:hAnsi="Arial" w:cs="Arial"/>
                <w:sz w:val="20"/>
                <w:szCs w:val="20"/>
                <w:lang w:val="en-GB"/>
              </w:rPr>
              <w:t>9)</w:t>
            </w:r>
          </w:p>
        </w:tc>
        <w:tc>
          <w:tcPr>
            <w:tcW w:w="1709" w:type="dxa"/>
            <w:tcBorders>
              <w:top w:val="single" w:sz="4" w:space="0" w:color="auto"/>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3.8 </w:t>
            </w:r>
            <w:r>
              <w:rPr>
                <w:rFonts w:ascii="Arial" w:hAnsi="Arial" w:cs="Arial"/>
                <w:sz w:val="20"/>
                <w:szCs w:val="20"/>
                <w:lang w:val="en-GB"/>
              </w:rPr>
              <w:t>(</w:t>
            </w:r>
            <w:r w:rsidRPr="00263168">
              <w:rPr>
                <w:rFonts w:ascii="Arial" w:hAnsi="Arial" w:cs="Arial"/>
                <w:sz w:val="20"/>
                <w:szCs w:val="20"/>
                <w:lang w:val="en-GB"/>
              </w:rPr>
              <w:t>2.7</w:t>
            </w:r>
            <w:r>
              <w:rPr>
                <w:rFonts w:ascii="Arial" w:hAnsi="Arial" w:cs="Arial"/>
                <w:sz w:val="20"/>
                <w:szCs w:val="20"/>
                <w:lang w:val="en-GB"/>
              </w:rPr>
              <w:t>)*</w:t>
            </w:r>
          </w:p>
        </w:tc>
        <w:tc>
          <w:tcPr>
            <w:tcW w:w="1709" w:type="dxa"/>
            <w:tcBorders>
              <w:top w:val="single" w:sz="4" w:space="0" w:color="auto"/>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3.</w:t>
            </w:r>
            <w:r>
              <w:rPr>
                <w:rFonts w:ascii="Arial" w:hAnsi="Arial" w:cs="Arial"/>
                <w:sz w:val="20"/>
                <w:szCs w:val="20"/>
                <w:lang w:val="en-GB"/>
              </w:rPr>
              <w:t>3</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2.5</w:t>
            </w:r>
            <w:r>
              <w:rPr>
                <w:rFonts w:ascii="Arial" w:hAnsi="Arial" w:cs="Arial"/>
                <w:sz w:val="20"/>
                <w:szCs w:val="20"/>
                <w:lang w:val="en-GB"/>
              </w:rPr>
              <w:t>)*</w:t>
            </w:r>
            <w:r w:rsidRPr="0006588E">
              <w:rPr>
                <w:rFonts w:ascii="Arial" w:hAnsi="Arial" w:cs="Arial"/>
                <w:sz w:val="20"/>
                <w:szCs w:val="20"/>
              </w:rPr>
              <w:t>‡</w:t>
            </w:r>
          </w:p>
        </w:tc>
        <w:tc>
          <w:tcPr>
            <w:tcW w:w="1518" w:type="dxa"/>
            <w:tcBorders>
              <w:top w:val="single" w:sz="4" w:space="0" w:color="auto"/>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06588E">
              <w:rPr>
                <w:rFonts w:ascii="Arial" w:hAnsi="Arial" w:cs="Arial"/>
                <w:sz w:val="20"/>
                <w:szCs w:val="20"/>
                <w:lang w:val="en-GB"/>
              </w:rPr>
              <w:t>&lt;0</w:t>
            </w:r>
            <w:r>
              <w:rPr>
                <w:rFonts w:ascii="Arial" w:hAnsi="Arial" w:cs="Arial"/>
                <w:sz w:val="20"/>
                <w:szCs w:val="20"/>
                <w:lang w:val="en-GB"/>
              </w:rPr>
              <w:t>.</w:t>
            </w:r>
            <w:r w:rsidRPr="0006588E">
              <w:rPr>
                <w:rFonts w:ascii="Arial" w:hAnsi="Arial" w:cs="Arial"/>
                <w:sz w:val="20"/>
                <w:szCs w:val="20"/>
                <w:lang w:val="en-GB"/>
              </w:rPr>
              <w:t>001</w:t>
            </w:r>
          </w:p>
        </w:tc>
      </w:tr>
      <w:tr w:rsidR="00E921E3" w:rsidRPr="00263168" w:rsidTr="00A20821">
        <w:trPr>
          <w:trHeight w:val="340"/>
        </w:trPr>
        <w:tc>
          <w:tcPr>
            <w:tcW w:w="2158" w:type="dxa"/>
            <w:tcBorders>
              <w:top w:val="single" w:sz="4" w:space="0" w:color="auto"/>
            </w:tcBorders>
            <w:vAlign w:val="center"/>
          </w:tcPr>
          <w:p w:rsidR="00E921E3" w:rsidRPr="00263168" w:rsidRDefault="00E921E3" w:rsidP="00A20821">
            <w:pPr>
              <w:ind w:firstLine="174"/>
              <w:rPr>
                <w:rFonts w:ascii="Arial" w:hAnsi="Arial" w:cs="Arial"/>
                <w:sz w:val="20"/>
                <w:szCs w:val="20"/>
                <w:lang w:val="en-GB"/>
              </w:rPr>
            </w:pPr>
            <w:r w:rsidRPr="00263168">
              <w:rPr>
                <w:rFonts w:ascii="Arial" w:hAnsi="Arial" w:cs="Arial"/>
                <w:sz w:val="20"/>
                <w:szCs w:val="20"/>
                <w:lang w:val="en-GB"/>
              </w:rPr>
              <w:t xml:space="preserve">% </w:t>
            </w:r>
            <w:proofErr w:type="spellStart"/>
            <w:r w:rsidRPr="00263168">
              <w:rPr>
                <w:rFonts w:ascii="Arial" w:hAnsi="Arial" w:cs="Arial"/>
                <w:sz w:val="20"/>
                <w:szCs w:val="20"/>
                <w:lang w:val="en-GB"/>
              </w:rPr>
              <w:t>change</w:t>
            </w:r>
            <w:r w:rsidRPr="00AF6333">
              <w:rPr>
                <w:rFonts w:ascii="Arial" w:hAnsi="Arial" w:cs="Arial"/>
                <w:sz w:val="20"/>
                <w:szCs w:val="20"/>
                <w:vertAlign w:val="superscript"/>
                <w:lang w:val="en-GB"/>
              </w:rPr>
              <w:t>b</w:t>
            </w:r>
            <w:proofErr w:type="spellEnd"/>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tcBorders>
              <w:top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 xml:space="preserve">39.9 </w:t>
            </w:r>
            <w:r>
              <w:rPr>
                <w:rFonts w:ascii="Arial" w:hAnsi="Arial" w:cs="Arial"/>
                <w:sz w:val="20"/>
                <w:szCs w:val="20"/>
                <w:lang w:val="en-GB"/>
              </w:rPr>
              <w:t>(</w:t>
            </w:r>
            <w:r w:rsidRPr="00263168">
              <w:rPr>
                <w:rFonts w:ascii="Arial" w:hAnsi="Arial" w:cs="Arial"/>
                <w:sz w:val="20"/>
                <w:szCs w:val="20"/>
                <w:lang w:val="en-GB"/>
              </w:rPr>
              <w:t>57.9</w:t>
            </w:r>
            <w:r>
              <w:rPr>
                <w:rFonts w:ascii="Arial" w:hAnsi="Arial" w:cs="Arial"/>
                <w:sz w:val="20"/>
                <w:szCs w:val="20"/>
                <w:lang w:val="en-GB"/>
              </w:rPr>
              <w:t>)</w:t>
            </w:r>
          </w:p>
        </w:tc>
        <w:tc>
          <w:tcPr>
            <w:tcW w:w="1709" w:type="dxa"/>
            <w:tcBorders>
              <w:top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51.6</w:t>
            </w:r>
            <w:r>
              <w:rPr>
                <w:rFonts w:ascii="Arial" w:hAnsi="Arial" w:cs="Arial"/>
                <w:color w:val="000000"/>
                <w:sz w:val="20"/>
                <w:szCs w:val="20"/>
                <w:lang w:val="en-GB"/>
              </w:rPr>
              <w:t xml:space="preserve"> </w:t>
            </w:r>
            <w:r>
              <w:rPr>
                <w:rFonts w:ascii="Arial" w:hAnsi="Arial" w:cs="Arial"/>
                <w:sz w:val="20"/>
                <w:szCs w:val="20"/>
                <w:lang w:val="en-GB"/>
              </w:rPr>
              <w:t>(48.6)</w:t>
            </w:r>
          </w:p>
        </w:tc>
        <w:tc>
          <w:tcPr>
            <w:tcW w:w="1709" w:type="dxa"/>
            <w:tcBorders>
              <w:top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58.6</w:t>
            </w:r>
            <w:r>
              <w:rPr>
                <w:rFonts w:ascii="Arial" w:hAnsi="Arial" w:cs="Arial"/>
                <w:color w:val="000000"/>
                <w:sz w:val="20"/>
                <w:szCs w:val="20"/>
                <w:lang w:val="en-GB"/>
              </w:rPr>
              <w:t xml:space="preserve"> </w:t>
            </w:r>
            <w:r>
              <w:rPr>
                <w:rFonts w:ascii="Arial" w:hAnsi="Arial" w:cs="Arial"/>
                <w:sz w:val="20"/>
                <w:szCs w:val="20"/>
                <w:lang w:val="en-GB"/>
              </w:rPr>
              <w:t>(30.2)</w:t>
            </w:r>
          </w:p>
        </w:tc>
        <w:tc>
          <w:tcPr>
            <w:tcW w:w="1518" w:type="dxa"/>
            <w:tcBorders>
              <w:top w:val="single" w:sz="4" w:space="0" w:color="auto"/>
            </w:tcBorders>
            <w:vAlign w:val="center"/>
          </w:tcPr>
          <w:p w:rsidR="00E921E3" w:rsidRPr="00263168" w:rsidRDefault="00E921E3" w:rsidP="00A20821">
            <w:pPr>
              <w:jc w:val="center"/>
              <w:rPr>
                <w:rFonts w:ascii="Arial" w:hAnsi="Arial" w:cs="Arial"/>
                <w:color w:val="000000"/>
                <w:sz w:val="20"/>
                <w:szCs w:val="20"/>
                <w:lang w:val="en-GB"/>
              </w:rPr>
            </w:pPr>
          </w:p>
        </w:tc>
      </w:tr>
      <w:tr w:rsidR="00E921E3" w:rsidRPr="00263168" w:rsidTr="00A20821">
        <w:trPr>
          <w:trHeight w:val="340"/>
        </w:trPr>
        <w:tc>
          <w:tcPr>
            <w:tcW w:w="2158" w:type="dxa"/>
            <w:vAlign w:val="center"/>
          </w:tcPr>
          <w:p w:rsidR="00E921E3" w:rsidRPr="00263168" w:rsidRDefault="00E921E3" w:rsidP="00A20821">
            <w:pPr>
              <w:rPr>
                <w:rFonts w:ascii="Arial" w:hAnsi="Arial" w:cs="Arial"/>
                <w:sz w:val="20"/>
                <w:szCs w:val="20"/>
                <w:lang w:val="en-GB"/>
              </w:rPr>
            </w:pPr>
            <w:r w:rsidRPr="00263168">
              <w:rPr>
                <w:rFonts w:ascii="Arial" w:hAnsi="Arial" w:cs="Arial"/>
                <w:sz w:val="20"/>
                <w:szCs w:val="20"/>
                <w:lang w:val="en-GB"/>
              </w:rPr>
              <w:t>Day 14</w:t>
            </w:r>
          </w:p>
        </w:tc>
        <w:tc>
          <w:tcPr>
            <w:tcW w:w="1410"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518" w:type="dxa"/>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4.3 </w:t>
            </w:r>
            <w:r>
              <w:rPr>
                <w:rFonts w:ascii="Arial" w:hAnsi="Arial" w:cs="Arial"/>
                <w:sz w:val="20"/>
                <w:szCs w:val="20"/>
                <w:lang w:val="en-GB"/>
              </w:rPr>
              <w:t>(</w:t>
            </w:r>
            <w:r w:rsidRPr="00263168">
              <w:rPr>
                <w:rFonts w:ascii="Arial" w:hAnsi="Arial" w:cs="Arial"/>
                <w:sz w:val="20"/>
                <w:szCs w:val="20"/>
                <w:lang w:val="en-GB"/>
              </w:rPr>
              <w:t>3.1</w:t>
            </w:r>
            <w:r>
              <w:rPr>
                <w:rFonts w:ascii="Arial" w:hAnsi="Arial" w:cs="Arial"/>
                <w:sz w:val="20"/>
                <w:szCs w:val="20"/>
                <w:lang w:val="en-GB"/>
              </w:rPr>
              <w:t>)</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3.3 </w:t>
            </w:r>
            <w:r>
              <w:rPr>
                <w:rFonts w:ascii="Arial" w:hAnsi="Arial" w:cs="Arial"/>
                <w:sz w:val="20"/>
                <w:szCs w:val="20"/>
                <w:lang w:val="en-GB"/>
              </w:rPr>
              <w:t>(</w:t>
            </w:r>
            <w:r w:rsidRPr="00263168">
              <w:rPr>
                <w:rFonts w:ascii="Arial" w:hAnsi="Arial" w:cs="Arial"/>
                <w:sz w:val="20"/>
                <w:szCs w:val="20"/>
                <w:lang w:val="en-GB"/>
              </w:rPr>
              <w:t>2.</w:t>
            </w:r>
            <w:r>
              <w:rPr>
                <w:rFonts w:ascii="Arial" w:hAnsi="Arial" w:cs="Arial"/>
                <w:sz w:val="20"/>
                <w:szCs w:val="20"/>
                <w:lang w:val="en-GB"/>
              </w:rPr>
              <w:t>8)*</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2.6 </w:t>
            </w:r>
            <w:r>
              <w:rPr>
                <w:rFonts w:ascii="Arial" w:hAnsi="Arial" w:cs="Arial"/>
                <w:sz w:val="20"/>
                <w:szCs w:val="20"/>
                <w:lang w:val="en-GB"/>
              </w:rPr>
              <w:t>(</w:t>
            </w:r>
            <w:r w:rsidRPr="00263168">
              <w:rPr>
                <w:rFonts w:ascii="Arial" w:hAnsi="Arial" w:cs="Arial"/>
                <w:sz w:val="20"/>
                <w:szCs w:val="20"/>
                <w:lang w:val="en-GB"/>
              </w:rPr>
              <w:t>2.5</w:t>
            </w:r>
            <w:r>
              <w:rPr>
                <w:rFonts w:ascii="Arial" w:hAnsi="Arial" w:cs="Arial"/>
                <w:sz w:val="20"/>
                <w:szCs w:val="20"/>
                <w:lang w:val="en-GB"/>
              </w:rPr>
              <w:t>)*</w:t>
            </w:r>
            <w:r w:rsidRPr="0006588E">
              <w:rPr>
                <w:rFonts w:ascii="Arial" w:hAnsi="Arial" w:cs="Arial"/>
                <w:sz w:val="20"/>
                <w:szCs w:val="20"/>
              </w:rPr>
              <w:t>‡</w:t>
            </w:r>
          </w:p>
        </w:tc>
        <w:tc>
          <w:tcPr>
            <w:tcW w:w="1518" w:type="dxa"/>
            <w:vAlign w:val="center"/>
          </w:tcPr>
          <w:p w:rsidR="00E921E3" w:rsidRPr="00263168" w:rsidRDefault="00E921E3" w:rsidP="00A20821">
            <w:pPr>
              <w:jc w:val="center"/>
              <w:rPr>
                <w:rFonts w:ascii="Arial" w:hAnsi="Arial" w:cs="Arial"/>
                <w:sz w:val="20"/>
                <w:szCs w:val="20"/>
                <w:lang w:val="en-GB"/>
              </w:rPr>
            </w:pPr>
            <w:r w:rsidRPr="0006588E">
              <w:rPr>
                <w:rFonts w:ascii="Arial" w:hAnsi="Arial" w:cs="Arial"/>
                <w:sz w:val="20"/>
                <w:szCs w:val="20"/>
                <w:lang w:val="en-GB"/>
              </w:rPr>
              <w:t>&lt;0</w:t>
            </w:r>
            <w:r>
              <w:rPr>
                <w:rFonts w:ascii="Arial" w:hAnsi="Arial" w:cs="Arial"/>
                <w:sz w:val="20"/>
                <w:szCs w:val="20"/>
                <w:lang w:val="en-GB"/>
              </w:rPr>
              <w:t>.</w:t>
            </w:r>
            <w:r w:rsidRPr="0006588E">
              <w:rPr>
                <w:rFonts w:ascii="Arial" w:hAnsi="Arial" w:cs="Arial"/>
                <w:sz w:val="20"/>
                <w:szCs w:val="20"/>
                <w:lang w:val="en-GB"/>
              </w:rPr>
              <w:t>001</w:t>
            </w: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sz w:val="20"/>
                <w:szCs w:val="20"/>
                <w:lang w:val="en-GB"/>
              </w:rPr>
            </w:pPr>
            <w:r w:rsidRPr="00263168">
              <w:rPr>
                <w:rFonts w:ascii="Arial" w:hAnsi="Arial" w:cs="Arial"/>
                <w:sz w:val="20"/>
                <w:szCs w:val="20"/>
                <w:lang w:val="en-GB"/>
              </w:rPr>
              <w:t xml:space="preserve">% change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46.3</w:t>
            </w:r>
            <w:r>
              <w:rPr>
                <w:rFonts w:ascii="Arial" w:hAnsi="Arial" w:cs="Arial"/>
                <w:color w:val="000000"/>
                <w:sz w:val="20"/>
                <w:szCs w:val="20"/>
                <w:lang w:val="en-GB"/>
              </w:rPr>
              <w:t xml:space="preserve"> </w:t>
            </w:r>
            <w:r>
              <w:rPr>
                <w:rFonts w:ascii="Arial" w:hAnsi="Arial" w:cs="Arial"/>
                <w:sz w:val="20"/>
                <w:szCs w:val="20"/>
                <w:lang w:val="en-GB"/>
              </w:rPr>
              <w:t>(70.5)</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57.9</w:t>
            </w:r>
            <w:r>
              <w:rPr>
                <w:rFonts w:ascii="Arial" w:hAnsi="Arial" w:cs="Arial"/>
                <w:color w:val="000000"/>
                <w:sz w:val="20"/>
                <w:szCs w:val="20"/>
                <w:lang w:val="en-GB"/>
              </w:rPr>
              <w:t xml:space="preserve"> (</w:t>
            </w:r>
            <w:r>
              <w:rPr>
                <w:rFonts w:ascii="Arial" w:hAnsi="Arial" w:cs="Arial"/>
                <w:sz w:val="20"/>
                <w:szCs w:val="20"/>
                <w:lang w:val="en-GB"/>
              </w:rPr>
              <w:t>51.9)</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66.5</w:t>
            </w:r>
            <w:r>
              <w:rPr>
                <w:rFonts w:ascii="Arial" w:hAnsi="Arial" w:cs="Arial"/>
                <w:color w:val="000000"/>
                <w:sz w:val="20"/>
                <w:szCs w:val="20"/>
                <w:lang w:val="en-GB"/>
              </w:rPr>
              <w:t xml:space="preserve"> </w:t>
            </w:r>
            <w:r>
              <w:rPr>
                <w:rFonts w:ascii="Arial" w:hAnsi="Arial" w:cs="Arial"/>
                <w:sz w:val="20"/>
                <w:szCs w:val="20"/>
                <w:lang w:val="en-GB"/>
              </w:rPr>
              <w:t>(30.2)</w:t>
            </w:r>
          </w:p>
        </w:tc>
        <w:tc>
          <w:tcPr>
            <w:tcW w:w="1518" w:type="dxa"/>
            <w:vAlign w:val="center"/>
          </w:tcPr>
          <w:p w:rsidR="00E921E3" w:rsidRPr="00263168" w:rsidRDefault="00E921E3" w:rsidP="00A20821">
            <w:pPr>
              <w:jc w:val="center"/>
              <w:rPr>
                <w:rFonts w:ascii="Arial" w:hAnsi="Arial" w:cs="Arial"/>
                <w:color w:val="000000"/>
                <w:sz w:val="20"/>
                <w:szCs w:val="20"/>
                <w:lang w:val="en-GB"/>
              </w:rPr>
            </w:pPr>
          </w:p>
        </w:tc>
      </w:tr>
      <w:tr w:rsidR="00E921E3" w:rsidRPr="00263168" w:rsidTr="00A20821">
        <w:trPr>
          <w:trHeight w:val="340"/>
        </w:trPr>
        <w:tc>
          <w:tcPr>
            <w:tcW w:w="2158" w:type="dxa"/>
            <w:tcBorders>
              <w:bottom w:val="single" w:sz="8" w:space="0" w:color="auto"/>
            </w:tcBorders>
            <w:vAlign w:val="center"/>
          </w:tcPr>
          <w:p w:rsidR="00E921E3" w:rsidRPr="00263168" w:rsidRDefault="00E921E3" w:rsidP="00A20821">
            <w:pPr>
              <w:rPr>
                <w:rFonts w:ascii="Arial" w:hAnsi="Arial" w:cs="Arial"/>
                <w:b/>
                <w:sz w:val="20"/>
                <w:szCs w:val="20"/>
                <w:lang w:val="en-GB"/>
              </w:rPr>
            </w:pPr>
            <w:r w:rsidRPr="00263168">
              <w:rPr>
                <w:rFonts w:ascii="Arial" w:hAnsi="Arial" w:cs="Arial"/>
                <w:b/>
                <w:sz w:val="20"/>
                <w:szCs w:val="20"/>
                <w:lang w:val="en-GB"/>
              </w:rPr>
              <w:t>T2OSS (0-6)</w:t>
            </w:r>
          </w:p>
        </w:tc>
        <w:tc>
          <w:tcPr>
            <w:tcW w:w="1410" w:type="dxa"/>
            <w:tcBorders>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518" w:type="dxa"/>
            <w:tcBorders>
              <w:bottom w:val="single" w:sz="8" w:space="0" w:color="auto"/>
            </w:tcBorders>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tcBorders>
              <w:top w:val="single" w:sz="8" w:space="0" w:color="auto"/>
            </w:tcBorders>
            <w:vAlign w:val="center"/>
          </w:tcPr>
          <w:p w:rsidR="00E921E3" w:rsidRPr="00263168" w:rsidRDefault="00E921E3" w:rsidP="00A20821">
            <w:pPr>
              <w:ind w:left="29"/>
              <w:rPr>
                <w:rFonts w:ascii="Arial" w:hAnsi="Arial" w:cs="Arial"/>
                <w:sz w:val="20"/>
                <w:szCs w:val="20"/>
                <w:lang w:val="en-GB"/>
              </w:rPr>
            </w:pPr>
            <w:r w:rsidRPr="00263168">
              <w:rPr>
                <w:rFonts w:ascii="Arial" w:hAnsi="Arial" w:cs="Arial"/>
                <w:sz w:val="20"/>
                <w:szCs w:val="20"/>
                <w:lang w:val="en-GB"/>
              </w:rPr>
              <w:t>Day 7</w:t>
            </w:r>
          </w:p>
        </w:tc>
        <w:tc>
          <w:tcPr>
            <w:tcW w:w="1410"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518" w:type="dxa"/>
            <w:tcBorders>
              <w:top w:val="single" w:sz="8" w:space="0" w:color="auto"/>
            </w:tcBorders>
            <w:vAlign w:val="center"/>
          </w:tcPr>
          <w:p w:rsidR="00E921E3" w:rsidRPr="00263168" w:rsidRDefault="00E921E3" w:rsidP="00A20821">
            <w:pPr>
              <w:jc w:val="center"/>
              <w:rPr>
                <w:rFonts w:ascii="Arial" w:hAnsi="Arial" w:cs="Arial"/>
                <w:color w:val="000000"/>
                <w:sz w:val="20"/>
                <w:szCs w:val="20"/>
                <w:lang w:val="en-GB"/>
              </w:rPr>
            </w:pPr>
          </w:p>
        </w:tc>
      </w:tr>
      <w:tr w:rsidR="00E921E3" w:rsidRPr="00263168" w:rsidTr="00A20821">
        <w:trPr>
          <w:trHeight w:val="340"/>
        </w:trPr>
        <w:tc>
          <w:tcPr>
            <w:tcW w:w="2158" w:type="dxa"/>
            <w:vAlign w:val="center"/>
          </w:tcPr>
          <w:p w:rsidR="00E921E3" w:rsidRPr="00263168" w:rsidRDefault="00E921E3" w:rsidP="00A20821">
            <w:pPr>
              <w:ind w:firstLine="174"/>
              <w:jc w:val="both"/>
              <w:rPr>
                <w:rFonts w:ascii="Arial" w:hAnsi="Arial" w:cs="Arial"/>
                <w:b/>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1.</w:t>
            </w:r>
            <w:r>
              <w:rPr>
                <w:rFonts w:ascii="Arial" w:hAnsi="Arial" w:cs="Arial"/>
                <w:sz w:val="20"/>
                <w:szCs w:val="20"/>
                <w:lang w:val="en-GB"/>
              </w:rPr>
              <w:t>8</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1.6</w:t>
            </w:r>
            <w:r>
              <w:rPr>
                <w:rFonts w:ascii="Arial" w:hAnsi="Arial" w:cs="Arial"/>
                <w:sz w:val="20"/>
                <w:szCs w:val="20"/>
                <w:lang w:val="en-GB"/>
              </w:rPr>
              <w:t>)</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1.</w:t>
            </w:r>
            <w:r>
              <w:rPr>
                <w:rFonts w:ascii="Arial" w:hAnsi="Arial" w:cs="Arial"/>
                <w:sz w:val="20"/>
                <w:szCs w:val="20"/>
                <w:lang w:val="en-GB"/>
              </w:rPr>
              <w:t>2</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1.4</w:t>
            </w:r>
            <w:r>
              <w:rPr>
                <w:rFonts w:ascii="Arial" w:hAnsi="Arial" w:cs="Arial"/>
                <w:sz w:val="20"/>
                <w:szCs w:val="20"/>
                <w:lang w:val="en-GB"/>
              </w:rPr>
              <w:t>)*</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0.95 </w:t>
            </w:r>
            <w:r>
              <w:rPr>
                <w:rFonts w:ascii="Arial" w:hAnsi="Arial" w:cs="Arial"/>
                <w:sz w:val="20"/>
                <w:szCs w:val="20"/>
                <w:lang w:val="en-GB"/>
              </w:rPr>
              <w:t>(</w:t>
            </w:r>
            <w:r w:rsidRPr="00263168">
              <w:rPr>
                <w:rFonts w:ascii="Arial" w:hAnsi="Arial" w:cs="Arial"/>
                <w:sz w:val="20"/>
                <w:szCs w:val="20"/>
                <w:lang w:val="en-GB"/>
              </w:rPr>
              <w:t>1.</w:t>
            </w:r>
            <w:r>
              <w:rPr>
                <w:rFonts w:ascii="Arial" w:hAnsi="Arial" w:cs="Arial"/>
                <w:sz w:val="20"/>
                <w:szCs w:val="20"/>
                <w:lang w:val="en-GB"/>
              </w:rPr>
              <w:t>3)*</w:t>
            </w:r>
          </w:p>
        </w:tc>
        <w:tc>
          <w:tcPr>
            <w:tcW w:w="1518" w:type="dxa"/>
            <w:vAlign w:val="center"/>
          </w:tcPr>
          <w:p w:rsidR="00E921E3" w:rsidRPr="00263168" w:rsidRDefault="00E921E3" w:rsidP="00A20821">
            <w:pPr>
              <w:jc w:val="center"/>
              <w:rPr>
                <w:rFonts w:ascii="Arial" w:hAnsi="Arial" w:cs="Arial"/>
                <w:sz w:val="20"/>
                <w:szCs w:val="20"/>
                <w:lang w:val="en-GB"/>
              </w:rPr>
            </w:pPr>
            <w:r w:rsidRPr="0006588E">
              <w:rPr>
                <w:rFonts w:ascii="Arial" w:hAnsi="Arial" w:cs="Arial"/>
                <w:sz w:val="20"/>
                <w:szCs w:val="20"/>
                <w:lang w:val="en-GB"/>
              </w:rPr>
              <w:t>0</w:t>
            </w:r>
            <w:r>
              <w:rPr>
                <w:rFonts w:ascii="Arial" w:hAnsi="Arial" w:cs="Arial"/>
                <w:sz w:val="20"/>
                <w:szCs w:val="20"/>
                <w:lang w:val="en-GB"/>
              </w:rPr>
              <w:t>.</w:t>
            </w:r>
            <w:r w:rsidRPr="0006588E">
              <w:rPr>
                <w:rFonts w:ascii="Arial" w:hAnsi="Arial" w:cs="Arial"/>
                <w:sz w:val="20"/>
                <w:szCs w:val="20"/>
                <w:lang w:val="en-GB"/>
              </w:rPr>
              <w:t>031</w:t>
            </w:r>
          </w:p>
        </w:tc>
      </w:tr>
      <w:tr w:rsidR="00E921E3" w:rsidRPr="00263168" w:rsidTr="00A20821">
        <w:trPr>
          <w:trHeight w:val="340"/>
        </w:trPr>
        <w:tc>
          <w:tcPr>
            <w:tcW w:w="2158" w:type="dxa"/>
            <w:vAlign w:val="center"/>
          </w:tcPr>
          <w:p w:rsidR="00E921E3" w:rsidRPr="00263168" w:rsidRDefault="00E921E3" w:rsidP="00A20821">
            <w:pPr>
              <w:ind w:firstLine="174"/>
              <w:jc w:val="both"/>
              <w:rPr>
                <w:rFonts w:ascii="Arial" w:hAnsi="Arial" w:cs="Arial"/>
                <w:b/>
                <w:sz w:val="20"/>
                <w:szCs w:val="20"/>
                <w:lang w:val="en-GB"/>
              </w:rPr>
            </w:pPr>
            <w:r w:rsidRPr="00263168">
              <w:rPr>
                <w:rFonts w:ascii="Arial" w:hAnsi="Arial" w:cs="Arial"/>
                <w:sz w:val="20"/>
                <w:szCs w:val="20"/>
                <w:lang w:val="en-GB"/>
              </w:rPr>
              <w:t xml:space="preserve">% change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w:t>
            </w:r>
            <w:r>
              <w:rPr>
                <w:rFonts w:ascii="Arial" w:hAnsi="Arial" w:cs="Arial"/>
                <w:sz w:val="20"/>
                <w:szCs w:val="20"/>
                <w:lang w:val="en-GB"/>
              </w:rPr>
              <w:t xml:space="preserve"> </w:t>
            </w:r>
            <w:r w:rsidRPr="00263168">
              <w:rPr>
                <w:rFonts w:ascii="Arial" w:hAnsi="Arial" w:cs="Arial"/>
                <w:sz w:val="20"/>
                <w:szCs w:val="20"/>
                <w:lang w:val="en-GB"/>
              </w:rPr>
              <w:t>43.7</w:t>
            </w:r>
            <w:r>
              <w:rPr>
                <w:rFonts w:ascii="Arial" w:hAnsi="Arial" w:cs="Arial"/>
                <w:sz w:val="20"/>
                <w:szCs w:val="20"/>
                <w:lang w:val="en-GB"/>
              </w:rPr>
              <w:t xml:space="preserve"> (8.6)</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w:t>
            </w:r>
            <w:r>
              <w:rPr>
                <w:rFonts w:ascii="Arial" w:hAnsi="Arial" w:cs="Arial"/>
                <w:sz w:val="20"/>
                <w:szCs w:val="20"/>
                <w:lang w:val="en-GB"/>
              </w:rPr>
              <w:t xml:space="preserve"> </w:t>
            </w:r>
            <w:r w:rsidRPr="00263168">
              <w:rPr>
                <w:rFonts w:ascii="Arial" w:hAnsi="Arial" w:cs="Arial"/>
                <w:sz w:val="20"/>
                <w:szCs w:val="20"/>
                <w:lang w:val="en-GB"/>
              </w:rPr>
              <w:t>59.2</w:t>
            </w:r>
            <w:r>
              <w:rPr>
                <w:rFonts w:ascii="Arial" w:hAnsi="Arial" w:cs="Arial"/>
                <w:sz w:val="20"/>
                <w:szCs w:val="20"/>
                <w:lang w:val="en-GB"/>
              </w:rPr>
              <w:t xml:space="preserve"> (14.5)</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w:t>
            </w:r>
            <w:r>
              <w:rPr>
                <w:rFonts w:ascii="Arial" w:hAnsi="Arial" w:cs="Arial"/>
                <w:sz w:val="20"/>
                <w:szCs w:val="20"/>
                <w:lang w:val="en-GB"/>
              </w:rPr>
              <w:t xml:space="preserve"> </w:t>
            </w:r>
            <w:r w:rsidRPr="00263168">
              <w:rPr>
                <w:rFonts w:ascii="Arial" w:hAnsi="Arial" w:cs="Arial"/>
                <w:sz w:val="20"/>
                <w:szCs w:val="20"/>
                <w:lang w:val="en-GB"/>
              </w:rPr>
              <w:t>65.5</w:t>
            </w:r>
            <w:r>
              <w:rPr>
                <w:rFonts w:ascii="Arial" w:hAnsi="Arial" w:cs="Arial"/>
                <w:sz w:val="20"/>
                <w:szCs w:val="20"/>
                <w:lang w:val="en-GB"/>
              </w:rPr>
              <w:t xml:space="preserve"> (29.1)</w:t>
            </w:r>
          </w:p>
        </w:tc>
        <w:tc>
          <w:tcPr>
            <w:tcW w:w="1518" w:type="dxa"/>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vAlign w:val="center"/>
          </w:tcPr>
          <w:p w:rsidR="00E921E3" w:rsidRPr="00263168" w:rsidRDefault="00E921E3" w:rsidP="00A20821">
            <w:pPr>
              <w:jc w:val="both"/>
              <w:rPr>
                <w:rFonts w:ascii="Arial" w:hAnsi="Arial" w:cs="Arial"/>
                <w:b/>
                <w:sz w:val="20"/>
                <w:szCs w:val="20"/>
                <w:lang w:val="en-GB"/>
              </w:rPr>
            </w:pPr>
            <w:r w:rsidRPr="00263168">
              <w:rPr>
                <w:rFonts w:ascii="Arial" w:hAnsi="Arial" w:cs="Arial"/>
                <w:sz w:val="20"/>
                <w:szCs w:val="20"/>
                <w:lang w:val="en-GB"/>
              </w:rPr>
              <w:t>Day 14</w:t>
            </w:r>
          </w:p>
        </w:tc>
        <w:tc>
          <w:tcPr>
            <w:tcW w:w="1410"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518" w:type="dxa"/>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tcBorders>
              <w:bottom w:val="single" w:sz="4" w:space="0" w:color="auto"/>
            </w:tcBorders>
            <w:vAlign w:val="center"/>
          </w:tcPr>
          <w:p w:rsidR="00E921E3" w:rsidRPr="00263168" w:rsidRDefault="00E921E3" w:rsidP="00A20821">
            <w:pPr>
              <w:ind w:firstLine="174"/>
              <w:rPr>
                <w:rFonts w:ascii="Arial" w:hAnsi="Arial" w:cs="Arial"/>
                <w:b/>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tcBorders>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1.</w:t>
            </w:r>
            <w:r>
              <w:rPr>
                <w:rFonts w:ascii="Arial" w:hAnsi="Arial" w:cs="Arial"/>
                <w:sz w:val="20"/>
                <w:szCs w:val="20"/>
                <w:lang w:val="en-GB"/>
              </w:rPr>
              <w:t>6</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1.6</w:t>
            </w:r>
            <w:r>
              <w:rPr>
                <w:rFonts w:ascii="Arial" w:hAnsi="Arial" w:cs="Arial"/>
                <w:sz w:val="20"/>
                <w:szCs w:val="20"/>
                <w:lang w:val="en-GB"/>
              </w:rPr>
              <w:t>)</w:t>
            </w:r>
          </w:p>
        </w:tc>
        <w:tc>
          <w:tcPr>
            <w:tcW w:w="1709" w:type="dxa"/>
            <w:tcBorders>
              <w:bottom w:val="single" w:sz="4" w:space="0" w:color="auto"/>
            </w:tcBorders>
            <w:vAlign w:val="center"/>
          </w:tcPr>
          <w:p w:rsidR="00E921E3" w:rsidRPr="00263168" w:rsidRDefault="00E921E3" w:rsidP="00A20821">
            <w:pPr>
              <w:jc w:val="center"/>
              <w:rPr>
                <w:rFonts w:ascii="Arial" w:eastAsia="Times New Roman" w:hAnsi="Arial" w:cs="Arial"/>
                <w:color w:val="000000"/>
                <w:sz w:val="20"/>
                <w:szCs w:val="20"/>
                <w:lang w:val="en-GB" w:eastAsia="en-GB"/>
              </w:rPr>
            </w:pPr>
            <w:r w:rsidRPr="00263168">
              <w:rPr>
                <w:rFonts w:ascii="Arial" w:eastAsia="Times New Roman" w:hAnsi="Arial" w:cs="Arial"/>
                <w:color w:val="000000"/>
                <w:sz w:val="20"/>
                <w:szCs w:val="20"/>
                <w:lang w:val="en-GB" w:eastAsia="en-GB"/>
              </w:rPr>
              <w:t xml:space="preserve">1.0 </w:t>
            </w:r>
            <w:r>
              <w:rPr>
                <w:rFonts w:ascii="Arial" w:eastAsia="Times New Roman" w:hAnsi="Arial" w:cs="Arial"/>
                <w:color w:val="000000"/>
                <w:sz w:val="20"/>
                <w:szCs w:val="20"/>
                <w:lang w:val="en-GB" w:eastAsia="en-GB"/>
              </w:rPr>
              <w:t>(</w:t>
            </w:r>
            <w:r w:rsidRPr="00263168">
              <w:rPr>
                <w:rFonts w:ascii="Arial" w:eastAsia="Times New Roman" w:hAnsi="Arial" w:cs="Arial"/>
                <w:color w:val="000000"/>
                <w:sz w:val="20"/>
                <w:szCs w:val="20"/>
                <w:lang w:val="en-GB" w:eastAsia="en-GB"/>
              </w:rPr>
              <w:t>1.</w:t>
            </w:r>
            <w:r>
              <w:rPr>
                <w:rFonts w:ascii="Arial" w:eastAsia="Times New Roman" w:hAnsi="Arial" w:cs="Arial"/>
                <w:color w:val="000000"/>
                <w:sz w:val="20"/>
                <w:szCs w:val="20"/>
                <w:lang w:val="en-GB" w:eastAsia="en-GB"/>
              </w:rPr>
              <w:t>4)</w:t>
            </w:r>
          </w:p>
        </w:tc>
        <w:tc>
          <w:tcPr>
            <w:tcW w:w="1709" w:type="dxa"/>
            <w:tcBorders>
              <w:bottom w:val="single" w:sz="4" w:space="0" w:color="auto"/>
            </w:tcBorders>
            <w:vAlign w:val="center"/>
          </w:tcPr>
          <w:p w:rsidR="00E921E3" w:rsidRPr="00263168" w:rsidRDefault="00E921E3" w:rsidP="00A20821">
            <w:pPr>
              <w:jc w:val="center"/>
              <w:rPr>
                <w:rFonts w:ascii="Arial" w:eastAsia="Times New Roman" w:hAnsi="Arial" w:cs="Arial"/>
                <w:color w:val="000000"/>
                <w:sz w:val="20"/>
                <w:szCs w:val="20"/>
                <w:lang w:val="en-GB" w:eastAsia="en-GB"/>
              </w:rPr>
            </w:pPr>
            <w:r w:rsidRPr="00263168">
              <w:rPr>
                <w:rFonts w:ascii="Arial" w:eastAsia="Times New Roman" w:hAnsi="Arial" w:cs="Arial"/>
                <w:color w:val="000000"/>
                <w:sz w:val="20"/>
                <w:szCs w:val="20"/>
                <w:lang w:val="en-GB" w:eastAsia="en-GB"/>
              </w:rPr>
              <w:t xml:space="preserve">0.79 </w:t>
            </w:r>
            <w:r>
              <w:rPr>
                <w:rFonts w:ascii="Arial" w:eastAsia="Times New Roman" w:hAnsi="Arial" w:cs="Arial"/>
                <w:color w:val="000000"/>
                <w:sz w:val="20"/>
                <w:szCs w:val="20"/>
                <w:lang w:val="en-GB" w:eastAsia="en-GB"/>
              </w:rPr>
              <w:t>(</w:t>
            </w:r>
            <w:r w:rsidRPr="00263168">
              <w:rPr>
                <w:rFonts w:ascii="Arial" w:eastAsia="Times New Roman" w:hAnsi="Arial" w:cs="Arial"/>
                <w:color w:val="000000"/>
                <w:sz w:val="20"/>
                <w:szCs w:val="20"/>
                <w:lang w:val="en-GB" w:eastAsia="en-GB"/>
              </w:rPr>
              <w:t>1.2</w:t>
            </w:r>
            <w:r>
              <w:rPr>
                <w:rFonts w:ascii="Arial" w:eastAsia="Times New Roman" w:hAnsi="Arial" w:cs="Arial"/>
                <w:color w:val="000000"/>
                <w:sz w:val="20"/>
                <w:szCs w:val="20"/>
                <w:lang w:val="en-GB" w:eastAsia="en-GB"/>
              </w:rPr>
              <w:t>)</w:t>
            </w:r>
          </w:p>
        </w:tc>
        <w:tc>
          <w:tcPr>
            <w:tcW w:w="1518" w:type="dxa"/>
            <w:tcBorders>
              <w:bottom w:val="single" w:sz="4" w:space="0" w:color="auto"/>
            </w:tcBorders>
            <w:vAlign w:val="center"/>
          </w:tcPr>
          <w:p w:rsidR="00E921E3" w:rsidRPr="00263168" w:rsidRDefault="00E921E3" w:rsidP="00A20821">
            <w:pPr>
              <w:jc w:val="cente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NS</w:t>
            </w:r>
          </w:p>
        </w:tc>
      </w:tr>
      <w:tr w:rsidR="00E921E3" w:rsidRPr="00263168" w:rsidTr="00A20821">
        <w:trPr>
          <w:trHeight w:val="340"/>
        </w:trPr>
        <w:tc>
          <w:tcPr>
            <w:tcW w:w="2158" w:type="dxa"/>
            <w:tcBorders>
              <w:top w:val="single" w:sz="4" w:space="0" w:color="auto"/>
              <w:bottom w:val="single" w:sz="4" w:space="0" w:color="auto"/>
            </w:tcBorders>
            <w:vAlign w:val="center"/>
          </w:tcPr>
          <w:p w:rsidR="00E921E3" w:rsidRPr="00263168" w:rsidRDefault="00E921E3" w:rsidP="00A20821">
            <w:pPr>
              <w:ind w:firstLine="174"/>
              <w:rPr>
                <w:rFonts w:ascii="Arial" w:hAnsi="Arial" w:cs="Arial"/>
                <w:b/>
                <w:sz w:val="20"/>
                <w:szCs w:val="20"/>
                <w:lang w:val="en-GB"/>
              </w:rPr>
            </w:pPr>
            <w:r w:rsidRPr="00263168">
              <w:rPr>
                <w:rFonts w:ascii="Arial" w:hAnsi="Arial" w:cs="Arial"/>
                <w:sz w:val="20"/>
                <w:szCs w:val="20"/>
                <w:lang w:val="en-GB"/>
              </w:rPr>
              <w:t xml:space="preserve">% change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tcBorders>
              <w:top w:val="single" w:sz="4" w:space="0" w:color="auto"/>
              <w:bottom w:val="single" w:sz="4" w:space="0" w:color="auto"/>
            </w:tcBorders>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50.9</w:t>
            </w:r>
            <w:r>
              <w:rPr>
                <w:rFonts w:ascii="Arial" w:hAnsi="Arial" w:cs="Arial"/>
                <w:color w:val="000000"/>
                <w:sz w:val="20"/>
                <w:szCs w:val="20"/>
                <w:lang w:val="en-GB"/>
              </w:rPr>
              <w:t xml:space="preserve"> </w:t>
            </w:r>
            <w:r>
              <w:rPr>
                <w:rFonts w:ascii="Arial" w:hAnsi="Arial" w:cs="Arial"/>
                <w:sz w:val="20"/>
                <w:szCs w:val="20"/>
                <w:lang w:val="en-GB"/>
              </w:rPr>
              <w:t>(7.9)</w:t>
            </w:r>
          </w:p>
        </w:tc>
        <w:tc>
          <w:tcPr>
            <w:tcW w:w="1709" w:type="dxa"/>
            <w:tcBorders>
              <w:top w:val="single" w:sz="4" w:space="0" w:color="auto"/>
              <w:bottom w:val="single" w:sz="4" w:space="0" w:color="auto"/>
            </w:tcBorders>
            <w:vAlign w:val="center"/>
          </w:tcPr>
          <w:p w:rsidR="00E921E3" w:rsidRPr="00263168" w:rsidRDefault="00E921E3" w:rsidP="00A20821">
            <w:pPr>
              <w:jc w:val="center"/>
              <w:rPr>
                <w:rFonts w:ascii="Arial" w:eastAsia="Times New Roman" w:hAnsi="Arial" w:cs="Arial"/>
                <w:color w:val="000000"/>
                <w:sz w:val="20"/>
                <w:szCs w:val="20"/>
                <w:lang w:val="en-GB" w:eastAsia="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64.0</w:t>
            </w:r>
            <w:r>
              <w:rPr>
                <w:rFonts w:ascii="Arial" w:hAnsi="Arial" w:cs="Arial"/>
                <w:color w:val="000000"/>
                <w:sz w:val="20"/>
                <w:szCs w:val="20"/>
                <w:lang w:val="en-GB"/>
              </w:rPr>
              <w:t xml:space="preserve"> </w:t>
            </w:r>
            <w:r>
              <w:rPr>
                <w:rFonts w:ascii="Arial" w:hAnsi="Arial" w:cs="Arial"/>
                <w:sz w:val="20"/>
                <w:szCs w:val="20"/>
                <w:lang w:val="en-GB"/>
              </w:rPr>
              <w:t>(16.4)</w:t>
            </w:r>
          </w:p>
        </w:tc>
        <w:tc>
          <w:tcPr>
            <w:tcW w:w="1709" w:type="dxa"/>
            <w:tcBorders>
              <w:top w:val="single" w:sz="4" w:space="0" w:color="auto"/>
              <w:bottom w:val="single" w:sz="4" w:space="0" w:color="auto"/>
            </w:tcBorders>
            <w:vAlign w:val="center"/>
          </w:tcPr>
          <w:p w:rsidR="00E921E3" w:rsidRPr="00263168" w:rsidRDefault="00E921E3" w:rsidP="00A20821">
            <w:pPr>
              <w:jc w:val="center"/>
              <w:rPr>
                <w:rFonts w:ascii="Arial" w:eastAsia="Times New Roman" w:hAnsi="Arial" w:cs="Arial"/>
                <w:color w:val="000000"/>
                <w:sz w:val="20"/>
                <w:szCs w:val="20"/>
                <w:lang w:val="en-GB" w:eastAsia="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71.3</w:t>
            </w:r>
            <w:r>
              <w:rPr>
                <w:rFonts w:ascii="Arial" w:hAnsi="Arial" w:cs="Arial"/>
                <w:color w:val="000000"/>
                <w:sz w:val="20"/>
                <w:szCs w:val="20"/>
                <w:lang w:val="en-GB"/>
              </w:rPr>
              <w:t xml:space="preserve"> </w:t>
            </w:r>
            <w:r>
              <w:rPr>
                <w:rFonts w:ascii="Arial" w:hAnsi="Arial" w:cs="Arial"/>
                <w:sz w:val="20"/>
                <w:szCs w:val="20"/>
                <w:lang w:val="en-GB"/>
              </w:rPr>
              <w:t>(31.8)</w:t>
            </w:r>
          </w:p>
        </w:tc>
        <w:tc>
          <w:tcPr>
            <w:tcW w:w="1518" w:type="dxa"/>
            <w:tcBorders>
              <w:top w:val="single" w:sz="4" w:space="0" w:color="auto"/>
              <w:bottom w:val="single" w:sz="4" w:space="0" w:color="auto"/>
            </w:tcBorders>
            <w:vAlign w:val="center"/>
          </w:tcPr>
          <w:p w:rsidR="00E921E3" w:rsidRPr="00263168" w:rsidRDefault="00E921E3" w:rsidP="00A20821">
            <w:pPr>
              <w:jc w:val="center"/>
              <w:rPr>
                <w:rFonts w:ascii="Arial" w:hAnsi="Arial" w:cs="Arial"/>
                <w:color w:val="000000"/>
                <w:sz w:val="20"/>
                <w:szCs w:val="20"/>
                <w:lang w:val="en-GB"/>
              </w:rPr>
            </w:pPr>
          </w:p>
        </w:tc>
      </w:tr>
      <w:tr w:rsidR="00E921E3" w:rsidRPr="00263168" w:rsidTr="00A20821">
        <w:trPr>
          <w:trHeight w:val="340"/>
        </w:trPr>
        <w:tc>
          <w:tcPr>
            <w:tcW w:w="2158" w:type="dxa"/>
            <w:tcBorders>
              <w:top w:val="single" w:sz="4" w:space="0" w:color="auto"/>
              <w:bottom w:val="single" w:sz="8" w:space="0" w:color="auto"/>
            </w:tcBorders>
            <w:vAlign w:val="center"/>
          </w:tcPr>
          <w:p w:rsidR="00E921E3" w:rsidRPr="00263168" w:rsidRDefault="00E921E3" w:rsidP="00A20821">
            <w:pPr>
              <w:rPr>
                <w:rFonts w:ascii="Arial" w:hAnsi="Arial" w:cs="Arial"/>
                <w:b/>
                <w:sz w:val="20"/>
                <w:szCs w:val="20"/>
                <w:lang w:val="en-GB"/>
              </w:rPr>
            </w:pPr>
            <w:r w:rsidRPr="00263168">
              <w:rPr>
                <w:rFonts w:ascii="Arial" w:hAnsi="Arial" w:cs="Arial"/>
                <w:b/>
                <w:sz w:val="20"/>
                <w:szCs w:val="20"/>
                <w:lang w:val="en-GB"/>
              </w:rPr>
              <w:t>T6SS (0-18)</w:t>
            </w:r>
          </w:p>
        </w:tc>
        <w:tc>
          <w:tcPr>
            <w:tcW w:w="1410" w:type="dxa"/>
            <w:tcBorders>
              <w:top w:val="single" w:sz="4" w:space="0" w:color="auto"/>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4" w:space="0" w:color="auto"/>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4" w:space="0" w:color="auto"/>
              <w:bottom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518" w:type="dxa"/>
            <w:tcBorders>
              <w:top w:val="single" w:sz="4" w:space="0" w:color="auto"/>
              <w:bottom w:val="single" w:sz="8" w:space="0" w:color="auto"/>
            </w:tcBorders>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tcBorders>
              <w:top w:val="single" w:sz="8" w:space="0" w:color="auto"/>
            </w:tcBorders>
            <w:vAlign w:val="center"/>
          </w:tcPr>
          <w:p w:rsidR="00E921E3" w:rsidRPr="00263168" w:rsidRDefault="00E921E3" w:rsidP="00A20821">
            <w:pPr>
              <w:rPr>
                <w:rFonts w:ascii="Arial" w:hAnsi="Arial" w:cs="Arial"/>
                <w:sz w:val="20"/>
                <w:szCs w:val="20"/>
                <w:lang w:val="en-GB"/>
              </w:rPr>
            </w:pPr>
            <w:r w:rsidRPr="00263168">
              <w:rPr>
                <w:rFonts w:ascii="Arial" w:hAnsi="Arial" w:cs="Arial"/>
                <w:sz w:val="20"/>
                <w:szCs w:val="20"/>
                <w:lang w:val="en-GB"/>
              </w:rPr>
              <w:t>Day 7</w:t>
            </w:r>
          </w:p>
        </w:tc>
        <w:tc>
          <w:tcPr>
            <w:tcW w:w="1410"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709"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c>
          <w:tcPr>
            <w:tcW w:w="1518" w:type="dxa"/>
            <w:tcBorders>
              <w:top w:val="single" w:sz="8" w:space="0" w:color="auto"/>
            </w:tcBorders>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b/>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6.6 </w:t>
            </w:r>
            <w:r>
              <w:rPr>
                <w:rFonts w:ascii="Arial" w:hAnsi="Arial" w:cs="Arial"/>
                <w:sz w:val="20"/>
                <w:szCs w:val="20"/>
                <w:lang w:val="en-GB"/>
              </w:rPr>
              <w:t>(</w:t>
            </w:r>
            <w:r w:rsidRPr="00263168">
              <w:rPr>
                <w:rFonts w:ascii="Arial" w:hAnsi="Arial" w:cs="Arial"/>
                <w:sz w:val="20"/>
                <w:szCs w:val="20"/>
                <w:lang w:val="en-GB"/>
              </w:rPr>
              <w:t>4.</w:t>
            </w:r>
            <w:r>
              <w:rPr>
                <w:rFonts w:ascii="Arial" w:hAnsi="Arial" w:cs="Arial"/>
                <w:sz w:val="20"/>
                <w:szCs w:val="20"/>
                <w:lang w:val="en-GB"/>
              </w:rPr>
              <w:t>2)</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5.0 </w:t>
            </w:r>
            <w:r>
              <w:rPr>
                <w:rFonts w:ascii="Arial" w:hAnsi="Arial" w:cs="Arial"/>
                <w:sz w:val="20"/>
                <w:szCs w:val="20"/>
                <w:lang w:val="en-GB"/>
              </w:rPr>
              <w:t>(</w:t>
            </w:r>
            <w:r w:rsidRPr="00263168">
              <w:rPr>
                <w:rFonts w:ascii="Arial" w:hAnsi="Arial" w:cs="Arial"/>
                <w:sz w:val="20"/>
                <w:szCs w:val="20"/>
                <w:lang w:val="en-GB"/>
              </w:rPr>
              <w:t>3.8</w:t>
            </w:r>
            <w:r>
              <w:rPr>
                <w:rFonts w:ascii="Arial" w:hAnsi="Arial" w:cs="Arial"/>
                <w:sz w:val="20"/>
                <w:szCs w:val="20"/>
                <w:lang w:val="en-GB"/>
              </w:rPr>
              <w:t>)*</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5.0 </w:t>
            </w:r>
            <w:r>
              <w:rPr>
                <w:rFonts w:ascii="Arial" w:hAnsi="Arial" w:cs="Arial"/>
                <w:sz w:val="20"/>
                <w:szCs w:val="20"/>
                <w:lang w:val="en-GB"/>
              </w:rPr>
              <w:t>(</w:t>
            </w:r>
            <w:r w:rsidRPr="00263168">
              <w:rPr>
                <w:rFonts w:ascii="Arial" w:hAnsi="Arial" w:cs="Arial"/>
                <w:sz w:val="20"/>
                <w:szCs w:val="20"/>
                <w:lang w:val="en-GB"/>
              </w:rPr>
              <w:t>3.8</w:t>
            </w:r>
            <w:r>
              <w:rPr>
                <w:rFonts w:ascii="Arial" w:hAnsi="Arial" w:cs="Arial"/>
                <w:sz w:val="20"/>
                <w:szCs w:val="20"/>
                <w:lang w:val="en-GB"/>
              </w:rPr>
              <w:t>)*</w:t>
            </w:r>
            <w:r w:rsidRPr="0006588E">
              <w:rPr>
                <w:rFonts w:ascii="Arial" w:hAnsi="Arial" w:cs="Arial"/>
                <w:sz w:val="20"/>
                <w:szCs w:val="20"/>
              </w:rPr>
              <w:t>‡</w:t>
            </w:r>
          </w:p>
        </w:tc>
        <w:tc>
          <w:tcPr>
            <w:tcW w:w="1518" w:type="dxa"/>
            <w:vAlign w:val="center"/>
          </w:tcPr>
          <w:p w:rsidR="00E921E3" w:rsidRPr="00263168" w:rsidRDefault="00E921E3" w:rsidP="00A20821">
            <w:pPr>
              <w:jc w:val="center"/>
              <w:rPr>
                <w:rFonts w:ascii="Arial" w:hAnsi="Arial" w:cs="Arial"/>
                <w:sz w:val="20"/>
                <w:szCs w:val="20"/>
                <w:lang w:val="en-GB"/>
              </w:rPr>
            </w:pPr>
            <w:r w:rsidRPr="0006588E">
              <w:rPr>
                <w:rFonts w:ascii="Arial" w:hAnsi="Arial" w:cs="Arial"/>
                <w:sz w:val="20"/>
                <w:szCs w:val="20"/>
                <w:lang w:val="en-GB"/>
              </w:rPr>
              <w:t>&lt;0</w:t>
            </w:r>
            <w:r>
              <w:rPr>
                <w:rFonts w:ascii="Arial" w:hAnsi="Arial" w:cs="Arial"/>
                <w:sz w:val="20"/>
                <w:szCs w:val="20"/>
                <w:lang w:val="en-GB"/>
              </w:rPr>
              <w:t>.</w:t>
            </w:r>
            <w:r w:rsidRPr="0006588E">
              <w:rPr>
                <w:rFonts w:ascii="Arial" w:hAnsi="Arial" w:cs="Arial"/>
                <w:sz w:val="20"/>
                <w:szCs w:val="20"/>
                <w:lang w:val="en-GB"/>
              </w:rPr>
              <w:t>001</w:t>
            </w: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b/>
                <w:sz w:val="20"/>
                <w:szCs w:val="20"/>
                <w:lang w:val="en-GB"/>
              </w:rPr>
            </w:pPr>
            <w:r w:rsidRPr="00263168">
              <w:rPr>
                <w:rFonts w:ascii="Arial" w:hAnsi="Arial" w:cs="Arial"/>
                <w:sz w:val="20"/>
                <w:szCs w:val="20"/>
                <w:lang w:val="en-GB"/>
              </w:rPr>
              <w:t xml:space="preserve">% change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41.1</w:t>
            </w:r>
            <w:r>
              <w:rPr>
                <w:rFonts w:ascii="Arial" w:hAnsi="Arial" w:cs="Arial"/>
                <w:color w:val="000000"/>
                <w:sz w:val="20"/>
                <w:szCs w:val="20"/>
                <w:lang w:val="en-GB"/>
              </w:rPr>
              <w:t xml:space="preserve"> </w:t>
            </w:r>
            <w:r>
              <w:rPr>
                <w:rFonts w:ascii="Arial" w:hAnsi="Arial" w:cs="Arial"/>
                <w:sz w:val="20"/>
                <w:szCs w:val="20"/>
                <w:lang w:val="en-GB"/>
              </w:rPr>
              <w:t>(50.4)</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53.6</w:t>
            </w:r>
            <w:r>
              <w:rPr>
                <w:rFonts w:ascii="Arial" w:hAnsi="Arial" w:cs="Arial"/>
                <w:color w:val="000000"/>
                <w:sz w:val="20"/>
                <w:szCs w:val="20"/>
                <w:lang w:val="en-GB"/>
              </w:rPr>
              <w:t xml:space="preserve"> </w:t>
            </w:r>
            <w:r>
              <w:rPr>
                <w:rFonts w:ascii="Arial" w:hAnsi="Arial" w:cs="Arial"/>
                <w:sz w:val="20"/>
                <w:szCs w:val="20"/>
                <w:lang w:val="en-GB"/>
              </w:rPr>
              <w:t>(30.5)</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52.6</w:t>
            </w:r>
            <w:r>
              <w:rPr>
                <w:rFonts w:ascii="Arial" w:hAnsi="Arial" w:cs="Arial"/>
                <w:color w:val="000000"/>
                <w:sz w:val="20"/>
                <w:szCs w:val="20"/>
                <w:lang w:val="en-GB"/>
              </w:rPr>
              <w:t xml:space="preserve"> </w:t>
            </w:r>
            <w:r>
              <w:rPr>
                <w:rFonts w:ascii="Arial" w:hAnsi="Arial" w:cs="Arial"/>
                <w:sz w:val="20"/>
                <w:szCs w:val="20"/>
                <w:lang w:val="en-GB"/>
              </w:rPr>
              <w:t>(2.6)</w:t>
            </w:r>
          </w:p>
        </w:tc>
        <w:tc>
          <w:tcPr>
            <w:tcW w:w="1518" w:type="dxa"/>
            <w:vAlign w:val="center"/>
          </w:tcPr>
          <w:p w:rsidR="00E921E3" w:rsidRPr="00263168" w:rsidRDefault="00E921E3" w:rsidP="00A20821">
            <w:pPr>
              <w:jc w:val="center"/>
              <w:rPr>
                <w:rFonts w:ascii="Arial" w:hAnsi="Arial" w:cs="Arial"/>
                <w:color w:val="000000"/>
                <w:sz w:val="20"/>
                <w:szCs w:val="20"/>
                <w:lang w:val="en-GB"/>
              </w:rPr>
            </w:pPr>
          </w:p>
        </w:tc>
      </w:tr>
      <w:tr w:rsidR="00E921E3" w:rsidRPr="00263168" w:rsidTr="00A20821">
        <w:trPr>
          <w:trHeight w:val="340"/>
        </w:trPr>
        <w:tc>
          <w:tcPr>
            <w:tcW w:w="2158" w:type="dxa"/>
            <w:vAlign w:val="center"/>
          </w:tcPr>
          <w:p w:rsidR="00E921E3" w:rsidRPr="00263168" w:rsidRDefault="00E921E3" w:rsidP="00A20821">
            <w:pPr>
              <w:rPr>
                <w:rFonts w:ascii="Arial" w:hAnsi="Arial" w:cs="Arial"/>
                <w:b/>
                <w:sz w:val="20"/>
                <w:szCs w:val="20"/>
                <w:lang w:val="en-GB"/>
              </w:rPr>
            </w:pPr>
            <w:r w:rsidRPr="00263168">
              <w:rPr>
                <w:rFonts w:ascii="Arial" w:hAnsi="Arial" w:cs="Arial"/>
                <w:sz w:val="20"/>
                <w:szCs w:val="20"/>
                <w:lang w:val="en-GB"/>
              </w:rPr>
              <w:t>Day 14</w:t>
            </w:r>
          </w:p>
        </w:tc>
        <w:tc>
          <w:tcPr>
            <w:tcW w:w="1410"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709" w:type="dxa"/>
            <w:vAlign w:val="center"/>
          </w:tcPr>
          <w:p w:rsidR="00E921E3" w:rsidRPr="00263168" w:rsidRDefault="00E921E3" w:rsidP="00A20821">
            <w:pPr>
              <w:jc w:val="center"/>
              <w:rPr>
                <w:rFonts w:ascii="Arial" w:hAnsi="Arial" w:cs="Arial"/>
                <w:sz w:val="20"/>
                <w:szCs w:val="20"/>
                <w:lang w:val="en-GB"/>
              </w:rPr>
            </w:pPr>
          </w:p>
        </w:tc>
        <w:tc>
          <w:tcPr>
            <w:tcW w:w="1518" w:type="dxa"/>
            <w:vAlign w:val="center"/>
          </w:tcPr>
          <w:p w:rsidR="00E921E3" w:rsidRPr="00263168" w:rsidRDefault="00E921E3" w:rsidP="00A20821">
            <w:pPr>
              <w:jc w:val="center"/>
              <w:rPr>
                <w:rFonts w:ascii="Arial" w:hAnsi="Arial" w:cs="Arial"/>
                <w:sz w:val="20"/>
                <w:szCs w:val="20"/>
                <w:lang w:val="en-GB"/>
              </w:rPr>
            </w:pP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b/>
                <w:sz w:val="20"/>
                <w:szCs w:val="20"/>
                <w:lang w:val="en-GB"/>
              </w:rPr>
            </w:pPr>
            <w:r w:rsidRPr="00263168">
              <w:rPr>
                <w:rFonts w:ascii="Arial" w:hAnsi="Arial" w:cs="Arial"/>
                <w:sz w:val="20"/>
                <w:szCs w:val="20"/>
                <w:lang w:val="en-GB"/>
              </w:rPr>
              <w:t xml:space="preserve">Mean score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5.</w:t>
            </w:r>
            <w:r>
              <w:rPr>
                <w:rFonts w:ascii="Arial" w:hAnsi="Arial" w:cs="Arial"/>
                <w:sz w:val="20"/>
                <w:szCs w:val="20"/>
                <w:lang w:val="en-GB"/>
              </w:rPr>
              <w:t>9</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4.4</w:t>
            </w:r>
            <w:r>
              <w:rPr>
                <w:rFonts w:ascii="Arial" w:hAnsi="Arial" w:cs="Arial"/>
                <w:sz w:val="20"/>
                <w:szCs w:val="20"/>
                <w:lang w:val="en-GB"/>
              </w:rPr>
              <w:t>)</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4.</w:t>
            </w:r>
            <w:r>
              <w:rPr>
                <w:rFonts w:ascii="Arial" w:hAnsi="Arial" w:cs="Arial"/>
                <w:sz w:val="20"/>
                <w:szCs w:val="20"/>
                <w:lang w:val="en-GB"/>
              </w:rPr>
              <w:t>4</w:t>
            </w:r>
            <w:r w:rsidRPr="00263168">
              <w:rPr>
                <w:rFonts w:ascii="Arial" w:hAnsi="Arial" w:cs="Arial"/>
                <w:sz w:val="20"/>
                <w:szCs w:val="20"/>
                <w:lang w:val="en-GB"/>
              </w:rPr>
              <w:t xml:space="preserve"> </w:t>
            </w:r>
            <w:r>
              <w:rPr>
                <w:rFonts w:ascii="Arial" w:hAnsi="Arial" w:cs="Arial"/>
                <w:sz w:val="20"/>
                <w:szCs w:val="20"/>
                <w:lang w:val="en-GB"/>
              </w:rPr>
              <w:t>(</w:t>
            </w:r>
            <w:r w:rsidRPr="00263168">
              <w:rPr>
                <w:rFonts w:ascii="Arial" w:hAnsi="Arial" w:cs="Arial"/>
                <w:sz w:val="20"/>
                <w:szCs w:val="20"/>
                <w:lang w:val="en-GB"/>
              </w:rPr>
              <w:t>3.</w:t>
            </w:r>
            <w:r>
              <w:rPr>
                <w:rFonts w:ascii="Arial" w:hAnsi="Arial" w:cs="Arial"/>
                <w:sz w:val="20"/>
                <w:szCs w:val="20"/>
                <w:lang w:val="en-GB"/>
              </w:rPr>
              <w:t>9)*</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sz w:val="20"/>
                <w:szCs w:val="20"/>
                <w:lang w:val="en-GB"/>
              </w:rPr>
              <w:t xml:space="preserve">3.4 </w:t>
            </w:r>
            <w:r>
              <w:rPr>
                <w:rFonts w:ascii="Arial" w:hAnsi="Arial" w:cs="Arial"/>
                <w:sz w:val="20"/>
                <w:szCs w:val="20"/>
                <w:lang w:val="en-GB"/>
              </w:rPr>
              <w:t>(</w:t>
            </w:r>
            <w:r w:rsidRPr="00263168">
              <w:rPr>
                <w:rFonts w:ascii="Arial" w:hAnsi="Arial" w:cs="Arial"/>
                <w:sz w:val="20"/>
                <w:szCs w:val="20"/>
                <w:lang w:val="en-GB"/>
              </w:rPr>
              <w:t>3.4</w:t>
            </w:r>
            <w:r>
              <w:rPr>
                <w:rFonts w:ascii="Arial" w:hAnsi="Arial" w:cs="Arial"/>
                <w:sz w:val="20"/>
                <w:szCs w:val="20"/>
                <w:lang w:val="en-GB"/>
              </w:rPr>
              <w:t>)*</w:t>
            </w:r>
            <w:r w:rsidRPr="0006588E">
              <w:rPr>
                <w:rFonts w:ascii="Arial" w:hAnsi="Arial" w:cs="Arial"/>
                <w:sz w:val="20"/>
                <w:szCs w:val="20"/>
              </w:rPr>
              <w:t>‡</w:t>
            </w:r>
          </w:p>
        </w:tc>
        <w:tc>
          <w:tcPr>
            <w:tcW w:w="1518" w:type="dxa"/>
            <w:vAlign w:val="center"/>
          </w:tcPr>
          <w:p w:rsidR="00E921E3" w:rsidRPr="00263168" w:rsidRDefault="00E921E3" w:rsidP="00A20821">
            <w:pPr>
              <w:jc w:val="center"/>
              <w:rPr>
                <w:rFonts w:ascii="Arial" w:hAnsi="Arial" w:cs="Arial"/>
                <w:sz w:val="20"/>
                <w:szCs w:val="20"/>
                <w:lang w:val="en-GB"/>
              </w:rPr>
            </w:pPr>
            <w:r w:rsidRPr="0006588E">
              <w:rPr>
                <w:rFonts w:ascii="Arial" w:hAnsi="Arial" w:cs="Arial"/>
                <w:sz w:val="20"/>
                <w:szCs w:val="20"/>
                <w:lang w:val="en-GB"/>
              </w:rPr>
              <w:t>&lt;0</w:t>
            </w:r>
            <w:r>
              <w:rPr>
                <w:rFonts w:ascii="Arial" w:hAnsi="Arial" w:cs="Arial"/>
                <w:sz w:val="20"/>
                <w:szCs w:val="20"/>
                <w:lang w:val="en-GB"/>
              </w:rPr>
              <w:t>.</w:t>
            </w:r>
            <w:r w:rsidRPr="0006588E">
              <w:rPr>
                <w:rFonts w:ascii="Arial" w:hAnsi="Arial" w:cs="Arial"/>
                <w:sz w:val="20"/>
                <w:szCs w:val="20"/>
                <w:lang w:val="en-GB"/>
              </w:rPr>
              <w:t>001</w:t>
            </w:r>
          </w:p>
        </w:tc>
      </w:tr>
      <w:tr w:rsidR="00E921E3" w:rsidRPr="00263168" w:rsidTr="00A20821">
        <w:trPr>
          <w:trHeight w:val="340"/>
        </w:trPr>
        <w:tc>
          <w:tcPr>
            <w:tcW w:w="2158" w:type="dxa"/>
            <w:vAlign w:val="center"/>
          </w:tcPr>
          <w:p w:rsidR="00E921E3" w:rsidRPr="00263168" w:rsidRDefault="00E921E3" w:rsidP="00A20821">
            <w:pPr>
              <w:ind w:firstLine="174"/>
              <w:rPr>
                <w:rFonts w:ascii="Arial" w:hAnsi="Arial" w:cs="Arial"/>
                <w:sz w:val="20"/>
                <w:szCs w:val="20"/>
                <w:lang w:val="en-GB"/>
              </w:rPr>
            </w:pPr>
            <w:r w:rsidRPr="00263168">
              <w:rPr>
                <w:rFonts w:ascii="Arial" w:hAnsi="Arial" w:cs="Arial"/>
                <w:sz w:val="20"/>
                <w:szCs w:val="20"/>
                <w:lang w:val="en-GB"/>
              </w:rPr>
              <w:t xml:space="preserve">% change </w:t>
            </w:r>
            <w:r>
              <w:rPr>
                <w:rFonts w:ascii="Arial" w:hAnsi="Arial" w:cs="Arial"/>
                <w:sz w:val="20"/>
                <w:szCs w:val="20"/>
                <w:lang w:val="en-GB"/>
              </w:rPr>
              <w:t>(</w:t>
            </w:r>
            <w:r w:rsidRPr="00263168">
              <w:rPr>
                <w:rFonts w:ascii="Arial" w:hAnsi="Arial" w:cs="Arial"/>
                <w:sz w:val="20"/>
                <w:szCs w:val="20"/>
                <w:lang w:val="en-GB"/>
              </w:rPr>
              <w:t>SD</w:t>
            </w:r>
            <w:r>
              <w:rPr>
                <w:rFonts w:ascii="Arial" w:hAnsi="Arial" w:cs="Arial"/>
                <w:sz w:val="20"/>
                <w:szCs w:val="20"/>
                <w:lang w:val="en-GB"/>
              </w:rPr>
              <w:t>)</w:t>
            </w:r>
          </w:p>
        </w:tc>
        <w:tc>
          <w:tcPr>
            <w:tcW w:w="1410"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47.8</w:t>
            </w:r>
            <w:r>
              <w:rPr>
                <w:rFonts w:ascii="Arial" w:hAnsi="Arial" w:cs="Arial"/>
                <w:color w:val="000000"/>
                <w:sz w:val="20"/>
                <w:szCs w:val="20"/>
                <w:lang w:val="en-GB"/>
              </w:rPr>
              <w:t xml:space="preserve"> </w:t>
            </w:r>
            <w:r>
              <w:rPr>
                <w:rFonts w:ascii="Arial" w:hAnsi="Arial" w:cs="Arial"/>
                <w:sz w:val="20"/>
                <w:szCs w:val="20"/>
                <w:lang w:val="en-GB"/>
              </w:rPr>
              <w:t>(60.9)</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59.5</w:t>
            </w:r>
            <w:r>
              <w:rPr>
                <w:rFonts w:ascii="Arial" w:hAnsi="Arial" w:cs="Arial"/>
                <w:color w:val="000000"/>
                <w:sz w:val="20"/>
                <w:szCs w:val="20"/>
                <w:lang w:val="en-GB"/>
              </w:rPr>
              <w:t xml:space="preserve"> </w:t>
            </w:r>
            <w:r>
              <w:rPr>
                <w:rFonts w:ascii="Arial" w:hAnsi="Arial" w:cs="Arial"/>
                <w:sz w:val="20"/>
                <w:szCs w:val="20"/>
                <w:lang w:val="en-GB"/>
              </w:rPr>
              <w:t>(31.8)</w:t>
            </w:r>
          </w:p>
        </w:tc>
        <w:tc>
          <w:tcPr>
            <w:tcW w:w="1709" w:type="dxa"/>
            <w:vAlign w:val="center"/>
          </w:tcPr>
          <w:p w:rsidR="00E921E3" w:rsidRPr="00263168" w:rsidRDefault="00E921E3" w:rsidP="00A20821">
            <w:pPr>
              <w:jc w:val="center"/>
              <w:rPr>
                <w:rFonts w:ascii="Arial" w:hAnsi="Arial" w:cs="Arial"/>
                <w:sz w:val="20"/>
                <w:szCs w:val="20"/>
                <w:lang w:val="en-GB"/>
              </w:rPr>
            </w:pPr>
            <w:r w:rsidRPr="00263168">
              <w:rPr>
                <w:rFonts w:ascii="Arial" w:hAnsi="Arial" w:cs="Arial"/>
                <w:color w:val="000000"/>
                <w:sz w:val="20"/>
                <w:szCs w:val="20"/>
                <w:lang w:val="en-GB"/>
              </w:rPr>
              <w:t>-</w:t>
            </w:r>
            <w:r>
              <w:rPr>
                <w:rFonts w:ascii="Arial" w:hAnsi="Arial" w:cs="Arial"/>
                <w:color w:val="000000"/>
                <w:sz w:val="20"/>
                <w:szCs w:val="20"/>
                <w:lang w:val="en-GB"/>
              </w:rPr>
              <w:t xml:space="preserve"> </w:t>
            </w:r>
            <w:r w:rsidRPr="00263168">
              <w:rPr>
                <w:rFonts w:ascii="Arial" w:hAnsi="Arial" w:cs="Arial"/>
                <w:color w:val="000000"/>
                <w:sz w:val="20"/>
                <w:szCs w:val="20"/>
                <w:lang w:val="en-GB"/>
              </w:rPr>
              <w:t>67.7</w:t>
            </w:r>
            <w:r>
              <w:rPr>
                <w:rFonts w:ascii="Arial" w:hAnsi="Arial" w:cs="Arial"/>
                <w:color w:val="000000"/>
                <w:sz w:val="20"/>
                <w:szCs w:val="20"/>
                <w:lang w:val="en-GB"/>
              </w:rPr>
              <w:t xml:space="preserve"> </w:t>
            </w:r>
            <w:r>
              <w:rPr>
                <w:rFonts w:ascii="Arial" w:hAnsi="Arial" w:cs="Arial"/>
                <w:sz w:val="20"/>
                <w:szCs w:val="20"/>
                <w:lang w:val="en-GB"/>
              </w:rPr>
              <w:t>(2.0)</w:t>
            </w:r>
          </w:p>
        </w:tc>
        <w:tc>
          <w:tcPr>
            <w:tcW w:w="1518" w:type="dxa"/>
            <w:vAlign w:val="center"/>
          </w:tcPr>
          <w:p w:rsidR="00E921E3" w:rsidRPr="00263168" w:rsidRDefault="00E921E3" w:rsidP="00A20821">
            <w:pPr>
              <w:jc w:val="center"/>
              <w:rPr>
                <w:rFonts w:ascii="Arial" w:hAnsi="Arial" w:cs="Arial"/>
                <w:color w:val="000000"/>
                <w:sz w:val="20"/>
                <w:szCs w:val="20"/>
                <w:lang w:val="en-GB"/>
              </w:rPr>
            </w:pPr>
          </w:p>
        </w:tc>
      </w:tr>
    </w:tbl>
    <w:p w:rsidR="00E921E3" w:rsidRPr="00764516" w:rsidRDefault="00E921E3" w:rsidP="00E921E3">
      <w:pPr>
        <w:spacing w:after="0" w:line="360" w:lineRule="auto"/>
        <w:jc w:val="both"/>
        <w:rPr>
          <w:rFonts w:ascii="Arial" w:hAnsi="Arial" w:cs="Arial"/>
          <w:lang w:val="en-GB"/>
        </w:rPr>
      </w:pPr>
    </w:p>
    <w:p w:rsidR="00E921E3" w:rsidRDefault="00E921E3" w:rsidP="00E921E3">
      <w:pPr>
        <w:spacing w:after="0"/>
        <w:jc w:val="both"/>
        <w:rPr>
          <w:rFonts w:ascii="Arial" w:hAnsi="Arial" w:cs="Arial"/>
          <w:lang w:val="en-GB"/>
        </w:rPr>
      </w:pPr>
    </w:p>
    <w:p w:rsidR="00E921E3" w:rsidRPr="00AF6333" w:rsidRDefault="00E921E3" w:rsidP="00E921E3">
      <w:pPr>
        <w:spacing w:after="0"/>
        <w:jc w:val="both"/>
        <w:rPr>
          <w:rFonts w:ascii="Arial" w:hAnsi="Arial" w:cs="Arial"/>
          <w:lang w:val="en-GB"/>
        </w:rPr>
      </w:pPr>
      <w:r w:rsidRPr="00AF6333">
        <w:rPr>
          <w:rFonts w:ascii="Arial" w:hAnsi="Arial" w:cs="Arial"/>
          <w:lang w:val="en-GB"/>
        </w:rPr>
        <w:t>NS</w:t>
      </w:r>
      <w:r>
        <w:rPr>
          <w:rFonts w:ascii="Arial" w:hAnsi="Arial" w:cs="Arial"/>
          <w:lang w:val="en-GB"/>
        </w:rPr>
        <w:t>,</w:t>
      </w:r>
      <w:r w:rsidRPr="00AF6333">
        <w:rPr>
          <w:rFonts w:ascii="Arial" w:hAnsi="Arial" w:cs="Arial"/>
          <w:lang w:val="en-GB"/>
        </w:rPr>
        <w:t xml:space="preserve"> not significant; </w:t>
      </w:r>
      <w:r>
        <w:rPr>
          <w:rFonts w:ascii="Arial" w:hAnsi="Arial" w:cs="Arial"/>
          <w:lang w:val="en-GB"/>
        </w:rPr>
        <w:t xml:space="preserve">Rup, Rupatadine; </w:t>
      </w:r>
      <w:r w:rsidRPr="00AF6333">
        <w:rPr>
          <w:rFonts w:ascii="Arial" w:hAnsi="Arial" w:cs="Arial"/>
          <w:lang w:val="en-GB"/>
        </w:rPr>
        <w:t xml:space="preserve">T4NSS = Total 4 Nasal Symptom Score; T2OSS = Total 2 Ocular Symptom Score; T6SS = Total 6 Symptom Score; SD = standard deviation. </w:t>
      </w:r>
    </w:p>
    <w:p w:rsidR="00E921E3" w:rsidRPr="00AF6333" w:rsidRDefault="00E921E3" w:rsidP="00E921E3">
      <w:pPr>
        <w:spacing w:after="0"/>
        <w:jc w:val="both"/>
        <w:rPr>
          <w:rFonts w:ascii="Arial" w:hAnsi="Arial" w:cs="Arial"/>
          <w:bCs/>
          <w:vertAlign w:val="superscript"/>
          <w:lang w:val="en-GB"/>
        </w:rPr>
      </w:pPr>
      <w:r w:rsidRPr="00AF6333">
        <w:rPr>
          <w:rFonts w:ascii="Arial" w:hAnsi="Arial" w:cs="Arial"/>
          <w:bCs/>
          <w:vertAlign w:val="superscript"/>
          <w:lang w:val="en-GB"/>
        </w:rPr>
        <w:t>a</w:t>
      </w:r>
      <w:r w:rsidRPr="00AF6333">
        <w:t xml:space="preserve"> </w:t>
      </w:r>
      <w:r w:rsidRPr="00AF6333">
        <w:rPr>
          <w:rFonts w:ascii="Arial" w:hAnsi="Arial" w:cs="Arial"/>
          <w:bCs/>
          <w:lang w:val="en-GB"/>
        </w:rPr>
        <w:t xml:space="preserve">Statistical significance was determined using the non-parametric Kruskal-Wallis test. </w:t>
      </w:r>
    </w:p>
    <w:p w:rsidR="00E921E3" w:rsidRPr="00AF6333" w:rsidRDefault="00E921E3" w:rsidP="00E921E3">
      <w:pPr>
        <w:spacing w:after="0"/>
        <w:jc w:val="both"/>
        <w:rPr>
          <w:rFonts w:ascii="Arial" w:hAnsi="Arial" w:cs="Arial"/>
          <w:bCs/>
          <w:lang w:val="en-GB"/>
        </w:rPr>
      </w:pPr>
      <w:r w:rsidRPr="00AF6333">
        <w:rPr>
          <w:rFonts w:ascii="Arial" w:hAnsi="Arial" w:cs="Arial"/>
          <w:bCs/>
          <w:vertAlign w:val="superscript"/>
          <w:lang w:val="en-GB"/>
        </w:rPr>
        <w:t>b</w:t>
      </w:r>
      <w:r w:rsidRPr="00AF6333">
        <w:rPr>
          <w:rFonts w:ascii="Arial" w:hAnsi="Arial" w:cs="Arial"/>
          <w:bCs/>
          <w:lang w:val="en-GB"/>
        </w:rPr>
        <w:t>% change from baseline</w:t>
      </w:r>
    </w:p>
    <w:p w:rsidR="00E921E3" w:rsidRDefault="00E921E3" w:rsidP="00E921E3">
      <w:pPr>
        <w:spacing w:after="0"/>
        <w:jc w:val="both"/>
        <w:rPr>
          <w:rFonts w:ascii="Arial" w:hAnsi="Arial" w:cs="Arial"/>
          <w:lang w:val="en-GB"/>
        </w:rPr>
      </w:pPr>
      <w:r w:rsidRPr="00AF6333">
        <w:rPr>
          <w:rFonts w:ascii="Arial" w:hAnsi="Arial" w:cs="Arial"/>
          <w:sz w:val="20"/>
          <w:szCs w:val="20"/>
          <w:lang w:val="en-GB"/>
        </w:rPr>
        <w:t>*</w:t>
      </w:r>
      <w:r w:rsidRPr="00AF6333">
        <w:rPr>
          <w:rFonts w:ascii="Arial" w:hAnsi="Arial" w:cs="Arial"/>
          <w:lang w:val="en-GB"/>
        </w:rPr>
        <w:t xml:space="preserve"> </w:t>
      </w:r>
      <w:r>
        <w:rPr>
          <w:rFonts w:ascii="Arial" w:hAnsi="Arial" w:cs="Arial"/>
          <w:lang w:val="en-GB"/>
        </w:rPr>
        <w:t>indicates</w:t>
      </w:r>
      <w:r w:rsidRPr="00AF6333">
        <w:rPr>
          <w:rFonts w:ascii="Arial" w:hAnsi="Arial" w:cs="Arial"/>
          <w:lang w:val="en-GB"/>
        </w:rPr>
        <w:t xml:space="preserve"> </w:t>
      </w:r>
      <w:r w:rsidRPr="00AF6333">
        <w:rPr>
          <w:rFonts w:ascii="Arial" w:hAnsi="Arial" w:cs="Arial"/>
          <w:i/>
          <w:lang w:val="en-GB"/>
        </w:rPr>
        <w:t>p</w:t>
      </w:r>
      <w:r w:rsidRPr="00AF6333">
        <w:rPr>
          <w:rFonts w:ascii="Arial" w:hAnsi="Arial" w:cs="Arial"/>
          <w:lang w:val="en-GB"/>
        </w:rPr>
        <w:t xml:space="preserve"> &lt; 0.05 (rupatadine groups vs placebo)</w:t>
      </w:r>
      <w:r w:rsidRPr="00FD0BC5">
        <w:rPr>
          <w:rFonts w:ascii="Arial" w:hAnsi="Arial" w:cs="Arial"/>
          <w:lang w:val="en-GB"/>
        </w:rPr>
        <w:t xml:space="preserve"> </w:t>
      </w:r>
      <w:r w:rsidRPr="00AF6333">
        <w:rPr>
          <w:rFonts w:ascii="Arial" w:hAnsi="Arial" w:cs="Arial"/>
          <w:lang w:val="en-GB"/>
        </w:rPr>
        <w:t>calculated with the Mann-Whitney test</w:t>
      </w:r>
      <w:r>
        <w:rPr>
          <w:rFonts w:ascii="Arial" w:hAnsi="Arial" w:cs="Arial"/>
          <w:lang w:val="en-GB"/>
        </w:rPr>
        <w:t>.</w:t>
      </w:r>
    </w:p>
    <w:p w:rsidR="00E921E3" w:rsidRPr="00BD391E" w:rsidRDefault="00E921E3" w:rsidP="00E921E3">
      <w:pPr>
        <w:spacing w:after="0"/>
        <w:jc w:val="both"/>
        <w:rPr>
          <w:rFonts w:ascii="Arial" w:hAnsi="Arial" w:cs="Arial"/>
          <w:bCs/>
          <w:vertAlign w:val="superscript"/>
          <w:lang w:val="en-GB"/>
        </w:rPr>
      </w:pPr>
      <w:r w:rsidRPr="00AF6333">
        <w:rPr>
          <w:rFonts w:ascii="Arial" w:hAnsi="Arial" w:cs="Arial"/>
          <w:lang w:val="en-GB"/>
        </w:rPr>
        <w:t>‡</w:t>
      </w:r>
      <w:r>
        <w:rPr>
          <w:rFonts w:ascii="Arial" w:hAnsi="Arial" w:cs="Arial"/>
          <w:lang w:val="en-GB"/>
        </w:rPr>
        <w:t xml:space="preserve"> indicates</w:t>
      </w:r>
      <w:r w:rsidRPr="00AF6333">
        <w:rPr>
          <w:rFonts w:ascii="Arial" w:hAnsi="Arial" w:cs="Arial"/>
          <w:lang w:val="en-GB"/>
        </w:rPr>
        <w:t xml:space="preserve"> </w:t>
      </w:r>
      <w:r w:rsidRPr="00AF6333">
        <w:rPr>
          <w:rFonts w:ascii="Arial" w:hAnsi="Arial" w:cs="Arial"/>
          <w:i/>
          <w:lang w:val="en-GB"/>
        </w:rPr>
        <w:t>p</w:t>
      </w:r>
      <w:r w:rsidRPr="00AF6333">
        <w:rPr>
          <w:rFonts w:ascii="Arial" w:hAnsi="Arial" w:cs="Arial"/>
          <w:lang w:val="en-GB"/>
        </w:rPr>
        <w:t xml:space="preserve"> &lt; 0.05 (rupatadine 10 mg vs rupatadine 20 mg) calculated with the Mann-Whitney test.</w:t>
      </w:r>
      <w:r>
        <w:rPr>
          <w:rFonts w:ascii="Arial" w:hAnsi="Arial" w:cs="Arial"/>
          <w:lang w:val="en-GB"/>
        </w:rPr>
        <w:t xml:space="preserve"> </w:t>
      </w:r>
    </w:p>
    <w:p w:rsidR="00E921E3" w:rsidRPr="00764516" w:rsidRDefault="00E921E3" w:rsidP="00E921E3">
      <w:pPr>
        <w:spacing w:after="0"/>
        <w:rPr>
          <w:rFonts w:ascii="Arial" w:hAnsi="Arial" w:cs="Arial"/>
          <w:lang w:val="en-GB"/>
        </w:rPr>
      </w:pPr>
    </w:p>
    <w:p w:rsidR="00E921E3" w:rsidRDefault="00E921E3" w:rsidP="00E921E3">
      <w:pPr>
        <w:spacing w:after="0"/>
        <w:jc w:val="both"/>
        <w:rPr>
          <w:rFonts w:ascii="Arial" w:hAnsi="Arial" w:cs="Arial"/>
          <w:b/>
          <w:sz w:val="24"/>
          <w:szCs w:val="24"/>
          <w:lang w:val="en-GB"/>
        </w:rPr>
      </w:pPr>
    </w:p>
    <w:p w:rsidR="00E921E3" w:rsidRDefault="00E921E3" w:rsidP="00E921E3">
      <w:pPr>
        <w:spacing w:after="0"/>
        <w:jc w:val="both"/>
        <w:rPr>
          <w:rFonts w:ascii="Arial" w:hAnsi="Arial" w:cs="Arial"/>
          <w:b/>
          <w:sz w:val="24"/>
          <w:szCs w:val="24"/>
          <w:lang w:val="en-GB"/>
        </w:rPr>
      </w:pPr>
    </w:p>
    <w:p w:rsidR="00E921E3" w:rsidRDefault="00E921E3" w:rsidP="00E921E3">
      <w:pPr>
        <w:spacing w:after="0"/>
        <w:jc w:val="both"/>
        <w:rPr>
          <w:rFonts w:ascii="Arial" w:hAnsi="Arial" w:cs="Arial"/>
          <w:b/>
          <w:sz w:val="24"/>
          <w:szCs w:val="24"/>
          <w:lang w:val="en-GB"/>
        </w:rPr>
      </w:pPr>
    </w:p>
    <w:sectPr w:rsidR="00E921E3" w:rsidSect="00154A7D">
      <w:type w:val="continuous"/>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markup="0"/>
  <w:defaultTabStop w:val="708"/>
  <w:hyphenationZone w:val="425"/>
  <w:drawingGridHorizontalSpacing w:val="110"/>
  <w:displayHorizontalDrawingGridEvery w:val="2"/>
  <w:characterSpacingControl w:val="doNotCompress"/>
  <w:compat/>
  <w:rsids>
    <w:rsidRoot w:val="00E921E3"/>
    <w:rsid w:val="00154A7D"/>
    <w:rsid w:val="00372C01"/>
    <w:rsid w:val="00A6300F"/>
    <w:rsid w:val="00E26EF9"/>
    <w:rsid w:val="00E921E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2568</Words>
  <Characters>14643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0012761</cp:lastModifiedBy>
  <cp:revision>2</cp:revision>
  <dcterms:created xsi:type="dcterms:W3CDTF">2019-08-08T16:50:00Z</dcterms:created>
  <dcterms:modified xsi:type="dcterms:W3CDTF">2019-09-27T11:42:00Z</dcterms:modified>
</cp:coreProperties>
</file>