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51" w:rsidRDefault="005F5A51" w:rsidP="00271817">
      <w:pPr>
        <w:jc w:val="both"/>
        <w:rPr>
          <w:rFonts w:ascii="Times New Roman" w:hAnsi="Times New Roman" w:cs="Times New Roman"/>
        </w:rPr>
      </w:pPr>
      <w:bookmarkStart w:id="0" w:name="_GoBack"/>
      <w:bookmarkEnd w:id="0"/>
    </w:p>
    <w:tbl>
      <w:tblPr>
        <w:tblStyle w:val="TableGrid"/>
        <w:tblW w:w="9300" w:type="dxa"/>
        <w:tblLook w:val="04A0" w:firstRow="1" w:lastRow="0" w:firstColumn="1" w:lastColumn="0" w:noHBand="0" w:noVBand="1"/>
      </w:tblPr>
      <w:tblGrid>
        <w:gridCol w:w="1980"/>
        <w:gridCol w:w="1276"/>
        <w:gridCol w:w="2551"/>
        <w:gridCol w:w="1418"/>
        <w:gridCol w:w="850"/>
        <w:gridCol w:w="1225"/>
      </w:tblGrid>
      <w:tr w:rsidR="005F5A51" w:rsidRPr="00B502CE" w:rsidTr="008E6D1E">
        <w:trPr>
          <w:trHeight w:val="199"/>
        </w:trPr>
        <w:tc>
          <w:tcPr>
            <w:tcW w:w="9300" w:type="dxa"/>
            <w:gridSpan w:val="6"/>
            <w:noWrap/>
            <w:vAlign w:val="center"/>
          </w:tcPr>
          <w:p w:rsidR="005F5A51" w:rsidRPr="00B502CE" w:rsidRDefault="005F5A51" w:rsidP="008E6D1E">
            <w:pPr>
              <w:jc w:val="both"/>
              <w:rPr>
                <w:rFonts w:ascii="Times New Roman" w:hAnsi="Times New Roman" w:cs="Times New Roman"/>
                <w:b/>
                <w:sz w:val="20"/>
                <w:szCs w:val="20"/>
                <w:lang w:val="en-US"/>
              </w:rPr>
            </w:pPr>
            <w:r w:rsidRPr="00B502CE">
              <w:rPr>
                <w:rFonts w:ascii="Times New Roman" w:eastAsia="Times New Roman" w:hAnsi="Times New Roman" w:cs="Times New Roman"/>
                <w:b/>
                <w:bCs/>
                <w:color w:val="000000"/>
                <w:sz w:val="20"/>
                <w:szCs w:val="20"/>
                <w:lang w:val="en-US" w:eastAsia="en-CA"/>
              </w:rPr>
              <w:t>Table S5. Negative univariate associations between T cell related genes and genes involved in muscle catabolic  pathways of rectus abdomin</w:t>
            </w:r>
            <w:r>
              <w:rPr>
                <w:rFonts w:ascii="Times New Roman" w:eastAsia="Times New Roman" w:hAnsi="Times New Roman" w:cs="Times New Roman"/>
                <w:b/>
                <w:bCs/>
                <w:color w:val="000000"/>
                <w:sz w:val="20"/>
                <w:szCs w:val="20"/>
                <w:lang w:val="en-US" w:eastAsia="en-CA"/>
              </w:rPr>
              <w:t>is muscle of secondary female cohort (n=64</w:t>
            </w:r>
            <w:r w:rsidRPr="00B502CE">
              <w:rPr>
                <w:rFonts w:ascii="Times New Roman" w:eastAsia="Times New Roman" w:hAnsi="Times New Roman" w:cs="Times New Roman"/>
                <w:b/>
                <w:bCs/>
                <w:color w:val="000000"/>
                <w:sz w:val="20"/>
                <w:szCs w:val="20"/>
                <w:lang w:val="en-US" w:eastAsia="en-CA"/>
              </w:rPr>
              <w:t>)</w:t>
            </w:r>
          </w:p>
        </w:tc>
      </w:tr>
      <w:tr w:rsidR="005F5A51" w:rsidRPr="00B502CE" w:rsidTr="008E6D1E">
        <w:trPr>
          <w:trHeight w:val="199"/>
        </w:trPr>
        <w:tc>
          <w:tcPr>
            <w:tcW w:w="1980" w:type="dxa"/>
            <w:noWrap/>
            <w:vAlign w:val="center"/>
            <w:hideMark/>
          </w:tcPr>
          <w:p w:rsidR="005F5A51" w:rsidRPr="00B502CE" w:rsidRDefault="005F5A51" w:rsidP="008E6D1E">
            <w:pPr>
              <w:jc w:val="center"/>
              <w:rPr>
                <w:rFonts w:ascii="Times New Roman" w:eastAsia="Times New Roman" w:hAnsi="Times New Roman" w:cs="Times New Roman"/>
                <w:b/>
                <w:bCs/>
                <w:color w:val="000000"/>
                <w:sz w:val="20"/>
                <w:szCs w:val="20"/>
                <w:lang w:val="en-US" w:eastAsia="en-CA"/>
              </w:rPr>
            </w:pPr>
            <w:r w:rsidRPr="00B502CE">
              <w:rPr>
                <w:rFonts w:ascii="Times New Roman" w:eastAsia="Times New Roman" w:hAnsi="Times New Roman" w:cs="Times New Roman"/>
                <w:b/>
                <w:bCs/>
                <w:color w:val="000000"/>
                <w:sz w:val="20"/>
                <w:szCs w:val="20"/>
                <w:lang w:val="en-US" w:eastAsia="en-CA"/>
              </w:rPr>
              <w:t>T cell category</w:t>
            </w:r>
          </w:p>
        </w:tc>
        <w:tc>
          <w:tcPr>
            <w:tcW w:w="1276" w:type="dxa"/>
            <w:noWrap/>
            <w:vAlign w:val="center"/>
            <w:hideMark/>
          </w:tcPr>
          <w:p w:rsidR="005F5A51" w:rsidRPr="00B502CE" w:rsidRDefault="005F5A51" w:rsidP="008E6D1E">
            <w:pPr>
              <w:jc w:val="center"/>
              <w:rPr>
                <w:rFonts w:ascii="Times New Roman" w:eastAsia="Times New Roman" w:hAnsi="Times New Roman" w:cs="Times New Roman"/>
                <w:b/>
                <w:bCs/>
                <w:color w:val="000000"/>
                <w:sz w:val="20"/>
                <w:szCs w:val="20"/>
                <w:lang w:val="en-US" w:eastAsia="en-CA"/>
              </w:rPr>
            </w:pPr>
            <w:r w:rsidRPr="00B502CE">
              <w:rPr>
                <w:rFonts w:ascii="Times New Roman" w:eastAsia="Times New Roman" w:hAnsi="Times New Roman" w:cs="Times New Roman"/>
                <w:b/>
                <w:bCs/>
                <w:color w:val="000000"/>
                <w:sz w:val="20"/>
                <w:szCs w:val="20"/>
                <w:lang w:val="en-US" w:eastAsia="en-CA"/>
              </w:rPr>
              <w:t>Gene name</w:t>
            </w:r>
          </w:p>
        </w:tc>
        <w:tc>
          <w:tcPr>
            <w:tcW w:w="2551" w:type="dxa"/>
            <w:noWrap/>
            <w:vAlign w:val="center"/>
            <w:hideMark/>
          </w:tcPr>
          <w:p w:rsidR="005F5A51" w:rsidRPr="00B502CE" w:rsidRDefault="005F5A51" w:rsidP="008E6D1E">
            <w:pPr>
              <w:jc w:val="center"/>
              <w:rPr>
                <w:rFonts w:ascii="Times New Roman" w:eastAsia="Times New Roman" w:hAnsi="Times New Roman" w:cs="Times New Roman"/>
                <w:b/>
                <w:bCs/>
                <w:color w:val="000000"/>
                <w:sz w:val="20"/>
                <w:szCs w:val="20"/>
                <w:lang w:val="en-US" w:eastAsia="en-CA"/>
              </w:rPr>
            </w:pPr>
            <w:r w:rsidRPr="00B502CE">
              <w:rPr>
                <w:rFonts w:ascii="Times New Roman" w:eastAsia="Times New Roman" w:hAnsi="Times New Roman" w:cs="Times New Roman"/>
                <w:b/>
                <w:bCs/>
                <w:color w:val="000000"/>
                <w:sz w:val="20"/>
                <w:szCs w:val="20"/>
                <w:lang w:val="en-US" w:eastAsia="en-CA"/>
              </w:rPr>
              <w:t>Muscle catabolic pathway</w:t>
            </w:r>
          </w:p>
        </w:tc>
        <w:tc>
          <w:tcPr>
            <w:tcW w:w="1418" w:type="dxa"/>
            <w:noWrap/>
            <w:vAlign w:val="center"/>
            <w:hideMark/>
          </w:tcPr>
          <w:p w:rsidR="005F5A51" w:rsidRPr="00B502CE" w:rsidRDefault="005F5A51" w:rsidP="008E6D1E">
            <w:pPr>
              <w:jc w:val="center"/>
              <w:rPr>
                <w:rFonts w:ascii="Times New Roman" w:eastAsia="Times New Roman" w:hAnsi="Times New Roman" w:cs="Times New Roman"/>
                <w:b/>
                <w:bCs/>
                <w:color w:val="000000"/>
                <w:sz w:val="20"/>
                <w:szCs w:val="20"/>
                <w:lang w:val="en-US" w:eastAsia="en-CA"/>
              </w:rPr>
            </w:pPr>
            <w:r w:rsidRPr="00B502CE">
              <w:rPr>
                <w:rFonts w:ascii="Times New Roman" w:eastAsia="Times New Roman" w:hAnsi="Times New Roman" w:cs="Times New Roman"/>
                <w:b/>
                <w:bCs/>
                <w:color w:val="000000"/>
                <w:sz w:val="20"/>
                <w:szCs w:val="20"/>
                <w:lang w:val="en-US" w:eastAsia="en-CA"/>
              </w:rPr>
              <w:t>Gene name</w:t>
            </w:r>
          </w:p>
        </w:tc>
        <w:tc>
          <w:tcPr>
            <w:tcW w:w="850" w:type="dxa"/>
            <w:noWrap/>
            <w:vAlign w:val="center"/>
            <w:hideMark/>
          </w:tcPr>
          <w:p w:rsidR="005F5A51" w:rsidRPr="00B502CE" w:rsidRDefault="005F5A51" w:rsidP="008E6D1E">
            <w:pPr>
              <w:jc w:val="center"/>
              <w:rPr>
                <w:rFonts w:ascii="Times New Roman" w:eastAsia="Times New Roman" w:hAnsi="Times New Roman" w:cs="Times New Roman"/>
                <w:b/>
                <w:bCs/>
                <w:color w:val="000000"/>
                <w:sz w:val="20"/>
                <w:szCs w:val="20"/>
                <w:lang w:val="en-US" w:eastAsia="en-CA"/>
              </w:rPr>
            </w:pPr>
            <w:r w:rsidRPr="00B502CE">
              <w:rPr>
                <w:rFonts w:ascii="Times New Roman" w:eastAsia="Times New Roman" w:hAnsi="Times New Roman" w:cs="Times New Roman"/>
                <w:b/>
                <w:bCs/>
                <w:color w:val="000000"/>
                <w:sz w:val="20"/>
                <w:szCs w:val="20"/>
                <w:lang w:val="en-US" w:eastAsia="en-CA"/>
              </w:rPr>
              <w:t>r</w:t>
            </w:r>
          </w:p>
        </w:tc>
        <w:tc>
          <w:tcPr>
            <w:tcW w:w="1225" w:type="dxa"/>
            <w:noWrap/>
            <w:vAlign w:val="center"/>
            <w:hideMark/>
          </w:tcPr>
          <w:p w:rsidR="005F5A51" w:rsidRPr="00B502CE" w:rsidRDefault="005F5A51" w:rsidP="008E6D1E">
            <w:pPr>
              <w:jc w:val="center"/>
              <w:rPr>
                <w:rFonts w:ascii="Times New Roman" w:eastAsia="Times New Roman" w:hAnsi="Times New Roman" w:cs="Times New Roman"/>
                <w:b/>
                <w:bCs/>
                <w:color w:val="000000"/>
                <w:sz w:val="20"/>
                <w:szCs w:val="20"/>
                <w:lang w:val="en-US" w:eastAsia="en-CA"/>
              </w:rPr>
            </w:pPr>
            <w:r w:rsidRPr="00B502CE">
              <w:rPr>
                <w:rFonts w:ascii="Times New Roman" w:eastAsia="Times New Roman" w:hAnsi="Times New Roman" w:cs="Times New Roman"/>
                <w:b/>
                <w:bCs/>
                <w:color w:val="000000"/>
                <w:sz w:val="20"/>
                <w:szCs w:val="20"/>
                <w:lang w:val="en-US" w:eastAsia="en-CA"/>
              </w:rPr>
              <w:t>p</w:t>
            </w:r>
          </w:p>
        </w:tc>
      </w:tr>
      <w:tr w:rsidR="005F5A51" w:rsidRPr="00B502CE" w:rsidTr="008E6D1E">
        <w:trPr>
          <w:trHeight w:val="199"/>
        </w:trPr>
        <w:tc>
          <w:tcPr>
            <w:tcW w:w="1980" w:type="dxa"/>
            <w:vMerge w:val="restart"/>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T cell function</w:t>
            </w:r>
          </w:p>
        </w:tc>
        <w:tc>
          <w:tcPr>
            <w:tcW w:w="1276" w:type="dxa"/>
            <w:vMerge w:val="restart"/>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CD3G</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UBR2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1.76E-02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hideMark/>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FOXO4</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-0.28</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2.47E-02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val="restart"/>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HAVCR2</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Apoptosis</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BECN1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1.80E-02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UBE2L3</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-0.32</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1.02E-02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TRIM63</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1.55E-02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UBR2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-0.28</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2.40E-02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val="restart"/>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PDCD1</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UBAP2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-0.61</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1.04E-07</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UBR3</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-0.50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2.31E-05</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FOXO4</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-0.42</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4.93E-04</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UBR2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-0.35</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4.02E-03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FOXO4</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-0.32</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1.05E-02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USP25</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-0.31</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1.21E-02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UBE2R2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-0.31</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1.38E-02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UBE2V1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1.68E-02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UBE2V1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-0.25</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4.93E-02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val="restart"/>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CD28</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Apoptosis</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SIVA1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-0.37</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2.32E-03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Apoptosis</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BECN1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-0.36</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3.91E-03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Signaling</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ACVR2B</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-0.39</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1.42E-03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Signaling</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ACVR1B</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-0.27</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2.79E-02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-0.37</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2.59E-03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PSMA7</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-0.36</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3.67E-03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UBE2V1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-0.35</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4.15E-03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FOXO4</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-0.33</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8.25E-03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-0.29</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1.80E-02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UBE2B</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-0.29</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1.88E-02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UBA52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-0.29</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2.07E-02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UBB</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-0.27</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2.82E-02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TRIM63</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-0.26</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4.03E-02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UBR2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-0.25</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4.28E-02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-0.25</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4.75E-02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STAT4</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PSMA7</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-0.28</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2.56E-02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val="restart"/>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CD2</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USP2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-0.37</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2.38E-03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STUB1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-0.33</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7.25E-03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UBE2V1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-0.32</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1.09E-02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UBE2V1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-0.28</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2.55E-02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FOXO4</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-0.28</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2.78E-02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CD6</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FOXO4</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-0.29</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1.88E-02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val="restart"/>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PTPRC (CD45)</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Apoptosis</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BECN1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1.65E-02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418" w:type="dxa"/>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850"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p>
        </w:tc>
        <w:tc>
          <w:tcPr>
            <w:tcW w:w="1225"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Apoptosis</w:t>
            </w:r>
          </w:p>
        </w:tc>
        <w:tc>
          <w:tcPr>
            <w:tcW w:w="1418"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SIVA1</w:t>
            </w:r>
          </w:p>
        </w:tc>
        <w:tc>
          <w:tcPr>
            <w:tcW w:w="850"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-0.27</w:t>
            </w:r>
          </w:p>
        </w:tc>
        <w:tc>
          <w:tcPr>
            <w:tcW w:w="1225"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3.07E-02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Signaling</w:t>
            </w:r>
          </w:p>
        </w:tc>
        <w:tc>
          <w:tcPr>
            <w:tcW w:w="1418"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ACVR2B</w:t>
            </w:r>
          </w:p>
        </w:tc>
        <w:tc>
          <w:tcPr>
            <w:tcW w:w="850"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-0.47</w:t>
            </w:r>
          </w:p>
        </w:tc>
        <w:tc>
          <w:tcPr>
            <w:tcW w:w="1225"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9.17E-05</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Signaling</w:t>
            </w:r>
          </w:p>
        </w:tc>
        <w:tc>
          <w:tcPr>
            <w:tcW w:w="1418"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ACVR1B</w:t>
            </w:r>
          </w:p>
        </w:tc>
        <w:tc>
          <w:tcPr>
            <w:tcW w:w="850"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-0.41</w:t>
            </w:r>
          </w:p>
        </w:tc>
        <w:tc>
          <w:tcPr>
            <w:tcW w:w="1225"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7.61E-04</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STUB1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-0.55</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2.10E-06</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UBB</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-0.51</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2.00E-05</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UBA52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-0.50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3.16E-05</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-0.49</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3.62E-05</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-0.48</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5.33E-05</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UBB</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-0.48</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5.70E-05</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-0.45</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2.25E-04</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-0.44</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2.34E-04</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UBA52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-0.41</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8.11E-04</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UBE2R2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-0.37</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2.48E-03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UBA52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-0.36</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3.60E-03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PSMA7</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-0.35</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4.17E-03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USP2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-0.32</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9.14E-03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DNAJC11</w:t>
            </w:r>
          </w:p>
        </w:tc>
        <w:tc>
          <w:tcPr>
            <w:tcW w:w="850"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-0.30</w:t>
            </w:r>
          </w:p>
        </w:tc>
        <w:tc>
          <w:tcPr>
            <w:tcW w:w="1225"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1.49E-02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TRIM63</w:t>
            </w:r>
          </w:p>
        </w:tc>
        <w:tc>
          <w:tcPr>
            <w:tcW w:w="850"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-0.26</w:t>
            </w:r>
          </w:p>
        </w:tc>
        <w:tc>
          <w:tcPr>
            <w:tcW w:w="1225" w:type="dxa"/>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3.67E-02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MUL1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-0.27</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3.29E-02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FOXO4</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-0.26</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3.68E-02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UBE2V1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-0.26</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4.09E-02</w:t>
            </w:r>
          </w:p>
        </w:tc>
      </w:tr>
      <w:tr w:rsidR="005F5A51" w:rsidRPr="00B502CE" w:rsidTr="008E6D1E">
        <w:trPr>
          <w:trHeight w:val="199"/>
        </w:trPr>
        <w:tc>
          <w:tcPr>
            <w:tcW w:w="1980" w:type="dxa"/>
            <w:vMerge/>
            <w:noWrap/>
          </w:tcPr>
          <w:p w:rsidR="005F5A51" w:rsidRPr="00B502CE" w:rsidRDefault="005F5A51" w:rsidP="008E6D1E">
            <w:pPr>
              <w:jc w:val="right"/>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IL2RB</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Apoptosis</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BECN1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-0.31</w:t>
            </w:r>
          </w:p>
        </w:tc>
        <w:tc>
          <w:tcPr>
            <w:tcW w:w="1225" w:type="dxa"/>
            <w:noWrap/>
            <w:hideMark/>
          </w:tcPr>
          <w:p w:rsidR="005F5A51" w:rsidRPr="00B502CE" w:rsidRDefault="005F5A51" w:rsidP="008E6D1E">
            <w:pPr>
              <w:jc w:val="right"/>
              <w:rPr>
                <w:rFonts w:ascii="Times New Roman" w:eastAsia="Times New Roman" w:hAnsi="Times New Roman" w:cs="Times New Roman"/>
                <w:color w:val="006100"/>
                <w:sz w:val="20"/>
                <w:szCs w:val="20"/>
                <w:lang w:eastAsia="en-CA"/>
              </w:rPr>
            </w:pPr>
            <w:r w:rsidRPr="00B502CE">
              <w:rPr>
                <w:rFonts w:ascii="Times New Roman" w:eastAsia="Times New Roman" w:hAnsi="Times New Roman" w:cs="Times New Roman"/>
                <w:color w:val="006100"/>
                <w:sz w:val="20"/>
                <w:szCs w:val="20"/>
                <w:lang w:eastAsia="en-CA"/>
              </w:rPr>
              <w:t>1.39E-02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IL2RB</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Signaling</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ACVR2B</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-0.33</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8.24E-03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IL2RB</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-0.46</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1.36E-04</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IL2RB</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-0.44</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2.58E-04</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IL2RB</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UBC</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9.27E-04</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IL2RB</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FOXO4</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-0.32</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9.18E-03</w:t>
            </w:r>
          </w:p>
        </w:tc>
      </w:tr>
      <w:tr w:rsidR="005F5A51" w:rsidRPr="00B502CE" w:rsidTr="008E6D1E">
        <w:trPr>
          <w:trHeight w:val="199"/>
        </w:trPr>
        <w:tc>
          <w:tcPr>
            <w:tcW w:w="1980" w:type="dxa"/>
            <w:vMerge w:val="restart"/>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CD8 T cell specific function</w:t>
            </w: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FASLG</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USP2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-0.40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1.09E-03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FASLG</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FOXO4</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-0.30</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1.50E-02</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GZMA</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USP2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-0.35</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4.75E-03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GZMK</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USP2</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-0.33</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6.89E-03</w:t>
            </w:r>
          </w:p>
        </w:tc>
      </w:tr>
      <w:tr w:rsidR="005F5A51" w:rsidRPr="00B502CE" w:rsidTr="008E6D1E">
        <w:trPr>
          <w:trHeight w:val="199"/>
        </w:trPr>
        <w:tc>
          <w:tcPr>
            <w:tcW w:w="1980" w:type="dxa"/>
            <w:vMerge/>
            <w:noWrap/>
          </w:tcPr>
          <w:p w:rsidR="005F5A51" w:rsidRPr="00B502CE" w:rsidRDefault="005F5A51" w:rsidP="008E6D1E">
            <w:pPr>
              <w:rPr>
                <w:rFonts w:ascii="Times New Roman" w:eastAsia="Times New Roman" w:hAnsi="Times New Roman" w:cs="Times New Roman"/>
                <w:color w:val="000000"/>
                <w:sz w:val="20"/>
                <w:szCs w:val="20"/>
                <w:lang w:eastAsia="en-CA"/>
              </w:rPr>
            </w:pPr>
          </w:p>
        </w:tc>
        <w:tc>
          <w:tcPr>
            <w:tcW w:w="1276"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GZMK</w:t>
            </w:r>
          </w:p>
        </w:tc>
        <w:tc>
          <w:tcPr>
            <w:tcW w:w="2551"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Ubiquitin proteasome</w:t>
            </w:r>
          </w:p>
        </w:tc>
        <w:tc>
          <w:tcPr>
            <w:tcW w:w="1418" w:type="dxa"/>
            <w:noWrap/>
            <w:hideMark/>
          </w:tcPr>
          <w:p w:rsidR="005F5A51" w:rsidRPr="00B502CE" w:rsidRDefault="005F5A51" w:rsidP="008E6D1E">
            <w:pPr>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STUB1</w:t>
            </w:r>
          </w:p>
        </w:tc>
        <w:tc>
          <w:tcPr>
            <w:tcW w:w="850"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-0.27</w:t>
            </w:r>
          </w:p>
        </w:tc>
        <w:tc>
          <w:tcPr>
            <w:tcW w:w="1225" w:type="dxa"/>
            <w:noWrap/>
            <w:hideMark/>
          </w:tcPr>
          <w:p w:rsidR="005F5A51" w:rsidRPr="00B502CE" w:rsidRDefault="005F5A51" w:rsidP="008E6D1E">
            <w:pPr>
              <w:jc w:val="right"/>
              <w:rPr>
                <w:rFonts w:ascii="Times New Roman" w:eastAsia="Times New Roman" w:hAnsi="Times New Roman" w:cs="Times New Roman"/>
                <w:color w:val="000000"/>
                <w:sz w:val="20"/>
                <w:szCs w:val="20"/>
                <w:lang w:eastAsia="en-CA"/>
              </w:rPr>
            </w:pPr>
            <w:r w:rsidRPr="00B502CE">
              <w:rPr>
                <w:rFonts w:ascii="Times New Roman" w:eastAsia="Times New Roman" w:hAnsi="Times New Roman" w:cs="Times New Roman"/>
                <w:color w:val="000000"/>
                <w:sz w:val="20"/>
                <w:szCs w:val="20"/>
                <w:lang w:eastAsia="en-CA"/>
              </w:rPr>
              <w:t>3.32E-02</w:t>
            </w:r>
          </w:p>
        </w:tc>
      </w:tr>
      <w:tr w:rsidR="005F5A51" w:rsidRPr="00B502CE" w:rsidTr="008E6D1E">
        <w:trPr>
          <w:trHeight w:val="199"/>
        </w:trPr>
        <w:tc>
          <w:tcPr>
            <w:tcW w:w="9300" w:type="dxa"/>
            <w:gridSpan w:val="6"/>
            <w:noWrap/>
          </w:tcPr>
          <w:p w:rsidR="005F5A51" w:rsidRPr="00B502CE" w:rsidRDefault="005F5A51" w:rsidP="008E6D1E">
            <w:pPr>
              <w:rPr>
                <w:rFonts w:ascii="Times New Roman" w:eastAsia="Times New Roman" w:hAnsi="Times New Roman" w:cs="Times New Roman"/>
                <w:color w:val="000000"/>
                <w:sz w:val="20"/>
                <w:szCs w:val="20"/>
                <w:lang w:eastAsia="en-CA"/>
              </w:rPr>
            </w:pPr>
            <w:r w:rsidRPr="00BD1EF4">
              <w:rPr>
                <w:rFonts w:ascii="Times New Roman" w:eastAsia="Times New Roman" w:hAnsi="Times New Roman" w:cs="Times New Roman"/>
                <w:color w:val="000000"/>
                <w:sz w:val="20"/>
                <w:szCs w:val="20"/>
                <w:lang w:val="en-US" w:eastAsia="en-CA"/>
              </w:rPr>
              <w:t>r= Pearson's correlation coefficient. p = &lt;0.05: statistical significance.</w:t>
            </w:r>
            <w:r>
              <w:rPr>
                <w:rFonts w:ascii="Times New Roman" w:eastAsia="Times New Roman" w:hAnsi="Times New Roman" w:cs="Times New Roman"/>
                <w:color w:val="000000"/>
                <w:sz w:val="20"/>
                <w:szCs w:val="20"/>
                <w:lang w:val="en-US" w:eastAsia="en-CA"/>
              </w:rPr>
              <w:t xml:space="preserve"> Genes analyzed in the preset table are based on the univariate negative gene correlations from the secondary male cohort (a 46 gene list). No significant or negative correlations where observed for LCK, CASP8, ATG13, FBXO32, UBE2L3 and USP4.</w:t>
            </w:r>
          </w:p>
        </w:tc>
      </w:tr>
    </w:tbl>
    <w:p w:rsidR="00920B2F" w:rsidRDefault="00920B2F" w:rsidP="00271817">
      <w:pPr>
        <w:jc w:val="both"/>
        <w:rPr>
          <w:rFonts w:ascii="Times New Roman" w:hAnsi="Times New Roman" w:cs="Times New Roman"/>
        </w:rPr>
      </w:pPr>
    </w:p>
    <w:sectPr w:rsidR="00920B2F" w:rsidSect="005E26B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C0" w:rsidRDefault="00495FC0">
      <w:pPr>
        <w:spacing w:after="0" w:line="240" w:lineRule="auto"/>
      </w:pPr>
      <w:r>
        <w:separator/>
      </w:r>
    </w:p>
  </w:endnote>
  <w:endnote w:type="continuationSeparator" w:id="0">
    <w:p w:rsidR="00495FC0" w:rsidRDefault="0049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10487"/>
      <w:docPartObj>
        <w:docPartGallery w:val="Page Numbers (Bottom of Page)"/>
        <w:docPartUnique/>
      </w:docPartObj>
    </w:sdtPr>
    <w:sdtEndPr>
      <w:rPr>
        <w:noProof/>
      </w:rPr>
    </w:sdtEndPr>
    <w:sdtContent>
      <w:p w:rsidR="003A6677" w:rsidRDefault="003A6677">
        <w:pPr>
          <w:pStyle w:val="Footer"/>
          <w:jc w:val="right"/>
        </w:pPr>
        <w:r>
          <w:fldChar w:fldCharType="begin"/>
        </w:r>
        <w:r>
          <w:instrText xml:space="preserve"> PAGE   \* MERGEFORMAT </w:instrText>
        </w:r>
        <w:r>
          <w:fldChar w:fldCharType="separate"/>
        </w:r>
        <w:r w:rsidR="006A06E4">
          <w:rPr>
            <w:noProof/>
          </w:rPr>
          <w:t>1</w:t>
        </w:r>
        <w:r>
          <w:rPr>
            <w:noProof/>
          </w:rPr>
          <w:fldChar w:fldCharType="end"/>
        </w:r>
      </w:p>
    </w:sdtContent>
  </w:sdt>
  <w:p w:rsidR="003A6677" w:rsidRDefault="003A6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C0" w:rsidRDefault="00495FC0">
      <w:pPr>
        <w:spacing w:after="0" w:line="240" w:lineRule="auto"/>
      </w:pPr>
      <w:r>
        <w:separator/>
      </w:r>
    </w:p>
  </w:footnote>
  <w:footnote w:type="continuationSeparator" w:id="0">
    <w:p w:rsidR="00495FC0" w:rsidRDefault="00495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3"/>
  </w:docVars>
  <w:rsids>
    <w:rsidRoot w:val="00271817"/>
    <w:rsid w:val="000240EB"/>
    <w:rsid w:val="0013038E"/>
    <w:rsid w:val="0014469D"/>
    <w:rsid w:val="00271817"/>
    <w:rsid w:val="00354ED3"/>
    <w:rsid w:val="003720F2"/>
    <w:rsid w:val="003A6677"/>
    <w:rsid w:val="00490641"/>
    <w:rsid w:val="00495FC0"/>
    <w:rsid w:val="004B117D"/>
    <w:rsid w:val="00536D54"/>
    <w:rsid w:val="005E26B0"/>
    <w:rsid w:val="005F5A51"/>
    <w:rsid w:val="0060037D"/>
    <w:rsid w:val="00694D37"/>
    <w:rsid w:val="006A06E4"/>
    <w:rsid w:val="007E022F"/>
    <w:rsid w:val="00920B2F"/>
    <w:rsid w:val="009231A4"/>
    <w:rsid w:val="00927897"/>
    <w:rsid w:val="00972A71"/>
    <w:rsid w:val="00A113C9"/>
    <w:rsid w:val="00B334DC"/>
    <w:rsid w:val="00BD1EF4"/>
    <w:rsid w:val="00BE630D"/>
    <w:rsid w:val="00C30BFF"/>
    <w:rsid w:val="00C61FF3"/>
    <w:rsid w:val="00D5552E"/>
    <w:rsid w:val="00D57F09"/>
    <w:rsid w:val="00DC395D"/>
    <w:rsid w:val="00E22FCE"/>
    <w:rsid w:val="00E74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817"/>
  </w:style>
  <w:style w:type="paragraph" w:styleId="BalloonText">
    <w:name w:val="Balloon Text"/>
    <w:basedOn w:val="Normal"/>
    <w:link w:val="BalloonTextChar"/>
    <w:uiPriority w:val="99"/>
    <w:semiHidden/>
    <w:unhideWhenUsed/>
    <w:rsid w:val="00DC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817"/>
  </w:style>
  <w:style w:type="paragraph" w:styleId="BalloonText">
    <w:name w:val="Balloon Text"/>
    <w:basedOn w:val="Normal"/>
    <w:link w:val="BalloonTextChar"/>
    <w:uiPriority w:val="99"/>
    <w:semiHidden/>
    <w:unhideWhenUsed/>
    <w:rsid w:val="00DC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2068-B089-42F0-8DD9-1F36506E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3237</Characters>
  <Application>Microsoft Office Word</Application>
  <DocSecurity>0</DocSecurity>
  <Lines>462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Anoveros</dc:creator>
  <cp:lastModifiedBy>S3G_Reference_Citation_Sequence</cp:lastModifiedBy>
  <cp:revision>3</cp:revision>
  <cp:lastPrinted>2019-04-03T20:21:00Z</cp:lastPrinted>
  <dcterms:created xsi:type="dcterms:W3CDTF">2019-08-17T18:05:00Z</dcterms:created>
  <dcterms:modified xsi:type="dcterms:W3CDTF">2019-08-17T18:10:00Z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http://www.zotero.org/styles/ieee-acm-transactions-on-computational-biology-and-bioinformatics</vt:lpwstr>
  </property>
  <property fmtid="{D5CDD505-2E9C-101B-9397-08002B2CF9AE}" pid="13" name="Mendeley Recent Style Name 5_1">
    <vt:lpwstr>IEEE/ACM Transactions on Computational Biology and Bioinformatics</vt:lpwstr>
  </property>
  <property fmtid="{D5CDD505-2E9C-101B-9397-08002B2CF9AE}" pid="14" name="Mendeley Recent Style Id 6_1">
    <vt:lpwstr>http://www.zotero.org/styles/journal-of-applied-physiology</vt:lpwstr>
  </property>
  <property fmtid="{D5CDD505-2E9C-101B-9397-08002B2CF9AE}" pid="15" name="Mendeley Recent Style Name 6_1">
    <vt:lpwstr>Journal of Applied Physiology</vt:lpwstr>
  </property>
  <property fmtid="{D5CDD505-2E9C-101B-9397-08002B2CF9AE}" pid="16" name="Mendeley Recent Style Id 7_1">
    <vt:lpwstr>http://www.zotero.org/styles/journal-of-cachexia-sarcopenia-and-muscle</vt:lpwstr>
  </property>
  <property fmtid="{D5CDD505-2E9C-101B-9397-08002B2CF9AE}" pid="17" name="Mendeley Recent Style Name 7_1">
    <vt:lpwstr>Journal of Cachexia, Sarcopenia and Muscle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