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2F" w:rsidRPr="007A7570" w:rsidRDefault="00920B2F" w:rsidP="00271817">
      <w:pPr>
        <w:jc w:val="both"/>
        <w:rPr>
          <w:rFonts w:ascii="Times New Roman" w:hAnsi="Times New Roman" w:cs="Times New Roman"/>
          <w:lang w:val="en-US"/>
        </w:rPr>
      </w:pPr>
      <w:bookmarkStart w:id="0" w:name="_GoBack"/>
      <w:bookmarkEnd w:id="0"/>
    </w:p>
    <w:tbl>
      <w:tblPr>
        <w:tblStyle w:val="TableGrid"/>
        <w:tblpPr w:leftFromText="180" w:rightFromText="180" w:vertAnchor="page" w:horzAnchor="margin" w:tblpY="2052"/>
        <w:tblW w:w="9238" w:type="dxa"/>
        <w:tblLook w:val="04A0" w:firstRow="1" w:lastRow="0" w:firstColumn="1" w:lastColumn="0" w:noHBand="0" w:noVBand="1"/>
      </w:tblPr>
      <w:tblGrid>
        <w:gridCol w:w="4428"/>
        <w:gridCol w:w="2404"/>
        <w:gridCol w:w="2406"/>
      </w:tblGrid>
      <w:tr w:rsidR="005F5A51" w:rsidRPr="009E243A" w:rsidTr="008E6D1E">
        <w:trPr>
          <w:trHeight w:val="135"/>
        </w:trPr>
        <w:tc>
          <w:tcPr>
            <w:tcW w:w="9238" w:type="dxa"/>
            <w:gridSpan w:val="3"/>
            <w:vAlign w:val="center"/>
          </w:tcPr>
          <w:p w:rsidR="005F5A51" w:rsidRPr="009E243A" w:rsidRDefault="005F5A51" w:rsidP="008E6D1E">
            <w:pPr>
              <w:rPr>
                <w:rFonts w:ascii="Times New Roman" w:hAnsi="Times New Roman" w:cs="Times New Roman"/>
                <w:b/>
                <w:lang w:val="en-US"/>
              </w:rPr>
            </w:pPr>
            <w:r w:rsidRPr="009E243A">
              <w:rPr>
                <w:rFonts w:ascii="Times New Roman" w:hAnsi="Times New Roman" w:cs="Times New Roman"/>
                <w:b/>
                <w:lang w:val="en-US"/>
              </w:rPr>
              <w:t xml:space="preserve">Table S3. Patient characteristics, </w:t>
            </w:r>
            <w:r>
              <w:rPr>
                <w:rFonts w:ascii="Times New Roman" w:hAnsi="Times New Roman" w:cs="Times New Roman"/>
                <w:b/>
                <w:lang w:val="en-US"/>
              </w:rPr>
              <w:t>secondary cohort</w:t>
            </w:r>
            <w:r w:rsidRPr="009E243A">
              <w:rPr>
                <w:rFonts w:ascii="Times New Roman" w:hAnsi="Times New Roman" w:cs="Times New Roman"/>
                <w:b/>
                <w:lang w:val="en-US"/>
              </w:rPr>
              <w:t xml:space="preserve"> with microarray analysis in rectus abdominis muscle</w:t>
            </w:r>
          </w:p>
        </w:tc>
      </w:tr>
      <w:tr w:rsidR="005F5A51" w:rsidRPr="009E243A" w:rsidTr="008E6D1E">
        <w:trPr>
          <w:trHeight w:val="135"/>
        </w:trPr>
        <w:tc>
          <w:tcPr>
            <w:tcW w:w="4428" w:type="dxa"/>
            <w:vAlign w:val="center"/>
          </w:tcPr>
          <w:p w:rsidR="005F5A51" w:rsidRPr="009E243A" w:rsidRDefault="005F5A51" w:rsidP="008E6D1E">
            <w:pPr>
              <w:jc w:val="center"/>
              <w:rPr>
                <w:rFonts w:ascii="Times New Roman" w:hAnsi="Times New Roman" w:cs="Times New Roman"/>
                <w:lang w:val="en-US"/>
              </w:rPr>
            </w:pPr>
          </w:p>
        </w:tc>
        <w:tc>
          <w:tcPr>
            <w:tcW w:w="2404" w:type="dxa"/>
            <w:vAlign w:val="center"/>
          </w:tcPr>
          <w:p w:rsidR="005F5A51" w:rsidRPr="009E243A" w:rsidRDefault="005F5A51" w:rsidP="008E6D1E">
            <w:pPr>
              <w:jc w:val="center"/>
              <w:rPr>
                <w:rFonts w:ascii="Times New Roman" w:hAnsi="Times New Roman" w:cs="Times New Roman"/>
                <w:b/>
                <w:lang w:val="en-US"/>
              </w:rPr>
            </w:pPr>
            <w:r>
              <w:rPr>
                <w:rFonts w:ascii="Times New Roman" w:hAnsi="Times New Roman" w:cs="Times New Roman"/>
                <w:b/>
                <w:lang w:val="en-US"/>
              </w:rPr>
              <w:t>Males (</w:t>
            </w:r>
            <w:r w:rsidRPr="009E243A">
              <w:rPr>
                <w:rFonts w:ascii="Times New Roman" w:hAnsi="Times New Roman" w:cs="Times New Roman"/>
                <w:b/>
                <w:lang w:val="en-US"/>
              </w:rPr>
              <w:t>n=69</w:t>
            </w:r>
            <w:r>
              <w:rPr>
                <w:rFonts w:ascii="Times New Roman" w:hAnsi="Times New Roman" w:cs="Times New Roman"/>
                <w:b/>
                <w:lang w:val="en-US"/>
              </w:rPr>
              <w:t>)</w:t>
            </w:r>
          </w:p>
        </w:tc>
        <w:tc>
          <w:tcPr>
            <w:tcW w:w="2406" w:type="dxa"/>
          </w:tcPr>
          <w:p w:rsidR="005F5A51" w:rsidRPr="009E243A" w:rsidRDefault="005F5A51" w:rsidP="008E6D1E">
            <w:pPr>
              <w:jc w:val="center"/>
              <w:rPr>
                <w:rFonts w:ascii="Times New Roman" w:hAnsi="Times New Roman" w:cs="Times New Roman"/>
                <w:b/>
                <w:lang w:val="en-US"/>
              </w:rPr>
            </w:pPr>
            <w:r>
              <w:rPr>
                <w:rFonts w:ascii="Times New Roman" w:hAnsi="Times New Roman" w:cs="Times New Roman"/>
                <w:b/>
                <w:lang w:val="en-US"/>
              </w:rPr>
              <w:t>Females (</w:t>
            </w:r>
            <w:r w:rsidRPr="009E243A">
              <w:rPr>
                <w:rFonts w:ascii="Times New Roman" w:hAnsi="Times New Roman" w:cs="Times New Roman"/>
                <w:b/>
                <w:lang w:val="en-US"/>
              </w:rPr>
              <w:t>n=64</w:t>
            </w:r>
            <w:r>
              <w:rPr>
                <w:rFonts w:ascii="Times New Roman" w:hAnsi="Times New Roman" w:cs="Times New Roman"/>
                <w:b/>
                <w:lang w:val="en-US"/>
              </w:rPr>
              <w:t>)</w:t>
            </w:r>
          </w:p>
        </w:tc>
      </w:tr>
      <w:tr w:rsidR="005F5A51" w:rsidRPr="009E243A" w:rsidTr="008E6D1E">
        <w:trPr>
          <w:trHeight w:val="268"/>
        </w:trPr>
        <w:tc>
          <w:tcPr>
            <w:tcW w:w="4428" w:type="dxa"/>
            <w:vAlign w:val="center"/>
          </w:tcPr>
          <w:p w:rsidR="005F5A51" w:rsidRPr="009E243A" w:rsidRDefault="005F5A51" w:rsidP="008E6D1E">
            <w:pPr>
              <w:rPr>
                <w:rFonts w:ascii="Times New Roman" w:hAnsi="Times New Roman" w:cs="Times New Roman"/>
                <w:b/>
                <w:lang w:val="en-US"/>
              </w:rPr>
            </w:pPr>
            <w:r w:rsidRPr="009E243A">
              <w:rPr>
                <w:rFonts w:ascii="Times New Roman" w:hAnsi="Times New Roman" w:cs="Times New Roman"/>
                <w:b/>
                <w:lang w:val="en-US"/>
              </w:rPr>
              <w:t>Age, mean years ± SD (Min-Max)</w:t>
            </w:r>
          </w:p>
        </w:tc>
        <w:tc>
          <w:tcPr>
            <w:tcW w:w="2404" w:type="dxa"/>
            <w:vAlign w:val="center"/>
          </w:tcPr>
          <w:p w:rsidR="005F5A51" w:rsidRPr="009E243A" w:rsidRDefault="005F5A51" w:rsidP="008E6D1E">
            <w:pPr>
              <w:jc w:val="center"/>
              <w:rPr>
                <w:rFonts w:ascii="Times New Roman" w:hAnsi="Times New Roman" w:cs="Times New Roman"/>
                <w:lang w:val="en-US"/>
              </w:rPr>
            </w:pPr>
            <w:r w:rsidRPr="009E243A">
              <w:rPr>
                <w:rFonts w:ascii="Times New Roman" w:hAnsi="Times New Roman" w:cs="Times New Roman"/>
                <w:lang w:val="en-US"/>
              </w:rPr>
              <w:t>59±13 (19-87)</w:t>
            </w:r>
          </w:p>
        </w:tc>
        <w:tc>
          <w:tcPr>
            <w:tcW w:w="2406" w:type="dxa"/>
          </w:tcPr>
          <w:p w:rsidR="005F5A51" w:rsidRPr="009E243A" w:rsidRDefault="005F5A51" w:rsidP="008E6D1E">
            <w:pPr>
              <w:jc w:val="center"/>
              <w:rPr>
                <w:rFonts w:ascii="Times New Roman" w:hAnsi="Times New Roman" w:cs="Times New Roman"/>
                <w:lang w:val="en-US"/>
              </w:rPr>
            </w:pPr>
            <w:r w:rsidRPr="009E243A">
              <w:rPr>
                <w:rFonts w:ascii="Times New Roman" w:hAnsi="Times New Roman" w:cs="Times New Roman"/>
                <w:lang w:val="en-US"/>
              </w:rPr>
              <w:t>63±14 (21-88)</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b/>
                <w:lang w:val="en-US"/>
              </w:rPr>
            </w:pPr>
            <w:r w:rsidRPr="009E243A">
              <w:rPr>
                <w:rFonts w:ascii="Times New Roman" w:hAnsi="Times New Roman" w:cs="Times New Roman"/>
                <w:b/>
                <w:lang w:val="en-US"/>
              </w:rPr>
              <w:t>Tumor type, % (n):</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p>
        </w:tc>
        <w:tc>
          <w:tcPr>
            <w:tcW w:w="2406" w:type="dxa"/>
          </w:tcPr>
          <w:p w:rsidR="005F5A51" w:rsidRPr="009E243A" w:rsidRDefault="005F5A51" w:rsidP="008E6D1E">
            <w:pPr>
              <w:jc w:val="center"/>
              <w:rPr>
                <w:rFonts w:ascii="Times New Roman" w:hAnsi="Times New Roman" w:cs="Times New Roman"/>
                <w:color w:val="000000"/>
                <w:lang w:val="en-US"/>
              </w:rPr>
            </w:pP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color w:val="000000"/>
                <w:lang w:val="en-US"/>
              </w:rPr>
            </w:pPr>
            <w:r w:rsidRPr="009E243A">
              <w:rPr>
                <w:rFonts w:ascii="Times New Roman" w:hAnsi="Times New Roman" w:cs="Times New Roman"/>
                <w:color w:val="000000"/>
                <w:lang w:val="en-US"/>
              </w:rPr>
              <w:t>Colorectal</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39 (27)</w:t>
            </w:r>
          </w:p>
        </w:tc>
        <w:tc>
          <w:tcPr>
            <w:tcW w:w="2406" w:type="dxa"/>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14 (9)</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color w:val="000000"/>
                <w:lang w:val="en-US"/>
              </w:rPr>
            </w:pPr>
            <w:r w:rsidRPr="009E243A">
              <w:rPr>
                <w:rFonts w:ascii="Times New Roman" w:hAnsi="Times New Roman" w:cs="Times New Roman"/>
                <w:color w:val="000000"/>
                <w:lang w:val="en-US"/>
              </w:rPr>
              <w:t>Pancreas</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14 (10)</w:t>
            </w:r>
          </w:p>
        </w:tc>
        <w:tc>
          <w:tcPr>
            <w:tcW w:w="2406" w:type="dxa"/>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23(15)</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color w:val="000000"/>
                <w:lang w:val="en-US"/>
              </w:rPr>
            </w:pPr>
            <w:r w:rsidRPr="009E243A">
              <w:rPr>
                <w:rFonts w:ascii="Times New Roman" w:hAnsi="Times New Roman" w:cs="Times New Roman"/>
                <w:color w:val="000000"/>
                <w:lang w:val="en-US"/>
              </w:rPr>
              <w:t>Liver or intrahepatic bile ducts</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7 (5)</w:t>
            </w:r>
          </w:p>
        </w:tc>
        <w:tc>
          <w:tcPr>
            <w:tcW w:w="2406" w:type="dxa"/>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5 (3)</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color w:val="000000"/>
                <w:lang w:val="en-US"/>
              </w:rPr>
            </w:pPr>
            <w:r w:rsidRPr="009E243A">
              <w:rPr>
                <w:rFonts w:ascii="Times New Roman" w:hAnsi="Times New Roman" w:cs="Times New Roman"/>
                <w:color w:val="000000"/>
                <w:lang w:val="en-US"/>
              </w:rPr>
              <w:t>Biliary tract</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4 (3)</w:t>
            </w:r>
          </w:p>
        </w:tc>
        <w:tc>
          <w:tcPr>
            <w:tcW w:w="2406" w:type="dxa"/>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8 (5)</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color w:val="000000"/>
                <w:lang w:val="en-US"/>
              </w:rPr>
            </w:pPr>
            <w:r w:rsidRPr="009E243A">
              <w:rPr>
                <w:rFonts w:ascii="Times New Roman" w:hAnsi="Times New Roman" w:cs="Times New Roman"/>
                <w:color w:val="000000"/>
                <w:lang w:val="en-US"/>
              </w:rPr>
              <w:t>Others gastrointestinal*</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9 (6)</w:t>
            </w:r>
          </w:p>
        </w:tc>
        <w:tc>
          <w:tcPr>
            <w:tcW w:w="2406" w:type="dxa"/>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3 (2)</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color w:val="000000"/>
                <w:lang w:val="en-US"/>
              </w:rPr>
            </w:pPr>
            <w:r w:rsidRPr="009E243A">
              <w:rPr>
                <w:rFonts w:ascii="Times New Roman" w:hAnsi="Times New Roman" w:cs="Times New Roman"/>
                <w:color w:val="000000"/>
                <w:lang w:val="en-US"/>
              </w:rPr>
              <w:t>Others*</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8 (4)</w:t>
            </w:r>
          </w:p>
        </w:tc>
        <w:tc>
          <w:tcPr>
            <w:tcW w:w="2406" w:type="dxa"/>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22 (14)</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color w:val="000000"/>
                <w:lang w:val="en-US"/>
              </w:rPr>
            </w:pPr>
            <w:r w:rsidRPr="009E243A">
              <w:rPr>
                <w:rFonts w:ascii="Times New Roman" w:hAnsi="Times New Roman" w:cs="Times New Roman"/>
                <w:color w:val="000000"/>
                <w:lang w:val="en-US"/>
              </w:rPr>
              <w:t>Non-malignant disease</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20 (14)</w:t>
            </w:r>
          </w:p>
        </w:tc>
        <w:tc>
          <w:tcPr>
            <w:tcW w:w="2406" w:type="dxa"/>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25 (16)</w:t>
            </w:r>
          </w:p>
        </w:tc>
      </w:tr>
      <w:tr w:rsidR="005F5A51" w:rsidRPr="009E243A" w:rsidTr="008E6D1E">
        <w:trPr>
          <w:trHeight w:val="268"/>
        </w:trPr>
        <w:tc>
          <w:tcPr>
            <w:tcW w:w="4428" w:type="dxa"/>
            <w:vAlign w:val="center"/>
          </w:tcPr>
          <w:p w:rsidR="005F5A51" w:rsidRPr="009E243A" w:rsidRDefault="005F5A51" w:rsidP="008E6D1E">
            <w:pPr>
              <w:rPr>
                <w:rFonts w:ascii="Times New Roman" w:hAnsi="Times New Roman" w:cs="Times New Roman"/>
                <w:b/>
                <w:lang w:val="en-US"/>
              </w:rPr>
            </w:pPr>
            <w:r>
              <w:rPr>
                <w:rFonts w:ascii="Times New Roman" w:hAnsi="Times New Roman" w:cs="Times New Roman"/>
                <w:b/>
                <w:lang w:val="en-US"/>
              </w:rPr>
              <w:t xml:space="preserve">Presence of metastasis, </w:t>
            </w:r>
            <w:r w:rsidRPr="009E243A">
              <w:rPr>
                <w:rFonts w:ascii="Times New Roman" w:hAnsi="Times New Roman" w:cs="Times New Roman"/>
                <w:b/>
                <w:lang w:val="en-US"/>
              </w:rPr>
              <w:t>n</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35</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16</w:t>
            </w:r>
          </w:p>
        </w:tc>
      </w:tr>
      <w:tr w:rsidR="005F5A51" w:rsidRPr="009E243A" w:rsidTr="008E6D1E">
        <w:trPr>
          <w:trHeight w:val="268"/>
        </w:trPr>
        <w:tc>
          <w:tcPr>
            <w:tcW w:w="4428" w:type="dxa"/>
            <w:vAlign w:val="center"/>
          </w:tcPr>
          <w:p w:rsidR="005F5A51" w:rsidRPr="009E243A" w:rsidRDefault="005F5A51" w:rsidP="008E6D1E">
            <w:pPr>
              <w:rPr>
                <w:rFonts w:ascii="Times New Roman" w:hAnsi="Times New Roman" w:cs="Times New Roman"/>
                <w:b/>
                <w:lang w:val="en-US"/>
              </w:rPr>
            </w:pPr>
            <w:r w:rsidRPr="009E243A">
              <w:rPr>
                <w:rFonts w:ascii="Times New Roman" w:hAnsi="Times New Roman" w:cs="Times New Roman"/>
                <w:b/>
                <w:lang w:val="en-US"/>
              </w:rPr>
              <w:t>Chemotherapy exposure within</w:t>
            </w:r>
            <w:r>
              <w:rPr>
                <w:rFonts w:ascii="Times New Roman" w:hAnsi="Times New Roman" w:cs="Times New Roman"/>
                <w:b/>
                <w:lang w:val="en-US"/>
              </w:rPr>
              <w:t xml:space="preserve"> 3 months previous to surgery, </w:t>
            </w:r>
            <w:r w:rsidRPr="009E243A">
              <w:rPr>
                <w:rFonts w:ascii="Times New Roman" w:hAnsi="Times New Roman" w:cs="Times New Roman"/>
                <w:b/>
                <w:lang w:val="en-US"/>
              </w:rPr>
              <w:t>n</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20</w:t>
            </w:r>
          </w:p>
        </w:tc>
        <w:tc>
          <w:tcPr>
            <w:tcW w:w="2406" w:type="dxa"/>
            <w:vAlign w:val="center"/>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11</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b/>
                <w:lang w:val="en-US"/>
              </w:rPr>
            </w:pPr>
            <w:r w:rsidRPr="009E243A">
              <w:rPr>
                <w:rFonts w:ascii="Times New Roman" w:hAnsi="Times New Roman" w:cs="Times New Roman"/>
                <w:b/>
                <w:lang w:val="en-US"/>
              </w:rPr>
              <w:t>BMI (kg/m</w:t>
            </w:r>
            <w:r w:rsidRPr="009E243A">
              <w:rPr>
                <w:rFonts w:ascii="Times New Roman" w:hAnsi="Times New Roman" w:cs="Times New Roman"/>
                <w:b/>
                <w:vertAlign w:val="superscript"/>
                <w:lang w:val="en-US"/>
              </w:rPr>
              <w:t>2</w:t>
            </w:r>
            <w:r w:rsidRPr="009E243A">
              <w:rPr>
                <w:rFonts w:ascii="Times New Roman" w:hAnsi="Times New Roman" w:cs="Times New Roman"/>
                <w:b/>
                <w:lang w:val="en-US"/>
              </w:rPr>
              <w:t>), mean ± SD</w:t>
            </w:r>
          </w:p>
        </w:tc>
        <w:tc>
          <w:tcPr>
            <w:tcW w:w="2404" w:type="dxa"/>
            <w:vAlign w:val="center"/>
          </w:tcPr>
          <w:p w:rsidR="005F5A51" w:rsidRPr="009E243A" w:rsidRDefault="005F5A51" w:rsidP="008E6D1E">
            <w:pPr>
              <w:jc w:val="center"/>
              <w:rPr>
                <w:rFonts w:ascii="Times New Roman" w:hAnsi="Times New Roman" w:cs="Times New Roman"/>
                <w:lang w:val="en-US"/>
              </w:rPr>
            </w:pPr>
            <w:r w:rsidRPr="009E243A">
              <w:rPr>
                <w:rFonts w:ascii="Times New Roman" w:hAnsi="Times New Roman" w:cs="Times New Roman"/>
                <w:lang w:val="en-US"/>
              </w:rPr>
              <w:t>27±4</w:t>
            </w:r>
          </w:p>
        </w:tc>
        <w:tc>
          <w:tcPr>
            <w:tcW w:w="2406" w:type="dxa"/>
          </w:tcPr>
          <w:p w:rsidR="005F5A51" w:rsidRPr="009E243A" w:rsidRDefault="005F5A51" w:rsidP="008E6D1E">
            <w:pPr>
              <w:jc w:val="center"/>
              <w:rPr>
                <w:rFonts w:ascii="Times New Roman" w:hAnsi="Times New Roman" w:cs="Times New Roman"/>
                <w:lang w:val="en-US"/>
              </w:rPr>
            </w:pPr>
            <w:r w:rsidRPr="009E243A">
              <w:rPr>
                <w:rFonts w:ascii="Times New Roman" w:hAnsi="Times New Roman" w:cs="Times New Roman"/>
                <w:lang w:val="en-US"/>
              </w:rPr>
              <w:t>2</w:t>
            </w:r>
            <w:r>
              <w:rPr>
                <w:rFonts w:ascii="Times New Roman" w:hAnsi="Times New Roman" w:cs="Times New Roman"/>
                <w:lang w:val="en-US"/>
              </w:rPr>
              <w:t>8</w:t>
            </w:r>
            <w:r w:rsidRPr="009E243A">
              <w:rPr>
                <w:rFonts w:ascii="Times New Roman" w:hAnsi="Times New Roman" w:cs="Times New Roman"/>
                <w:lang w:val="en-US"/>
              </w:rPr>
              <w:t>±</w:t>
            </w:r>
            <w:r>
              <w:rPr>
                <w:rFonts w:ascii="Times New Roman" w:hAnsi="Times New Roman" w:cs="Times New Roman"/>
                <w:lang w:val="en-US"/>
              </w:rPr>
              <w:t>7</w:t>
            </w:r>
          </w:p>
        </w:tc>
      </w:tr>
      <w:tr w:rsidR="005F5A51" w:rsidRPr="009E243A" w:rsidTr="008E6D1E">
        <w:trPr>
          <w:trHeight w:val="131"/>
        </w:trPr>
        <w:tc>
          <w:tcPr>
            <w:tcW w:w="4428" w:type="dxa"/>
            <w:vAlign w:val="center"/>
          </w:tcPr>
          <w:p w:rsidR="005F5A51" w:rsidRPr="009E243A" w:rsidRDefault="005F5A51" w:rsidP="008E6D1E">
            <w:pPr>
              <w:rPr>
                <w:rFonts w:ascii="Times New Roman" w:hAnsi="Times New Roman" w:cs="Times New Roman"/>
                <w:b/>
                <w:lang w:val="en-US"/>
              </w:rPr>
            </w:pPr>
            <w:r w:rsidRPr="009E243A">
              <w:rPr>
                <w:rFonts w:ascii="Times New Roman" w:hAnsi="Times New Roman" w:cs="Times New Roman"/>
                <w:b/>
                <w:lang w:val="en-US"/>
              </w:rPr>
              <w:t>BMI classification</w:t>
            </w:r>
            <w:r>
              <w:rPr>
                <w:rFonts w:ascii="Times New Roman" w:hAnsi="Times New Roman" w:cs="Times New Roman"/>
                <w:b/>
                <w:lang w:val="en-US"/>
              </w:rPr>
              <w:t xml:space="preserve">**, </w:t>
            </w:r>
            <w:r w:rsidRPr="009E243A">
              <w:rPr>
                <w:rFonts w:ascii="Times New Roman" w:hAnsi="Times New Roman" w:cs="Times New Roman"/>
                <w:b/>
                <w:lang w:val="en-US"/>
              </w:rPr>
              <w:t>n:</w:t>
            </w:r>
          </w:p>
        </w:tc>
        <w:tc>
          <w:tcPr>
            <w:tcW w:w="2404" w:type="dxa"/>
            <w:vAlign w:val="center"/>
          </w:tcPr>
          <w:p w:rsidR="005F5A51" w:rsidRPr="009E243A" w:rsidRDefault="005F5A51" w:rsidP="008E6D1E">
            <w:pPr>
              <w:jc w:val="center"/>
              <w:rPr>
                <w:rFonts w:ascii="Times New Roman" w:hAnsi="Times New Roman" w:cs="Times New Roman"/>
                <w:lang w:val="en-US"/>
              </w:rPr>
            </w:pPr>
          </w:p>
        </w:tc>
        <w:tc>
          <w:tcPr>
            <w:tcW w:w="2406" w:type="dxa"/>
          </w:tcPr>
          <w:p w:rsidR="005F5A51" w:rsidRPr="009E243A" w:rsidRDefault="005F5A51" w:rsidP="008E6D1E">
            <w:pPr>
              <w:jc w:val="center"/>
              <w:rPr>
                <w:rFonts w:ascii="Times New Roman" w:hAnsi="Times New Roman" w:cs="Times New Roman"/>
                <w:lang w:val="en-US"/>
              </w:rPr>
            </w:pP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Underweight</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0</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1</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Normal</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23</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16</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Overweight</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28</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14</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Obesity I</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9</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6</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Obesity II</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8</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Obesity III</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0</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2</w:t>
            </w:r>
          </w:p>
        </w:tc>
      </w:tr>
      <w:tr w:rsidR="005F5A51" w:rsidRPr="009E243A" w:rsidTr="008E6D1E">
        <w:trPr>
          <w:trHeight w:val="131"/>
        </w:trPr>
        <w:tc>
          <w:tcPr>
            <w:tcW w:w="4428" w:type="dxa"/>
            <w:vAlign w:val="center"/>
          </w:tcPr>
          <w:p w:rsidR="005F5A51" w:rsidRPr="009E243A" w:rsidRDefault="005F5A51" w:rsidP="008E6D1E">
            <w:pPr>
              <w:rPr>
                <w:rFonts w:ascii="Times New Roman" w:hAnsi="Times New Roman" w:cs="Times New Roman"/>
                <w:b/>
                <w:lang w:val="en-US"/>
              </w:rPr>
            </w:pPr>
            <w:r>
              <w:rPr>
                <w:rFonts w:ascii="Times New Roman" w:hAnsi="Times New Roman" w:cs="Times New Roman"/>
                <w:b/>
                <w:lang w:val="en-US"/>
              </w:rPr>
              <w:t xml:space="preserve">Comorbidities, </w:t>
            </w:r>
            <w:r w:rsidRPr="009E243A">
              <w:rPr>
                <w:rFonts w:ascii="Times New Roman" w:hAnsi="Times New Roman" w:cs="Times New Roman"/>
                <w:b/>
                <w:lang w:val="en-US"/>
              </w:rPr>
              <w:t>n:</w:t>
            </w:r>
          </w:p>
        </w:tc>
        <w:tc>
          <w:tcPr>
            <w:tcW w:w="2404" w:type="dxa"/>
            <w:vAlign w:val="center"/>
          </w:tcPr>
          <w:p w:rsidR="005F5A51" w:rsidRPr="009E243A" w:rsidRDefault="005F5A51" w:rsidP="008E6D1E">
            <w:pPr>
              <w:jc w:val="center"/>
              <w:rPr>
                <w:rFonts w:ascii="Times New Roman" w:hAnsi="Times New Roman" w:cs="Times New Roman"/>
                <w:lang w:val="en-US"/>
              </w:rPr>
            </w:pPr>
          </w:p>
        </w:tc>
        <w:tc>
          <w:tcPr>
            <w:tcW w:w="2406" w:type="dxa"/>
          </w:tcPr>
          <w:p w:rsidR="005F5A51" w:rsidRPr="009E243A" w:rsidRDefault="005F5A51" w:rsidP="008E6D1E">
            <w:pPr>
              <w:jc w:val="center"/>
              <w:rPr>
                <w:rFonts w:ascii="Times New Roman" w:hAnsi="Times New Roman" w:cs="Times New Roman"/>
                <w:lang w:val="en-US"/>
              </w:rPr>
            </w:pP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Diabetes type II</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6 (4)</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9 (6)</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Hypertension</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9 (6)</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16 (10)</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CVD</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9 (6)</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5 (3)</w:t>
            </w:r>
          </w:p>
        </w:tc>
      </w:tr>
      <w:tr w:rsidR="005F5A51" w:rsidRPr="009E243A" w:rsidTr="008E6D1E">
        <w:trPr>
          <w:trHeight w:val="135"/>
        </w:trPr>
        <w:tc>
          <w:tcPr>
            <w:tcW w:w="4428" w:type="dxa"/>
            <w:vAlign w:val="center"/>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Dyslipidemia</w:t>
            </w:r>
          </w:p>
        </w:tc>
        <w:tc>
          <w:tcPr>
            <w:tcW w:w="2404" w:type="dxa"/>
            <w:vAlign w:val="center"/>
          </w:tcPr>
          <w:p w:rsidR="005F5A51" w:rsidRPr="009E243A" w:rsidRDefault="005F5A51" w:rsidP="008E6D1E">
            <w:pPr>
              <w:jc w:val="center"/>
              <w:rPr>
                <w:rFonts w:ascii="Times New Roman" w:hAnsi="Times New Roman" w:cs="Times New Roman"/>
                <w:color w:val="000000"/>
                <w:lang w:val="en-US"/>
              </w:rPr>
            </w:pPr>
            <w:r w:rsidRPr="009E243A">
              <w:rPr>
                <w:rFonts w:ascii="Times New Roman" w:hAnsi="Times New Roman" w:cs="Times New Roman"/>
                <w:color w:val="000000"/>
                <w:lang w:val="en-US"/>
              </w:rPr>
              <w:t>1 (1)</w:t>
            </w:r>
          </w:p>
        </w:tc>
        <w:tc>
          <w:tcPr>
            <w:tcW w:w="2406" w:type="dxa"/>
          </w:tcPr>
          <w:p w:rsidR="005F5A51" w:rsidRPr="009E243A" w:rsidRDefault="005F5A51" w:rsidP="008E6D1E">
            <w:pPr>
              <w:jc w:val="center"/>
              <w:rPr>
                <w:rFonts w:ascii="Times New Roman" w:hAnsi="Times New Roman" w:cs="Times New Roman"/>
                <w:color w:val="000000"/>
                <w:lang w:val="en-US"/>
              </w:rPr>
            </w:pPr>
            <w:r>
              <w:rPr>
                <w:rFonts w:ascii="Times New Roman" w:hAnsi="Times New Roman" w:cs="Times New Roman"/>
                <w:color w:val="000000"/>
                <w:lang w:val="en-US"/>
              </w:rPr>
              <w:t>0 (0)</w:t>
            </w:r>
          </w:p>
        </w:tc>
      </w:tr>
      <w:tr w:rsidR="005F5A51" w:rsidRPr="009E243A" w:rsidTr="008E6D1E">
        <w:trPr>
          <w:trHeight w:val="135"/>
        </w:trPr>
        <w:tc>
          <w:tcPr>
            <w:tcW w:w="4428" w:type="dxa"/>
          </w:tcPr>
          <w:p w:rsidR="005F5A51" w:rsidRPr="009E243A" w:rsidRDefault="005F5A51" w:rsidP="008E6D1E">
            <w:pPr>
              <w:rPr>
                <w:rFonts w:ascii="Times New Roman" w:eastAsia="Times New Roman" w:hAnsi="Times New Roman" w:cs="Times New Roman"/>
                <w:b/>
                <w:color w:val="000000" w:themeColor="text1"/>
                <w:lang w:val="en-US" w:eastAsia="en-CA"/>
              </w:rPr>
            </w:pPr>
            <w:r w:rsidRPr="009E243A">
              <w:rPr>
                <w:rFonts w:ascii="Times New Roman" w:eastAsia="Times New Roman" w:hAnsi="Times New Roman" w:cs="Times New Roman"/>
                <w:b/>
                <w:color w:val="000000" w:themeColor="text1"/>
                <w:lang w:val="en-US" w:eastAsia="en-CA"/>
              </w:rPr>
              <w:t>Computed tomography body composition analysis</w:t>
            </w:r>
            <w:r>
              <w:rPr>
                <w:rFonts w:ascii="Times New Roman" w:eastAsia="Times New Roman" w:hAnsi="Times New Roman" w:cs="Times New Roman"/>
                <w:b/>
                <w:color w:val="000000" w:themeColor="text1"/>
                <w:lang w:val="en-US" w:eastAsia="en-CA"/>
              </w:rPr>
              <w:t>**</w:t>
            </w:r>
            <w:r w:rsidRPr="009E243A">
              <w:rPr>
                <w:rFonts w:ascii="Times New Roman" w:eastAsia="Times New Roman" w:hAnsi="Times New Roman" w:cs="Times New Roman"/>
                <w:b/>
                <w:color w:val="000000" w:themeColor="text1"/>
                <w:lang w:val="en-US" w:eastAsia="en-CA"/>
              </w:rPr>
              <w:t xml:space="preserve">, </w:t>
            </w:r>
            <w:r w:rsidRPr="009E243A">
              <w:rPr>
                <w:rFonts w:ascii="Times New Roman" w:hAnsi="Times New Roman" w:cs="Times New Roman"/>
                <w:b/>
                <w:lang w:val="en-US"/>
              </w:rPr>
              <w:t xml:space="preserve"> mean ± SD:</w:t>
            </w:r>
          </w:p>
        </w:tc>
        <w:tc>
          <w:tcPr>
            <w:tcW w:w="2404" w:type="dxa"/>
          </w:tcPr>
          <w:p w:rsidR="005F5A51" w:rsidRPr="009E243A" w:rsidRDefault="005F5A51" w:rsidP="008E6D1E">
            <w:pPr>
              <w:jc w:val="center"/>
              <w:rPr>
                <w:rFonts w:ascii="Times New Roman" w:eastAsia="Times New Roman" w:hAnsi="Times New Roman" w:cs="Times New Roman"/>
                <w:color w:val="000000" w:themeColor="text1"/>
                <w:lang w:val="en-US" w:eastAsia="en-CA"/>
              </w:rPr>
            </w:pPr>
          </w:p>
        </w:tc>
        <w:tc>
          <w:tcPr>
            <w:tcW w:w="2406" w:type="dxa"/>
          </w:tcPr>
          <w:p w:rsidR="005F5A51" w:rsidRPr="009E243A" w:rsidRDefault="005F5A51" w:rsidP="008E6D1E">
            <w:pPr>
              <w:jc w:val="center"/>
              <w:rPr>
                <w:rFonts w:ascii="Times New Roman" w:eastAsia="Times New Roman" w:hAnsi="Times New Roman" w:cs="Times New Roman"/>
                <w:color w:val="000000" w:themeColor="text1"/>
                <w:lang w:val="en-US" w:eastAsia="en-CA"/>
              </w:rPr>
            </w:pPr>
          </w:p>
        </w:tc>
      </w:tr>
      <w:tr w:rsidR="005F5A51" w:rsidRPr="009E243A" w:rsidTr="008E6D1E">
        <w:trPr>
          <w:trHeight w:val="135"/>
        </w:trPr>
        <w:tc>
          <w:tcPr>
            <w:tcW w:w="4428" w:type="dxa"/>
          </w:tcPr>
          <w:p w:rsidR="005F5A51" w:rsidRPr="009E243A" w:rsidRDefault="005F5A51" w:rsidP="008E6D1E">
            <w:pPr>
              <w:rPr>
                <w:rFonts w:ascii="Times New Roman" w:eastAsia="Times New Roman" w:hAnsi="Times New Roman" w:cs="Times New Roman"/>
                <w:color w:val="000000" w:themeColor="text1"/>
                <w:lang w:val="en-US" w:eastAsia="en-CA"/>
              </w:rPr>
            </w:pPr>
            <w:r w:rsidRPr="009E243A">
              <w:rPr>
                <w:rFonts w:ascii="Times New Roman" w:eastAsia="Times New Roman" w:hAnsi="Times New Roman" w:cs="Times New Roman"/>
                <w:color w:val="000000" w:themeColor="text1"/>
                <w:lang w:val="en-US" w:eastAsia="en-CA"/>
              </w:rPr>
              <w:t>L3 Muscle CSA (cm</w:t>
            </w:r>
            <w:r w:rsidRPr="009E243A">
              <w:rPr>
                <w:rFonts w:ascii="Times New Roman" w:eastAsia="Times New Roman" w:hAnsi="Times New Roman" w:cs="Times New Roman"/>
                <w:color w:val="000000" w:themeColor="text1"/>
                <w:vertAlign w:val="superscript"/>
                <w:lang w:val="en-US" w:eastAsia="en-CA"/>
              </w:rPr>
              <w:t>2</w:t>
            </w:r>
            <w:r w:rsidRPr="009E243A">
              <w:rPr>
                <w:rFonts w:ascii="Times New Roman" w:eastAsia="Times New Roman" w:hAnsi="Times New Roman" w:cs="Times New Roman"/>
                <w:color w:val="000000" w:themeColor="text1"/>
                <w:lang w:val="en-US" w:eastAsia="en-CA"/>
              </w:rPr>
              <w:t xml:space="preserve">) </w:t>
            </w:r>
          </w:p>
        </w:tc>
        <w:tc>
          <w:tcPr>
            <w:tcW w:w="2404" w:type="dxa"/>
          </w:tcPr>
          <w:p w:rsidR="005F5A51" w:rsidRPr="009E243A" w:rsidRDefault="005F5A51" w:rsidP="008E6D1E">
            <w:pPr>
              <w:jc w:val="center"/>
              <w:rPr>
                <w:rFonts w:ascii="Times New Roman" w:eastAsia="Times New Roman" w:hAnsi="Times New Roman" w:cs="Times New Roman"/>
                <w:color w:val="000000" w:themeColor="text1"/>
                <w:lang w:val="en-US" w:eastAsia="en-CA"/>
              </w:rPr>
            </w:pPr>
            <w:r w:rsidRPr="009E243A">
              <w:rPr>
                <w:rFonts w:ascii="Times New Roman" w:eastAsia="Times New Roman" w:hAnsi="Times New Roman" w:cs="Times New Roman"/>
                <w:color w:val="000000" w:themeColor="text1"/>
                <w:lang w:val="en-US" w:eastAsia="en-CA"/>
              </w:rPr>
              <w:t>161.8±28.3</w:t>
            </w:r>
          </w:p>
        </w:tc>
        <w:tc>
          <w:tcPr>
            <w:tcW w:w="2406" w:type="dxa"/>
          </w:tcPr>
          <w:p w:rsidR="005F5A51" w:rsidRPr="009E243A" w:rsidRDefault="005F5A51" w:rsidP="008E6D1E">
            <w:pPr>
              <w:jc w:val="center"/>
              <w:rPr>
                <w:rFonts w:ascii="Times New Roman" w:eastAsia="Times New Roman" w:hAnsi="Times New Roman" w:cs="Times New Roman"/>
                <w:color w:val="000000" w:themeColor="text1"/>
                <w:lang w:val="en-US" w:eastAsia="en-CA"/>
              </w:rPr>
            </w:pPr>
            <w:r>
              <w:rPr>
                <w:rFonts w:ascii="Times New Roman" w:eastAsia="Times New Roman" w:hAnsi="Times New Roman" w:cs="Times New Roman"/>
                <w:color w:val="000000" w:themeColor="text1"/>
                <w:lang w:val="en-US" w:eastAsia="en-CA"/>
              </w:rPr>
              <w:t>135.8</w:t>
            </w:r>
            <w:r w:rsidRPr="009E243A">
              <w:rPr>
                <w:rFonts w:ascii="Times New Roman" w:eastAsia="Times New Roman" w:hAnsi="Times New Roman" w:cs="Times New Roman"/>
                <w:color w:val="000000" w:themeColor="text1"/>
                <w:lang w:val="en-US" w:eastAsia="en-CA"/>
              </w:rPr>
              <w:t>±</w:t>
            </w:r>
            <w:r>
              <w:rPr>
                <w:rFonts w:ascii="Times New Roman" w:eastAsia="Times New Roman" w:hAnsi="Times New Roman" w:cs="Times New Roman"/>
                <w:color w:val="000000" w:themeColor="text1"/>
                <w:lang w:val="en-US" w:eastAsia="en-CA"/>
              </w:rPr>
              <w:t>37.3</w:t>
            </w:r>
          </w:p>
        </w:tc>
      </w:tr>
      <w:tr w:rsidR="005F5A51" w:rsidRPr="009E243A" w:rsidTr="008E6D1E">
        <w:trPr>
          <w:trHeight w:val="135"/>
        </w:trPr>
        <w:tc>
          <w:tcPr>
            <w:tcW w:w="4428" w:type="dxa"/>
          </w:tcPr>
          <w:p w:rsidR="005F5A51" w:rsidRPr="009E243A" w:rsidRDefault="005F5A51" w:rsidP="008E6D1E">
            <w:pPr>
              <w:rPr>
                <w:rFonts w:ascii="Times New Roman" w:eastAsia="Times New Roman" w:hAnsi="Times New Roman" w:cs="Times New Roman"/>
                <w:color w:val="000000" w:themeColor="text1"/>
                <w:lang w:val="en-US" w:eastAsia="en-CA"/>
              </w:rPr>
            </w:pPr>
            <w:r w:rsidRPr="009E243A">
              <w:rPr>
                <w:rFonts w:ascii="Times New Roman" w:eastAsia="Times New Roman" w:hAnsi="Times New Roman" w:cs="Times New Roman"/>
                <w:color w:val="000000" w:themeColor="text1"/>
                <w:lang w:val="en-US" w:eastAsia="en-CA"/>
              </w:rPr>
              <w:t>SMI (cm</w:t>
            </w:r>
            <w:r w:rsidRPr="009E243A">
              <w:rPr>
                <w:rFonts w:ascii="Times New Roman" w:eastAsia="Times New Roman" w:hAnsi="Times New Roman" w:cs="Times New Roman"/>
                <w:color w:val="000000" w:themeColor="text1"/>
                <w:vertAlign w:val="superscript"/>
                <w:lang w:val="en-US" w:eastAsia="en-CA"/>
              </w:rPr>
              <w:t>2</w:t>
            </w:r>
            <w:r w:rsidRPr="009E243A">
              <w:rPr>
                <w:rFonts w:ascii="Times New Roman" w:eastAsia="Times New Roman" w:hAnsi="Times New Roman" w:cs="Times New Roman"/>
                <w:color w:val="000000" w:themeColor="text1"/>
                <w:lang w:val="en-US" w:eastAsia="en-CA"/>
              </w:rPr>
              <w:t>/m</w:t>
            </w:r>
            <w:r w:rsidRPr="009E243A">
              <w:rPr>
                <w:rFonts w:ascii="Times New Roman" w:eastAsia="Times New Roman" w:hAnsi="Times New Roman" w:cs="Times New Roman"/>
                <w:color w:val="000000" w:themeColor="text1"/>
                <w:vertAlign w:val="superscript"/>
                <w:lang w:val="en-US" w:eastAsia="en-CA"/>
              </w:rPr>
              <w:t>2</w:t>
            </w:r>
            <w:r w:rsidRPr="009E243A">
              <w:rPr>
                <w:rFonts w:ascii="Times New Roman" w:eastAsia="Times New Roman" w:hAnsi="Times New Roman" w:cs="Times New Roman"/>
                <w:color w:val="000000" w:themeColor="text1"/>
                <w:lang w:val="en-US" w:eastAsia="en-CA"/>
              </w:rPr>
              <w:t>)</w:t>
            </w:r>
          </w:p>
        </w:tc>
        <w:tc>
          <w:tcPr>
            <w:tcW w:w="2404" w:type="dxa"/>
          </w:tcPr>
          <w:p w:rsidR="005F5A51" w:rsidRPr="009E243A" w:rsidRDefault="005F5A51" w:rsidP="008E6D1E">
            <w:pPr>
              <w:jc w:val="center"/>
              <w:rPr>
                <w:rFonts w:ascii="Times New Roman" w:eastAsia="Times New Roman" w:hAnsi="Times New Roman" w:cs="Times New Roman"/>
                <w:color w:val="000000" w:themeColor="text1"/>
                <w:lang w:val="en-US" w:eastAsia="en-CA"/>
              </w:rPr>
            </w:pPr>
            <w:r w:rsidRPr="009E243A">
              <w:rPr>
                <w:rFonts w:ascii="Times New Roman" w:eastAsia="Times New Roman" w:hAnsi="Times New Roman" w:cs="Times New Roman"/>
                <w:color w:val="000000" w:themeColor="text1"/>
                <w:lang w:val="en-US" w:eastAsia="en-CA"/>
              </w:rPr>
              <w:t>52.9±7.8</w:t>
            </w:r>
          </w:p>
        </w:tc>
        <w:tc>
          <w:tcPr>
            <w:tcW w:w="2406" w:type="dxa"/>
          </w:tcPr>
          <w:p w:rsidR="005F5A51" w:rsidRPr="009E243A" w:rsidRDefault="005F5A51" w:rsidP="008E6D1E">
            <w:pPr>
              <w:jc w:val="center"/>
              <w:rPr>
                <w:rFonts w:ascii="Times New Roman" w:eastAsia="Times New Roman" w:hAnsi="Times New Roman" w:cs="Times New Roman"/>
                <w:color w:val="000000" w:themeColor="text1"/>
                <w:lang w:val="en-US" w:eastAsia="en-CA"/>
              </w:rPr>
            </w:pPr>
            <w:r>
              <w:rPr>
                <w:rFonts w:ascii="Times New Roman" w:eastAsia="Times New Roman" w:hAnsi="Times New Roman" w:cs="Times New Roman"/>
                <w:color w:val="000000" w:themeColor="text1"/>
                <w:lang w:val="en-US" w:eastAsia="en-CA"/>
              </w:rPr>
              <w:t>46.8</w:t>
            </w:r>
            <w:r w:rsidRPr="009E243A">
              <w:rPr>
                <w:rFonts w:ascii="Times New Roman" w:eastAsia="Times New Roman" w:hAnsi="Times New Roman" w:cs="Times New Roman"/>
                <w:color w:val="000000" w:themeColor="text1"/>
                <w:lang w:val="en-US" w:eastAsia="en-CA"/>
              </w:rPr>
              <w:t>±</w:t>
            </w:r>
            <w:r>
              <w:rPr>
                <w:rFonts w:ascii="Times New Roman" w:eastAsia="Times New Roman" w:hAnsi="Times New Roman" w:cs="Times New Roman"/>
                <w:color w:val="000000" w:themeColor="text1"/>
                <w:lang w:val="en-US" w:eastAsia="en-CA"/>
              </w:rPr>
              <w:t>9.5</w:t>
            </w:r>
          </w:p>
        </w:tc>
      </w:tr>
      <w:tr w:rsidR="005F5A51" w:rsidRPr="009E243A" w:rsidTr="008E6D1E">
        <w:trPr>
          <w:trHeight w:val="135"/>
        </w:trPr>
        <w:tc>
          <w:tcPr>
            <w:tcW w:w="4428" w:type="dxa"/>
          </w:tcPr>
          <w:p w:rsidR="005F5A51" w:rsidRPr="00CB48DB" w:rsidRDefault="005F5A51" w:rsidP="008E6D1E">
            <w:pPr>
              <w:rPr>
                <w:rFonts w:ascii="Times New Roman" w:eastAsia="Times New Roman" w:hAnsi="Times New Roman" w:cs="Times New Roman"/>
                <w:color w:val="000000" w:themeColor="text1"/>
                <w:lang w:val="en-US" w:eastAsia="en-CA"/>
              </w:rPr>
            </w:pPr>
            <w:r w:rsidRPr="00CB48DB">
              <w:rPr>
                <w:rFonts w:ascii="Times New Roman" w:eastAsia="Times New Roman" w:hAnsi="Times New Roman" w:cs="Times New Roman"/>
                <w:color w:val="000000" w:themeColor="text1"/>
                <w:lang w:val="en-US" w:eastAsia="en-CA"/>
              </w:rPr>
              <w:t>SMI z-score (SD)</w:t>
            </w:r>
          </w:p>
        </w:tc>
        <w:tc>
          <w:tcPr>
            <w:tcW w:w="2404" w:type="dxa"/>
          </w:tcPr>
          <w:p w:rsidR="005F5A51" w:rsidRPr="00CB48DB" w:rsidRDefault="005F5A51" w:rsidP="008E6D1E">
            <w:pPr>
              <w:jc w:val="center"/>
              <w:rPr>
                <w:rFonts w:ascii="Times New Roman" w:eastAsia="Times New Roman" w:hAnsi="Times New Roman" w:cs="Times New Roman"/>
                <w:color w:val="000000" w:themeColor="text1"/>
                <w:lang w:val="en-US" w:eastAsia="en-CA"/>
              </w:rPr>
            </w:pPr>
            <w:r w:rsidRPr="00CB48DB">
              <w:rPr>
                <w:rFonts w:ascii="Times New Roman" w:eastAsia="Times New Roman" w:hAnsi="Times New Roman" w:cs="Times New Roman"/>
                <w:color w:val="000000" w:themeColor="text1"/>
                <w:lang w:val="en-US" w:eastAsia="en-CA"/>
              </w:rPr>
              <w:t>0.0±0.9</w:t>
            </w:r>
          </w:p>
        </w:tc>
        <w:tc>
          <w:tcPr>
            <w:tcW w:w="2406" w:type="dxa"/>
          </w:tcPr>
          <w:p w:rsidR="005F5A51" w:rsidRPr="00CB48DB" w:rsidRDefault="005F5A51" w:rsidP="008E6D1E">
            <w:pPr>
              <w:jc w:val="center"/>
              <w:rPr>
                <w:rFonts w:ascii="Times New Roman" w:eastAsia="Times New Roman" w:hAnsi="Times New Roman" w:cs="Times New Roman"/>
                <w:color w:val="000000" w:themeColor="text1"/>
                <w:lang w:val="en-US" w:eastAsia="en-CA"/>
              </w:rPr>
            </w:pPr>
            <w:r w:rsidRPr="00CB48DB">
              <w:rPr>
                <w:rFonts w:ascii="Times New Roman" w:eastAsia="Times New Roman" w:hAnsi="Times New Roman" w:cs="Times New Roman"/>
                <w:color w:val="000000" w:themeColor="text1"/>
                <w:lang w:val="en-US" w:eastAsia="en-CA"/>
              </w:rPr>
              <w:t>0.0±1.0</w:t>
            </w:r>
          </w:p>
        </w:tc>
      </w:tr>
      <w:tr w:rsidR="005F5A51" w:rsidRPr="009E243A" w:rsidTr="008E6D1E">
        <w:trPr>
          <w:trHeight w:val="135"/>
        </w:trPr>
        <w:tc>
          <w:tcPr>
            <w:tcW w:w="4428" w:type="dxa"/>
          </w:tcPr>
          <w:p w:rsidR="005F5A51" w:rsidRPr="009E243A" w:rsidRDefault="005F5A51" w:rsidP="008E6D1E">
            <w:pPr>
              <w:rPr>
                <w:rFonts w:ascii="Times New Roman" w:eastAsia="Times New Roman" w:hAnsi="Times New Roman" w:cs="Times New Roman"/>
                <w:color w:val="000000" w:themeColor="text1"/>
                <w:lang w:val="en-US" w:eastAsia="en-CA"/>
              </w:rPr>
            </w:pPr>
            <w:r w:rsidRPr="009E243A">
              <w:rPr>
                <w:rFonts w:ascii="Times New Roman" w:eastAsia="Times New Roman" w:hAnsi="Times New Roman" w:cs="Times New Roman"/>
                <w:color w:val="000000" w:themeColor="text1"/>
                <w:lang w:val="en-US" w:eastAsia="en-CA"/>
              </w:rPr>
              <w:t xml:space="preserve">L3 Muscle </w:t>
            </w:r>
            <w:proofErr w:type="spellStart"/>
            <w:r w:rsidRPr="009E243A">
              <w:rPr>
                <w:rFonts w:ascii="Times New Roman" w:eastAsia="Times New Roman" w:hAnsi="Times New Roman" w:cs="Times New Roman"/>
                <w:color w:val="000000" w:themeColor="text1"/>
                <w:lang w:val="en-US" w:eastAsia="en-CA"/>
              </w:rPr>
              <w:t>radiodensity</w:t>
            </w:r>
            <w:proofErr w:type="spellEnd"/>
            <w:r w:rsidRPr="009E243A">
              <w:rPr>
                <w:rFonts w:ascii="Times New Roman" w:eastAsia="Times New Roman" w:hAnsi="Times New Roman" w:cs="Times New Roman"/>
                <w:color w:val="000000" w:themeColor="text1"/>
                <w:lang w:val="en-US" w:eastAsia="en-CA"/>
              </w:rPr>
              <w:t xml:space="preserve"> (HU)</w:t>
            </w:r>
          </w:p>
        </w:tc>
        <w:tc>
          <w:tcPr>
            <w:tcW w:w="2404" w:type="dxa"/>
          </w:tcPr>
          <w:p w:rsidR="005F5A51" w:rsidRPr="009E243A" w:rsidRDefault="005F5A51" w:rsidP="008E6D1E">
            <w:pPr>
              <w:jc w:val="center"/>
              <w:rPr>
                <w:rFonts w:ascii="Times New Roman" w:eastAsia="Times New Roman" w:hAnsi="Times New Roman" w:cs="Times New Roman"/>
                <w:color w:val="000000" w:themeColor="text1"/>
                <w:lang w:val="en-US" w:eastAsia="en-CA"/>
              </w:rPr>
            </w:pPr>
            <w:r w:rsidRPr="009E243A">
              <w:rPr>
                <w:rFonts w:ascii="Times New Roman" w:eastAsia="Times New Roman" w:hAnsi="Times New Roman" w:cs="Times New Roman"/>
                <w:color w:val="000000" w:themeColor="text1"/>
                <w:lang w:val="en-US" w:eastAsia="en-CA"/>
              </w:rPr>
              <w:t>36.4±9.3</w:t>
            </w:r>
          </w:p>
        </w:tc>
        <w:tc>
          <w:tcPr>
            <w:tcW w:w="2406" w:type="dxa"/>
          </w:tcPr>
          <w:p w:rsidR="005F5A51" w:rsidRPr="002603CD" w:rsidRDefault="005F5A51" w:rsidP="008E6D1E">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val="en-US" w:eastAsia="en-CA"/>
              </w:rPr>
              <w:t>34.7</w:t>
            </w:r>
            <w:r w:rsidRPr="009E243A">
              <w:rPr>
                <w:rFonts w:ascii="Times New Roman" w:eastAsia="Times New Roman" w:hAnsi="Times New Roman" w:cs="Times New Roman"/>
                <w:color w:val="000000" w:themeColor="text1"/>
                <w:lang w:val="en-US" w:eastAsia="en-CA"/>
              </w:rPr>
              <w:t>±</w:t>
            </w:r>
            <w:r>
              <w:rPr>
                <w:rFonts w:ascii="Times New Roman" w:eastAsia="Times New Roman" w:hAnsi="Times New Roman" w:cs="Times New Roman"/>
                <w:color w:val="000000" w:themeColor="text1"/>
                <w:lang w:val="en-US" w:eastAsia="en-CA"/>
              </w:rPr>
              <w:t>9.4</w:t>
            </w:r>
          </w:p>
        </w:tc>
      </w:tr>
      <w:tr w:rsidR="005F5A51" w:rsidRPr="009E243A" w:rsidTr="008E6D1E">
        <w:trPr>
          <w:trHeight w:val="135"/>
        </w:trPr>
        <w:tc>
          <w:tcPr>
            <w:tcW w:w="4428" w:type="dxa"/>
          </w:tcPr>
          <w:p w:rsidR="005F5A51" w:rsidRPr="009E243A" w:rsidRDefault="005F5A51" w:rsidP="008E6D1E">
            <w:pPr>
              <w:rPr>
                <w:rFonts w:ascii="Times New Roman" w:eastAsia="Times New Roman" w:hAnsi="Times New Roman" w:cs="Times New Roman"/>
                <w:color w:val="000000" w:themeColor="text1"/>
                <w:lang w:val="en-US" w:eastAsia="en-CA"/>
              </w:rPr>
            </w:pPr>
            <w:r w:rsidRPr="009E243A">
              <w:rPr>
                <w:rFonts w:ascii="Times New Roman" w:eastAsia="Times New Roman" w:hAnsi="Times New Roman" w:cs="Times New Roman"/>
                <w:color w:val="000000" w:themeColor="text1"/>
                <w:lang w:val="en-US" w:eastAsia="en-CA"/>
              </w:rPr>
              <w:t>L3 VAT CSA (cm</w:t>
            </w:r>
            <w:r w:rsidRPr="009E243A">
              <w:rPr>
                <w:rFonts w:ascii="Times New Roman" w:eastAsia="Times New Roman" w:hAnsi="Times New Roman" w:cs="Times New Roman"/>
                <w:color w:val="000000" w:themeColor="text1"/>
                <w:vertAlign w:val="superscript"/>
                <w:lang w:val="en-US" w:eastAsia="en-CA"/>
              </w:rPr>
              <w:t>2</w:t>
            </w:r>
            <w:r w:rsidRPr="009E243A">
              <w:rPr>
                <w:rFonts w:ascii="Times New Roman" w:eastAsia="Times New Roman" w:hAnsi="Times New Roman" w:cs="Times New Roman"/>
                <w:color w:val="000000" w:themeColor="text1"/>
                <w:lang w:val="en-US" w:eastAsia="en-CA"/>
              </w:rPr>
              <w:t>)</w:t>
            </w:r>
          </w:p>
        </w:tc>
        <w:tc>
          <w:tcPr>
            <w:tcW w:w="2404" w:type="dxa"/>
          </w:tcPr>
          <w:p w:rsidR="005F5A51" w:rsidRPr="009E243A" w:rsidRDefault="005F5A51" w:rsidP="008E6D1E">
            <w:pPr>
              <w:jc w:val="center"/>
              <w:rPr>
                <w:rFonts w:ascii="Times New Roman" w:eastAsia="Times New Roman" w:hAnsi="Times New Roman" w:cs="Times New Roman"/>
                <w:color w:val="000000" w:themeColor="text1"/>
                <w:highlight w:val="yellow"/>
                <w:lang w:val="en-US" w:eastAsia="en-CA"/>
              </w:rPr>
            </w:pPr>
            <w:r w:rsidRPr="009E243A">
              <w:rPr>
                <w:rFonts w:ascii="Times New Roman" w:eastAsia="Times New Roman" w:hAnsi="Times New Roman" w:cs="Times New Roman"/>
                <w:color w:val="000000" w:themeColor="text1"/>
                <w:lang w:val="en-US" w:eastAsia="en-CA"/>
              </w:rPr>
              <w:t>175.9±111.3</w:t>
            </w:r>
          </w:p>
        </w:tc>
        <w:tc>
          <w:tcPr>
            <w:tcW w:w="2406" w:type="dxa"/>
          </w:tcPr>
          <w:p w:rsidR="005F5A51" w:rsidRPr="009E243A" w:rsidRDefault="005F5A51" w:rsidP="008E6D1E">
            <w:pPr>
              <w:jc w:val="center"/>
              <w:rPr>
                <w:rFonts w:ascii="Times New Roman" w:eastAsia="Times New Roman" w:hAnsi="Times New Roman" w:cs="Times New Roman"/>
                <w:color w:val="000000" w:themeColor="text1"/>
                <w:lang w:val="en-US" w:eastAsia="en-CA"/>
              </w:rPr>
            </w:pPr>
            <w:r>
              <w:rPr>
                <w:rFonts w:ascii="Times New Roman" w:eastAsia="Times New Roman" w:hAnsi="Times New Roman" w:cs="Times New Roman"/>
                <w:color w:val="000000" w:themeColor="text1"/>
                <w:lang w:val="en-US" w:eastAsia="en-CA"/>
              </w:rPr>
              <w:t>138.1</w:t>
            </w:r>
            <w:r w:rsidRPr="009E243A">
              <w:rPr>
                <w:rFonts w:ascii="Times New Roman" w:eastAsia="Times New Roman" w:hAnsi="Times New Roman" w:cs="Times New Roman"/>
                <w:color w:val="000000" w:themeColor="text1"/>
                <w:lang w:val="en-US" w:eastAsia="en-CA"/>
              </w:rPr>
              <w:t>±</w:t>
            </w:r>
            <w:r>
              <w:rPr>
                <w:rFonts w:ascii="Times New Roman" w:eastAsia="Times New Roman" w:hAnsi="Times New Roman" w:cs="Times New Roman"/>
                <w:color w:val="000000" w:themeColor="text1"/>
                <w:lang w:val="en-US" w:eastAsia="en-CA"/>
              </w:rPr>
              <w:t>100.5</w:t>
            </w:r>
          </w:p>
        </w:tc>
      </w:tr>
      <w:tr w:rsidR="005F5A51" w:rsidRPr="009E243A" w:rsidTr="008E6D1E">
        <w:trPr>
          <w:trHeight w:val="135"/>
        </w:trPr>
        <w:tc>
          <w:tcPr>
            <w:tcW w:w="9238" w:type="dxa"/>
            <w:gridSpan w:val="3"/>
          </w:tcPr>
          <w:p w:rsidR="005F5A51" w:rsidRPr="009E243A" w:rsidRDefault="005F5A51" w:rsidP="008E6D1E">
            <w:pPr>
              <w:rPr>
                <w:rFonts w:ascii="Times New Roman" w:hAnsi="Times New Roman" w:cs="Times New Roman"/>
                <w:lang w:val="en-US"/>
              </w:rPr>
            </w:pPr>
            <w:r w:rsidRPr="009E243A">
              <w:rPr>
                <w:rFonts w:ascii="Times New Roman" w:hAnsi="Times New Roman" w:cs="Times New Roman"/>
                <w:lang w:val="en-US"/>
              </w:rPr>
              <w:t xml:space="preserve">*Others gastrointestinal: appendix, stomach and small intestine. *Others: gallbladder, skin, uterus, ovary, soft tissue, kidney, head and neck. </w:t>
            </w:r>
            <w:r>
              <w:rPr>
                <w:rFonts w:ascii="Times New Roman" w:hAnsi="Times New Roman" w:cs="Times New Roman"/>
                <w:lang w:val="en-US"/>
              </w:rPr>
              <w:t xml:space="preserve">**BMI: Males n=63 / Females n=47 **Computed tomography analysis: Males n=50 / Females=42. </w:t>
            </w:r>
            <w:r w:rsidRPr="009E243A">
              <w:rPr>
                <w:rFonts w:ascii="Times New Roman" w:hAnsi="Times New Roman" w:cs="Times New Roman"/>
                <w:lang w:val="en-US"/>
              </w:rPr>
              <w:t>BMI, Body Mass Index; CVD, Cardiovascular disease; L3, Lumbar 3;</w:t>
            </w:r>
            <w:r w:rsidRPr="009E243A">
              <w:rPr>
                <w:rFonts w:ascii="Times New Roman" w:eastAsia="Times New Roman" w:hAnsi="Times New Roman" w:cs="Times New Roman"/>
                <w:color w:val="000000" w:themeColor="text1"/>
                <w:lang w:val="en-US" w:eastAsia="en-CA"/>
              </w:rPr>
              <w:t xml:space="preserve"> CSA, Cross-sectional area;  SMI, Skeletal muscle index; HU, </w:t>
            </w:r>
            <w:r w:rsidRPr="009E243A">
              <w:rPr>
                <w:rFonts w:ascii="Times New Roman" w:hAnsi="Times New Roman" w:cs="Times New Roman"/>
                <w:bCs/>
                <w:color w:val="222222"/>
                <w:shd w:val="clear" w:color="auto" w:fill="FFFFFF"/>
                <w:lang w:val="en-US"/>
              </w:rPr>
              <w:t>Hounsfield Unit</w:t>
            </w:r>
            <w:r w:rsidRPr="009E243A">
              <w:rPr>
                <w:rFonts w:ascii="Times New Roman" w:eastAsia="Times New Roman" w:hAnsi="Times New Roman" w:cs="Times New Roman"/>
                <w:color w:val="000000" w:themeColor="text1"/>
                <w:lang w:val="en-US" w:eastAsia="en-CA"/>
              </w:rPr>
              <w:t xml:space="preserve">; VAT, Visceral adipose tissue; SAT, Subcutaneous adipose tissue; TAT, Total adipose tissue; SD, Standard deviation. </w:t>
            </w:r>
            <w:r w:rsidRPr="009E243A">
              <w:rPr>
                <w:rFonts w:ascii="Times New Roman" w:hAnsi="Times New Roman" w:cs="Times New Roman"/>
                <w:lang w:val="en-US"/>
              </w:rPr>
              <w:t xml:space="preserve"> Population has been previously described by Stretch et.al. </w:t>
            </w:r>
            <w:r w:rsidRPr="009E243A">
              <w:rPr>
                <w:rFonts w:ascii="Times New Roman" w:hAnsi="Times New Roman" w:cs="Times New Roman"/>
                <w:i/>
                <w:lang w:val="en-US"/>
              </w:rPr>
              <w:t>PLOS One</w:t>
            </w:r>
            <w:r w:rsidRPr="009E243A">
              <w:rPr>
                <w:rFonts w:ascii="Times New Roman" w:hAnsi="Times New Roman" w:cs="Times New Roman"/>
                <w:lang w:val="en-US"/>
              </w:rPr>
              <w:t xml:space="preserve"> 2013 [DOI:</w:t>
            </w:r>
            <w:r w:rsidRPr="009E243A">
              <w:rPr>
                <w:rFonts w:ascii="Times New Roman" w:hAnsi="Times New Roman" w:cs="Times New Roman"/>
              </w:rPr>
              <w:t xml:space="preserve"> </w:t>
            </w:r>
            <w:r w:rsidRPr="009E243A">
              <w:rPr>
                <w:rFonts w:ascii="Times New Roman" w:hAnsi="Times New Roman" w:cs="Times New Roman"/>
                <w:lang w:val="en-US"/>
              </w:rPr>
              <w:t>10.1371/journal.pone.0065380].</w:t>
            </w:r>
            <w:r w:rsidRPr="009E243A">
              <w:rPr>
                <w:rFonts w:ascii="Times New Roman" w:hAnsi="Times New Roman" w:cs="Times New Roman"/>
                <w:color w:val="000000"/>
                <w:lang w:val="en-US"/>
              </w:rPr>
              <w:fldChar w:fldCharType="begin" w:fldLock="1"/>
            </w:r>
            <w:r w:rsidRPr="009E243A">
              <w:rPr>
                <w:rFonts w:ascii="Times New Roman" w:hAnsi="Times New Roman" w:cs="Times New Roman"/>
                <w:color w:val="000000"/>
                <w:lang w:val="en-US"/>
              </w:rPr>
              <w:instrText>ADDIN CSL_CITATION {"citationItems":[{"id":"ITEM-1","itemData":{"DOI":"10.1371/journal.pone.0065380","ISSN":"1932-6203","PMID":"23755224","abstract":"Top differentially expressed gene lists are often inconsistent between studies and it has been suggested that small sample sizes contribute to lack of reproducibility and poor prediction accuracy in discriminative models. We considered sex differences (69♂, 65 ♀) in 134 human skeletal muscle biopsies using DNA microarray. The full dataset and subsamples (n = 10 (5 ♂, 5 ♀) to n = 120 (60 ♂, 60 ♀)) thereof were used to assess the effect of sample size on the differential expression of single genes, gene rank order and prediction accuracy. Using our full dataset (n = 134), we identified 717 differentially expressed transcripts (p&lt;0.0001) and we were able predict sex with ~90% accuracy, both within our dataset and on external datasets. Both p-values and rank order of top differentially expressed genes became more variable using smaller subsamples. For example, at n = 10 (5 ♂, 5 ♀), no gene was considered differentially expressed at p&lt;0.0001 and prediction accuracy was ~50% (no better than chance). We found that sample size clearly affects microarray analysis results; small sample sizes result in unstable gene lists and poor prediction accuracy. We anticipate this will apply to other phenotypes, in addition to sex.","author":[{"dropping-particle":"","family":"Stretch","given":"Cynthia","non-dropping-particle":"","parse-names":false,"suffix":""},{"dropping-particle":"","family":"Khan","given":"Sheehan","non-dropping-particle":"","parse-names":false,"suffix":""},{"dropping-particle":"","family":"Asgarian","given":"Nasimeh","non-dropping-particle":"","parse-names":false,"suffix":""},{"dropping-particle":"","family":"Eisner","given":"Roman","non-dropping-particle":"","parse-names":false,"suffix":""},{"dropping-particle":"","family":"Vaisipour","given":"Saman","non-dropping-particle":"","parse-names":false,"suffix":""},{"dropping-particle":"","family":"Damaraju","given":"Sambasivarao","non-dropping-particle":"","parse-names":false,"suffix":""},{"dropping-particle":"","family":"Graham","given":"Kathryn","non-dropping-particle":"","parse-names":false,"suffix":""},{"dropping-particle":"","family":"Bathe","given":"Oliver F.","non-dropping-particle":"","parse-names":false,"suffix":""},{"dropping-particle":"","family":"Steed","given":"Helen","non-dropping-particle":"","parse-names":false,"suffix":""},{"dropping-particle":"","family":"Greiner","given":"Russell","non-dropping-particle":"","parse-names":false,"suffix":""},{"dropping-particle":"","family":"Baracos","given":"Vickie E.","non-dropping-particle":"","parse-names":false,"suffix":""}],"container-title":"PLoS ONE","editor":[{"dropping-particle":"","family":"Zaykin","given":"Dmitri","non-dropping-particle":"","parse-names":false,"suffix":""}],"id":"ITEM-1","issue":"6","issued":{"date-parts":[["2013","6","3"]]},"page":"e65380","title":"Effects of Sample Size on Differential Gene Expression, Rank Order and Prediction Accuracy of a Gene Signature","type":"article-journal","volume":"8"},"uris":["http://www.mendeley.com/documents/?uuid=475d6f04-0fe7-3017-b25b-adc795accc14"]}],"mendeley":{"formattedCitation":"&lt;sup&gt;18&lt;/sup&gt;","plainTextFormattedCitation":"18","previouslyFormattedCitation":"&lt;sup&gt;18&lt;/sup&gt;"},"properties":{"noteIndex":0},"schema":"https://github.com/citation-style-language/schema/raw/master/csl-citation.json"}</w:instrText>
            </w:r>
            <w:r w:rsidRPr="009E243A">
              <w:rPr>
                <w:rFonts w:ascii="Times New Roman" w:hAnsi="Times New Roman" w:cs="Times New Roman"/>
                <w:color w:val="000000"/>
                <w:lang w:val="en-US"/>
              </w:rPr>
              <w:fldChar w:fldCharType="end"/>
            </w:r>
          </w:p>
        </w:tc>
      </w:tr>
    </w:tbl>
    <w:p w:rsidR="00271817" w:rsidRPr="005F5A51" w:rsidRDefault="00271817" w:rsidP="00271817">
      <w:pPr>
        <w:jc w:val="both"/>
        <w:rPr>
          <w:rFonts w:ascii="Times New Roman" w:hAnsi="Times New Roman" w:cs="Times New Roman"/>
        </w:rPr>
      </w:pPr>
    </w:p>
    <w:p w:rsidR="00920B2F" w:rsidRDefault="00920B2F" w:rsidP="00271817">
      <w:pPr>
        <w:jc w:val="both"/>
        <w:rPr>
          <w:rFonts w:ascii="Times New Roman" w:hAnsi="Times New Roman" w:cs="Times New Roman"/>
        </w:rPr>
      </w:pPr>
    </w:p>
    <w:sectPr w:rsidR="00920B2F" w:rsidSect="005E26B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C0" w:rsidRDefault="00495FC0">
      <w:pPr>
        <w:spacing w:after="0" w:line="240" w:lineRule="auto"/>
      </w:pPr>
      <w:r>
        <w:separator/>
      </w:r>
    </w:p>
  </w:endnote>
  <w:endnote w:type="continuationSeparator" w:id="0">
    <w:p w:rsidR="00495FC0" w:rsidRDefault="0049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10487"/>
      <w:docPartObj>
        <w:docPartGallery w:val="Page Numbers (Bottom of Page)"/>
        <w:docPartUnique/>
      </w:docPartObj>
    </w:sdtPr>
    <w:sdtEndPr>
      <w:rPr>
        <w:noProof/>
      </w:rPr>
    </w:sdtEndPr>
    <w:sdtContent>
      <w:p w:rsidR="003A6677" w:rsidRDefault="003A6677">
        <w:pPr>
          <w:pStyle w:val="Footer"/>
          <w:jc w:val="right"/>
        </w:pPr>
        <w:r>
          <w:fldChar w:fldCharType="begin"/>
        </w:r>
        <w:r>
          <w:instrText xml:space="preserve"> PAGE   \* MERGEFORMAT </w:instrText>
        </w:r>
        <w:r>
          <w:fldChar w:fldCharType="separate"/>
        </w:r>
        <w:r w:rsidR="00A9057D">
          <w:rPr>
            <w:noProof/>
          </w:rPr>
          <w:t>1</w:t>
        </w:r>
        <w:r>
          <w:rPr>
            <w:noProof/>
          </w:rPr>
          <w:fldChar w:fldCharType="end"/>
        </w:r>
      </w:p>
    </w:sdtContent>
  </w:sdt>
  <w:p w:rsidR="003A6677" w:rsidRDefault="003A6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C0" w:rsidRDefault="00495FC0">
      <w:pPr>
        <w:spacing w:after="0" w:line="240" w:lineRule="auto"/>
      </w:pPr>
      <w:r>
        <w:separator/>
      </w:r>
    </w:p>
  </w:footnote>
  <w:footnote w:type="continuationSeparator" w:id="0">
    <w:p w:rsidR="00495FC0" w:rsidRDefault="00495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
  </w:docVars>
  <w:rsids>
    <w:rsidRoot w:val="00271817"/>
    <w:rsid w:val="000240EB"/>
    <w:rsid w:val="0013038E"/>
    <w:rsid w:val="00271817"/>
    <w:rsid w:val="00354ED3"/>
    <w:rsid w:val="003720F2"/>
    <w:rsid w:val="003A6677"/>
    <w:rsid w:val="00490641"/>
    <w:rsid w:val="00495FC0"/>
    <w:rsid w:val="004B117D"/>
    <w:rsid w:val="00536D54"/>
    <w:rsid w:val="005E26B0"/>
    <w:rsid w:val="005F5A51"/>
    <w:rsid w:val="0060037D"/>
    <w:rsid w:val="00694D37"/>
    <w:rsid w:val="00920B2F"/>
    <w:rsid w:val="009231A4"/>
    <w:rsid w:val="00927897"/>
    <w:rsid w:val="00972A71"/>
    <w:rsid w:val="00A113C9"/>
    <w:rsid w:val="00A9057D"/>
    <w:rsid w:val="00B334DC"/>
    <w:rsid w:val="00BD1EF4"/>
    <w:rsid w:val="00BE630D"/>
    <w:rsid w:val="00C30BFF"/>
    <w:rsid w:val="00C61FF3"/>
    <w:rsid w:val="00D5552E"/>
    <w:rsid w:val="00D57F09"/>
    <w:rsid w:val="00DC395D"/>
    <w:rsid w:val="00E22FCE"/>
    <w:rsid w:val="00E74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817"/>
  </w:style>
  <w:style w:type="paragraph" w:styleId="BalloonText">
    <w:name w:val="Balloon Text"/>
    <w:basedOn w:val="Normal"/>
    <w:link w:val="BalloonTextChar"/>
    <w:uiPriority w:val="99"/>
    <w:semiHidden/>
    <w:unhideWhenUsed/>
    <w:rsid w:val="00DC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817"/>
  </w:style>
  <w:style w:type="paragraph" w:styleId="BalloonText">
    <w:name w:val="Balloon Text"/>
    <w:basedOn w:val="Normal"/>
    <w:link w:val="BalloonTextChar"/>
    <w:uiPriority w:val="99"/>
    <w:semiHidden/>
    <w:unhideWhenUsed/>
    <w:rsid w:val="00DC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F933-5659-4B89-ACD5-02EA5070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4483</Characters>
  <Application>Microsoft Office Word</Application>
  <DocSecurity>0</DocSecurity>
  <Lines>640</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Anoveros</dc:creator>
  <cp:lastModifiedBy>S3G_Reference_Citation_Sequence</cp:lastModifiedBy>
  <cp:revision>3</cp:revision>
  <cp:lastPrinted>2019-04-03T20:21:00Z</cp:lastPrinted>
  <dcterms:created xsi:type="dcterms:W3CDTF">2019-08-17T18:05:00Z</dcterms:created>
  <dcterms:modified xsi:type="dcterms:W3CDTF">2019-08-17T18:09:00Z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http://www.zotero.org/styles/ieee-acm-transactions-on-computational-biology-and-bioinformatics</vt:lpwstr>
  </property>
  <property fmtid="{D5CDD505-2E9C-101B-9397-08002B2CF9AE}" pid="13" name="Mendeley Recent Style Name 5_1">
    <vt:lpwstr>IEEE/ACM Transactions on Computational Biology and Bioinformatics</vt:lpwstr>
  </property>
  <property fmtid="{D5CDD505-2E9C-101B-9397-08002B2CF9AE}" pid="14" name="Mendeley Recent Style Id 6_1">
    <vt:lpwstr>http://www.zotero.org/styles/journal-of-applied-physiology</vt:lpwstr>
  </property>
  <property fmtid="{D5CDD505-2E9C-101B-9397-08002B2CF9AE}" pid="15" name="Mendeley Recent Style Name 6_1">
    <vt:lpwstr>Journal of Applied Physiology</vt:lpwstr>
  </property>
  <property fmtid="{D5CDD505-2E9C-101B-9397-08002B2CF9AE}" pid="16" name="Mendeley Recent Style Id 7_1">
    <vt:lpwstr>http://www.zotero.org/styles/journal-of-cachexia-sarcopenia-and-muscle</vt:lpwstr>
  </property>
  <property fmtid="{D5CDD505-2E9C-101B-9397-08002B2CF9AE}" pid="17" name="Mendeley Recent Style Name 7_1">
    <vt:lpwstr>Journal of Cachexia, Sarcopenia and Muscle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