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3DDFA" w14:textId="77777777" w:rsidR="00116613" w:rsidRDefault="00116613" w:rsidP="00116613">
      <w:pPr>
        <w:pStyle w:val="Ttulo"/>
      </w:pPr>
      <w:r>
        <w:t>Supporting Information</w:t>
      </w:r>
    </w:p>
    <w:p w14:paraId="0897AE0B" w14:textId="77777777" w:rsidR="00116613" w:rsidRPr="00116613" w:rsidRDefault="00116613" w:rsidP="00116613">
      <w:pPr>
        <w:pStyle w:val="Ttulo"/>
      </w:pPr>
      <w:r>
        <w:t>for</w:t>
      </w:r>
    </w:p>
    <w:p w14:paraId="3DFC96E4" w14:textId="77777777" w:rsidR="00116613" w:rsidRDefault="00116613" w:rsidP="00116613">
      <w:pPr>
        <w:pStyle w:val="Ttulo"/>
      </w:pPr>
      <w:r>
        <w:t>Strategies for the Expansion of Human Induced Pluripotent Stem Cells as Aggregates</w:t>
      </w:r>
      <w:r>
        <w:br/>
        <w:t>in Single-Use Vertical-</w:t>
      </w:r>
      <w:proofErr w:type="spellStart"/>
      <w:r>
        <w:t>Wheel</w:t>
      </w:r>
      <w:r>
        <w:rPr>
          <w:vertAlign w:val="superscript"/>
        </w:rPr>
        <w:t>TM</w:t>
      </w:r>
      <w:proofErr w:type="spellEnd"/>
      <w:r>
        <w:t xml:space="preserve"> Bioreactors</w:t>
      </w:r>
    </w:p>
    <w:p w14:paraId="1E3579D4" w14:textId="77777777" w:rsidR="00116613" w:rsidRPr="00643AA1" w:rsidRDefault="00116613" w:rsidP="00116613">
      <w:pPr>
        <w:jc w:val="center"/>
      </w:pPr>
      <w:proofErr w:type="spellStart"/>
      <w:r w:rsidRPr="00643AA1">
        <w:t>Diogo</w:t>
      </w:r>
      <w:proofErr w:type="spellEnd"/>
      <w:r w:rsidRPr="00643AA1">
        <w:t xml:space="preserve"> E.S. Nogueira</w:t>
      </w:r>
      <w:r w:rsidRPr="00643AA1">
        <w:rPr>
          <w:vertAlign w:val="superscript"/>
        </w:rPr>
        <w:t>1,2</w:t>
      </w:r>
      <w:r w:rsidRPr="00643AA1">
        <w:t>, Carlos A.V. Rodrigues</w:t>
      </w:r>
      <w:r w:rsidRPr="00643AA1">
        <w:rPr>
          <w:vertAlign w:val="superscript"/>
        </w:rPr>
        <w:t>1,2</w:t>
      </w:r>
      <w:r w:rsidRPr="00643AA1">
        <w:t>, Marta S. Carvalho</w:t>
      </w:r>
      <w:r w:rsidRPr="00643AA1">
        <w:rPr>
          <w:vertAlign w:val="superscript"/>
        </w:rPr>
        <w:t>1,2</w:t>
      </w:r>
      <w:r w:rsidRPr="00643AA1">
        <w:t xml:space="preserve">, </w:t>
      </w:r>
      <w:proofErr w:type="spellStart"/>
      <w:r w:rsidRPr="00643AA1">
        <w:t>Cláudia</w:t>
      </w:r>
      <w:proofErr w:type="spellEnd"/>
      <w:r w:rsidRPr="00643AA1">
        <w:t xml:space="preserve"> C. Miranda</w:t>
      </w:r>
      <w:r w:rsidRPr="00643AA1">
        <w:rPr>
          <w:vertAlign w:val="superscript"/>
        </w:rPr>
        <w:t>1,2</w:t>
      </w:r>
      <w:r w:rsidRPr="00643AA1">
        <w:t>,</w:t>
      </w:r>
      <w:r w:rsidRPr="00643AA1">
        <w:br/>
      </w:r>
      <w:proofErr w:type="spellStart"/>
      <w:r w:rsidRPr="00643AA1">
        <w:t>Yas</w:t>
      </w:r>
      <w:proofErr w:type="spellEnd"/>
      <w:r w:rsidRPr="00643AA1">
        <w:t xml:space="preserve"> Hashimura</w:t>
      </w:r>
      <w:r w:rsidRPr="00643AA1">
        <w:rPr>
          <w:vertAlign w:val="superscript"/>
        </w:rPr>
        <w:t>3</w:t>
      </w:r>
      <w:r w:rsidRPr="00643AA1">
        <w:t xml:space="preserve">, </w:t>
      </w:r>
      <w:proofErr w:type="spellStart"/>
      <w:r w:rsidRPr="00643AA1">
        <w:t>Sunghoon</w:t>
      </w:r>
      <w:proofErr w:type="spellEnd"/>
      <w:r w:rsidRPr="00643AA1">
        <w:t xml:space="preserve"> Jung</w:t>
      </w:r>
      <w:r w:rsidRPr="00643AA1">
        <w:rPr>
          <w:vertAlign w:val="superscript"/>
        </w:rPr>
        <w:t>3</w:t>
      </w:r>
      <w:r w:rsidRPr="00643AA1">
        <w:t>, Brian Lee</w:t>
      </w:r>
      <w:r w:rsidRPr="00643AA1">
        <w:rPr>
          <w:vertAlign w:val="superscript"/>
        </w:rPr>
        <w:t xml:space="preserve">3 </w:t>
      </w:r>
      <w:r w:rsidRPr="00643AA1">
        <w:t>and Joaquim M.S. Cabral</w:t>
      </w:r>
      <w:r w:rsidRPr="00643AA1">
        <w:rPr>
          <w:vertAlign w:val="superscript"/>
        </w:rPr>
        <w:t>1,2</w:t>
      </w:r>
    </w:p>
    <w:p w14:paraId="048F7B0F" w14:textId="77777777" w:rsidR="00116613" w:rsidRPr="00643AA1" w:rsidRDefault="00116613" w:rsidP="00116613">
      <w:pPr>
        <w:pStyle w:val="Subttulo"/>
        <w:rPr>
          <w:lang w:val="en-GB"/>
        </w:rPr>
      </w:pPr>
      <w:r w:rsidRPr="00643AA1">
        <w:rPr>
          <w:vertAlign w:val="superscript"/>
          <w:lang w:val="en-GB"/>
        </w:rPr>
        <w:t>1</w:t>
      </w:r>
      <w:r w:rsidRPr="00643AA1">
        <w:rPr>
          <w:lang w:val="en-GB"/>
        </w:rPr>
        <w:t xml:space="preserve">Department of Bioengineering and </w:t>
      </w:r>
      <w:proofErr w:type="spellStart"/>
      <w:r w:rsidRPr="00643AA1">
        <w:rPr>
          <w:lang w:val="en-GB"/>
        </w:rPr>
        <w:t>iBB</w:t>
      </w:r>
      <w:proofErr w:type="spellEnd"/>
      <w:r w:rsidRPr="00643AA1">
        <w:rPr>
          <w:lang w:val="en-GB"/>
        </w:rPr>
        <w:t xml:space="preserve"> – Institute for Bioengineering and Biosciences, Instituto Superior Técnico, </w:t>
      </w:r>
      <w:proofErr w:type="spellStart"/>
      <w:r w:rsidRPr="00643AA1">
        <w:rPr>
          <w:lang w:val="en-GB"/>
        </w:rPr>
        <w:t>Universidade</w:t>
      </w:r>
      <w:proofErr w:type="spellEnd"/>
      <w:r w:rsidRPr="00643AA1">
        <w:rPr>
          <w:lang w:val="en-GB"/>
        </w:rPr>
        <w:t xml:space="preserve"> de </w:t>
      </w:r>
      <w:proofErr w:type="spellStart"/>
      <w:r w:rsidRPr="00643AA1">
        <w:rPr>
          <w:lang w:val="en-GB"/>
        </w:rPr>
        <w:t>L</w:t>
      </w:r>
      <w:r w:rsidRPr="00643AA1">
        <w:rPr>
          <w:rStyle w:val="SubttuloCarter"/>
          <w:lang w:val="en-GB"/>
        </w:rPr>
        <w:t>isboa</w:t>
      </w:r>
      <w:proofErr w:type="spellEnd"/>
      <w:r w:rsidRPr="00643AA1">
        <w:rPr>
          <w:rStyle w:val="SubttuloCarter"/>
          <w:lang w:val="en-GB"/>
        </w:rPr>
        <w:t>,</w:t>
      </w:r>
      <w:r w:rsidRPr="00643AA1">
        <w:rPr>
          <w:lang w:val="en-GB"/>
        </w:rPr>
        <w:t xml:space="preserve"> </w:t>
      </w:r>
      <w:proofErr w:type="spellStart"/>
      <w:r w:rsidRPr="00643AA1">
        <w:rPr>
          <w:lang w:val="en-GB"/>
        </w:rPr>
        <w:t>Lisboa</w:t>
      </w:r>
      <w:proofErr w:type="spellEnd"/>
      <w:r w:rsidRPr="00643AA1">
        <w:rPr>
          <w:lang w:val="en-GB"/>
        </w:rPr>
        <w:t>, Portugal</w:t>
      </w:r>
    </w:p>
    <w:p w14:paraId="0F70950A" w14:textId="77777777" w:rsidR="00116613" w:rsidRPr="00643AA1" w:rsidRDefault="00116613" w:rsidP="00116613">
      <w:pPr>
        <w:pStyle w:val="Subttulo"/>
        <w:rPr>
          <w:lang w:val="en-GB"/>
        </w:rPr>
      </w:pPr>
      <w:r w:rsidRPr="00643AA1">
        <w:rPr>
          <w:vertAlign w:val="superscript"/>
          <w:lang w:val="en-GB"/>
        </w:rPr>
        <w:t>2</w:t>
      </w:r>
      <w:r w:rsidRPr="00643AA1">
        <w:rPr>
          <w:lang w:val="en-GB"/>
        </w:rPr>
        <w:t xml:space="preserve">The Discoveries Centre for Regenerative and Precision Medicine, Lisbon Campus, Instituto Superior Técnico, </w:t>
      </w:r>
      <w:proofErr w:type="spellStart"/>
      <w:r w:rsidRPr="00643AA1">
        <w:rPr>
          <w:lang w:val="en-GB"/>
        </w:rPr>
        <w:t>Universidade</w:t>
      </w:r>
      <w:proofErr w:type="spellEnd"/>
      <w:r w:rsidRPr="00643AA1">
        <w:rPr>
          <w:lang w:val="en-GB"/>
        </w:rPr>
        <w:t xml:space="preserve"> de </w:t>
      </w:r>
      <w:proofErr w:type="spellStart"/>
      <w:r w:rsidRPr="00643AA1">
        <w:rPr>
          <w:lang w:val="en-GB"/>
        </w:rPr>
        <w:t>Lisboa</w:t>
      </w:r>
      <w:proofErr w:type="spellEnd"/>
      <w:r w:rsidRPr="00643AA1">
        <w:rPr>
          <w:lang w:val="en-GB"/>
        </w:rPr>
        <w:t xml:space="preserve">, </w:t>
      </w:r>
      <w:proofErr w:type="spellStart"/>
      <w:r w:rsidRPr="00643AA1">
        <w:rPr>
          <w:lang w:val="en-GB"/>
        </w:rPr>
        <w:t>Lisboa</w:t>
      </w:r>
      <w:proofErr w:type="spellEnd"/>
      <w:r w:rsidRPr="00643AA1">
        <w:rPr>
          <w:lang w:val="en-GB"/>
        </w:rPr>
        <w:t>, Portugal</w:t>
      </w:r>
    </w:p>
    <w:p w14:paraId="6D126903" w14:textId="77777777" w:rsidR="00116613" w:rsidRPr="00643AA1" w:rsidRDefault="00116613" w:rsidP="00116613">
      <w:pPr>
        <w:pStyle w:val="Subttulo"/>
        <w:rPr>
          <w:lang w:val="en-GB"/>
        </w:rPr>
      </w:pPr>
      <w:r w:rsidRPr="00643AA1">
        <w:rPr>
          <w:vertAlign w:val="superscript"/>
          <w:lang w:val="en-GB"/>
        </w:rPr>
        <w:t>3</w:t>
      </w:r>
      <w:r w:rsidRPr="00643AA1">
        <w:rPr>
          <w:lang w:val="en-GB"/>
        </w:rPr>
        <w:t>PBS Biotech, Camarillo, CA, USA</w:t>
      </w:r>
    </w:p>
    <w:p w14:paraId="765383C2" w14:textId="77777777" w:rsidR="00116613" w:rsidRPr="00643AA1" w:rsidRDefault="00116613" w:rsidP="00116613"/>
    <w:p w14:paraId="7CF2AA6D" w14:textId="77777777" w:rsidR="00116613" w:rsidRPr="00643AA1" w:rsidRDefault="00116613" w:rsidP="00116613">
      <w:pPr>
        <w:pStyle w:val="Ttulo1"/>
      </w:pPr>
      <w:r w:rsidRPr="00643AA1">
        <w:t>Corresponding author:</w:t>
      </w:r>
    </w:p>
    <w:p w14:paraId="048108AB" w14:textId="77777777" w:rsidR="00116613" w:rsidRPr="00643AA1" w:rsidRDefault="00116613" w:rsidP="00116613">
      <w:r w:rsidRPr="00643AA1">
        <w:t>Carlos A.V. Rodrigues</w:t>
      </w:r>
    </w:p>
    <w:p w14:paraId="65363F57" w14:textId="77777777" w:rsidR="00116613" w:rsidRDefault="00116613" w:rsidP="00116613">
      <w:pPr>
        <w:rPr>
          <w:lang w:val="pt-PT"/>
        </w:rPr>
      </w:pPr>
      <w:r w:rsidRPr="00643AA1">
        <w:t xml:space="preserve">Address: Institute for Bioengineering and Biosciences, Instituto Superior Técnico, Av. </w:t>
      </w:r>
      <w:r>
        <w:rPr>
          <w:lang w:val="pt-PT"/>
        </w:rPr>
        <w:t>Rovisco Pais, 1049-001, Lisboa, Portugal</w:t>
      </w:r>
    </w:p>
    <w:p w14:paraId="6D28E7C9" w14:textId="77777777" w:rsidR="00116613" w:rsidRPr="002D4113" w:rsidRDefault="00116613" w:rsidP="00116613">
      <w:pPr>
        <w:rPr>
          <w:lang w:val="pt-PT"/>
        </w:rPr>
      </w:pPr>
      <w:r w:rsidRPr="002D4113">
        <w:rPr>
          <w:lang w:val="pt-PT"/>
        </w:rPr>
        <w:t>E-mail: carlos.rodrigues@tecnico.ulisboa.pt</w:t>
      </w:r>
    </w:p>
    <w:p w14:paraId="5550FB89" w14:textId="77777777" w:rsidR="00116613" w:rsidRDefault="00116613" w:rsidP="00116613">
      <w:pPr>
        <w:rPr>
          <w:lang w:val="en-US"/>
        </w:rPr>
        <w:sectPr w:rsidR="00116613" w:rsidSect="00116613">
          <w:pgSz w:w="11906" w:h="16838"/>
          <w:pgMar w:top="1440" w:right="1077" w:bottom="1440" w:left="1077" w:header="709" w:footer="709" w:gutter="0"/>
          <w:cols w:space="708"/>
          <w:vAlign w:val="both"/>
          <w:docGrid w:linePitch="360"/>
        </w:sectPr>
      </w:pPr>
      <w:r>
        <w:rPr>
          <w:lang w:val="en-US"/>
        </w:rPr>
        <w:t>Phone: +351 21 040 70 51</w:t>
      </w:r>
    </w:p>
    <w:p w14:paraId="1ECE97CE" w14:textId="77777777" w:rsidR="0015592E" w:rsidRDefault="00140A2C" w:rsidP="00EE1A67">
      <w:pPr>
        <w:spacing w:line="360" w:lineRule="auto"/>
        <w:jc w:val="center"/>
        <w:rPr>
          <w:lang w:val="en-US"/>
        </w:rPr>
      </w:pPr>
      <w:r>
        <w:rPr>
          <w:noProof/>
          <w:lang w:val="en-US"/>
        </w:rPr>
        <w:lastRenderedPageBreak/>
        <w:drawing>
          <wp:inline distT="0" distB="0" distL="0" distR="0" wp14:anchorId="7191BC55" wp14:editId="7EF2F226">
            <wp:extent cx="6157595" cy="138366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7595" cy="1383665"/>
                    </a:xfrm>
                    <a:prstGeom prst="rect">
                      <a:avLst/>
                    </a:prstGeom>
                    <a:noFill/>
                  </pic:spPr>
                </pic:pic>
              </a:graphicData>
            </a:graphic>
          </wp:inline>
        </w:drawing>
      </w:r>
    </w:p>
    <w:p w14:paraId="76A275ED" w14:textId="7A44D42F" w:rsidR="00160D3D" w:rsidRDefault="00140A2C" w:rsidP="00EE1A67">
      <w:pPr>
        <w:spacing w:line="360" w:lineRule="auto"/>
      </w:pPr>
      <w:r w:rsidRPr="00160D3D">
        <w:rPr>
          <w:b/>
          <w:bCs/>
        </w:rPr>
        <w:t xml:space="preserve">Figure S1. </w:t>
      </w:r>
      <w:r w:rsidRPr="00160D3D">
        <w:t xml:space="preserve">Statistical analysis of </w:t>
      </w:r>
      <w:proofErr w:type="spellStart"/>
      <w:r w:rsidRPr="00160D3D">
        <w:t>hiPSC</w:t>
      </w:r>
      <w:proofErr w:type="spellEnd"/>
      <w:r w:rsidRPr="00160D3D">
        <w:t xml:space="preserve"> growth curves. A set of two different culture conditions is presented in each graph: </w:t>
      </w:r>
      <w:r w:rsidRPr="00160D3D">
        <w:rPr>
          <w:b/>
          <w:bCs/>
        </w:rPr>
        <w:t>a</w:t>
      </w:r>
      <w:r w:rsidRPr="00160D3D">
        <w:t xml:space="preserve"> mTeSR1 vs mTeSR1+DS; </w:t>
      </w:r>
      <w:r w:rsidRPr="00160D3D">
        <w:rPr>
          <w:b/>
          <w:bCs/>
        </w:rPr>
        <w:t>b</w:t>
      </w:r>
      <w:r w:rsidRPr="00160D3D">
        <w:t xml:space="preserve"> mTeSR3D vs mTeSR3D+DS; </w:t>
      </w:r>
      <w:r w:rsidRPr="00160D3D">
        <w:rPr>
          <w:b/>
          <w:bCs/>
        </w:rPr>
        <w:t>c</w:t>
      </w:r>
      <w:r w:rsidRPr="00160D3D">
        <w:t xml:space="preserve"> mTeSR1+DS vs mTeSR3D+DS.</w:t>
      </w:r>
      <w:bookmarkStart w:id="0" w:name="_GoBack"/>
      <w:bookmarkEnd w:id="0"/>
      <w:r w:rsidRPr="00160D3D">
        <w:t xml:space="preserve"> Differences between conditions, at a given day, were considered statistically significant at **</w:t>
      </w:r>
      <w:r w:rsidRPr="00160D3D">
        <w:rPr>
          <w:i/>
          <w:iCs/>
        </w:rPr>
        <w:t>p</w:t>
      </w:r>
      <w:r w:rsidRPr="00160D3D">
        <w:t>&lt;0.01 and ***</w:t>
      </w:r>
      <w:r w:rsidRPr="00160D3D">
        <w:rPr>
          <w:i/>
          <w:iCs/>
        </w:rPr>
        <w:t>p</w:t>
      </w:r>
      <w:r w:rsidRPr="00160D3D">
        <w:t>&lt;0.001.</w:t>
      </w:r>
      <w:r w:rsidR="00160D3D">
        <w:br w:type="page"/>
      </w:r>
    </w:p>
    <w:p w14:paraId="5192F8DC" w14:textId="77777777" w:rsidR="00140A2C" w:rsidRDefault="00160D3D" w:rsidP="00EE1A67">
      <w:pPr>
        <w:spacing w:line="360" w:lineRule="auto"/>
        <w:jc w:val="center"/>
        <w:rPr>
          <w:lang w:val="en-US"/>
        </w:rPr>
      </w:pPr>
      <w:r>
        <w:rPr>
          <w:noProof/>
          <w:lang w:val="en-US"/>
        </w:rPr>
        <w:lastRenderedPageBreak/>
        <w:drawing>
          <wp:inline distT="0" distB="0" distL="0" distR="0" wp14:anchorId="4940A3F3" wp14:editId="4FDE7CC4">
            <wp:extent cx="6181725" cy="7626985"/>
            <wp:effectExtent l="0" t="0" r="9525" b="0"/>
            <wp:docPr id="320" name="Imagem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81725" cy="7626985"/>
                    </a:xfrm>
                    <a:prstGeom prst="rect">
                      <a:avLst/>
                    </a:prstGeom>
                    <a:noFill/>
                  </pic:spPr>
                </pic:pic>
              </a:graphicData>
            </a:graphic>
          </wp:inline>
        </w:drawing>
      </w:r>
    </w:p>
    <w:p w14:paraId="0E620231" w14:textId="77777777" w:rsidR="00160D3D" w:rsidRDefault="00160D3D" w:rsidP="00EE1A67">
      <w:pPr>
        <w:spacing w:line="360" w:lineRule="auto"/>
      </w:pPr>
      <w:r w:rsidRPr="00160D3D">
        <w:rPr>
          <w:b/>
          <w:bCs/>
        </w:rPr>
        <w:t>Figure S2.</w:t>
      </w:r>
      <w:r w:rsidRPr="00160D3D">
        <w:t xml:space="preserve"> Flow cytometry analysis of </w:t>
      </w:r>
      <w:proofErr w:type="spellStart"/>
      <w:r w:rsidRPr="00160D3D">
        <w:t>hiPSCs</w:t>
      </w:r>
      <w:proofErr w:type="spellEnd"/>
      <w:r w:rsidRPr="00160D3D">
        <w:t xml:space="preserve"> cultured in the VWBR under the different conditions tested: </w:t>
      </w:r>
      <w:r w:rsidRPr="00160D3D">
        <w:rPr>
          <w:b/>
          <w:bCs/>
        </w:rPr>
        <w:t>a</w:t>
      </w:r>
      <w:r w:rsidRPr="00160D3D">
        <w:t xml:space="preserve"> mTeSR1; </w:t>
      </w:r>
      <w:r w:rsidRPr="00160D3D">
        <w:rPr>
          <w:b/>
          <w:bCs/>
        </w:rPr>
        <w:t>b</w:t>
      </w:r>
      <w:r w:rsidRPr="00160D3D">
        <w:t xml:space="preserve"> Gibco </w:t>
      </w:r>
      <w:proofErr w:type="spellStart"/>
      <w:r w:rsidRPr="00160D3D">
        <w:t>hiPSC</w:t>
      </w:r>
      <w:proofErr w:type="spellEnd"/>
      <w:r w:rsidRPr="00160D3D">
        <w:t xml:space="preserve"> line, mTeSR1; </w:t>
      </w:r>
      <w:r w:rsidRPr="00160D3D">
        <w:rPr>
          <w:b/>
          <w:bCs/>
        </w:rPr>
        <w:t>c</w:t>
      </w:r>
      <w:r w:rsidRPr="00160D3D">
        <w:t xml:space="preserve"> mTeSR3D; </w:t>
      </w:r>
      <w:r w:rsidRPr="00160D3D">
        <w:rPr>
          <w:b/>
          <w:bCs/>
        </w:rPr>
        <w:t>d</w:t>
      </w:r>
      <w:r w:rsidRPr="00160D3D">
        <w:t xml:space="preserve"> mTeSR1+DS; </w:t>
      </w:r>
      <w:r w:rsidRPr="00160D3D">
        <w:rPr>
          <w:b/>
          <w:bCs/>
        </w:rPr>
        <w:t>e</w:t>
      </w:r>
      <w:r w:rsidRPr="00160D3D">
        <w:t xml:space="preserve"> mTeSR3D+DS. For each condition, representative images of a 2D dot plot showing population gating and histograms of OCT4, TRA-1-60 and SSEA-1 analyses, including negative controls (grey) are shown.</w:t>
      </w:r>
      <w:r>
        <w:br w:type="page"/>
      </w:r>
    </w:p>
    <w:p w14:paraId="60FAC55A" w14:textId="77777777" w:rsidR="00160D3D" w:rsidRDefault="00160D3D" w:rsidP="00EE1A67">
      <w:pPr>
        <w:spacing w:line="360" w:lineRule="auto"/>
        <w:jc w:val="center"/>
        <w:rPr>
          <w:lang w:val="en-US"/>
        </w:rPr>
      </w:pPr>
      <w:r>
        <w:rPr>
          <w:noProof/>
          <w:lang w:val="en-US"/>
        </w:rPr>
        <w:lastRenderedPageBreak/>
        <w:drawing>
          <wp:inline distT="0" distB="0" distL="0" distR="0" wp14:anchorId="25653CBA" wp14:editId="37D77706">
            <wp:extent cx="3523615" cy="2426335"/>
            <wp:effectExtent l="0" t="0" r="0" b="0"/>
            <wp:docPr id="321" name="Imagem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3615" cy="2426335"/>
                    </a:xfrm>
                    <a:prstGeom prst="rect">
                      <a:avLst/>
                    </a:prstGeom>
                    <a:noFill/>
                  </pic:spPr>
                </pic:pic>
              </a:graphicData>
            </a:graphic>
          </wp:inline>
        </w:drawing>
      </w:r>
    </w:p>
    <w:p w14:paraId="0F71E657" w14:textId="77777777" w:rsidR="00160D3D" w:rsidRDefault="00160D3D" w:rsidP="00EE1A67">
      <w:pPr>
        <w:spacing w:line="360" w:lineRule="auto"/>
      </w:pPr>
      <w:r w:rsidRPr="00160D3D">
        <w:rPr>
          <w:b/>
          <w:bCs/>
        </w:rPr>
        <w:t xml:space="preserve">Figure S3. </w:t>
      </w:r>
      <w:r w:rsidRPr="00160D3D">
        <w:t xml:space="preserve">Number of </w:t>
      </w:r>
      <w:proofErr w:type="spellStart"/>
      <w:r w:rsidRPr="00160D3D">
        <w:t>hiPSC</w:t>
      </w:r>
      <w:proofErr w:type="spellEnd"/>
      <w:r w:rsidRPr="00160D3D">
        <w:t xml:space="preserve"> aggregates at day 1 under the different culture conditions tested. Samples (700 </w:t>
      </w:r>
      <w:r w:rsidRPr="00160D3D">
        <w:rPr>
          <w:lang w:val="en-US"/>
        </w:rPr>
        <w:sym w:font="Symbol" w:char="F06D"/>
      </w:r>
      <w:r w:rsidRPr="00160D3D">
        <w:rPr>
          <w:lang w:val="en-US"/>
        </w:rPr>
        <w:t xml:space="preserve">L) </w:t>
      </w:r>
      <w:r w:rsidRPr="00160D3D">
        <w:t>harvested from the VWBR at day 1 were placed in a 24-well tissue culture plate and, using an optical microscope, pictures were taken, capturing all the aggregates present. Images were then analysed to count the total number of aggregates in the sample, which allowed to estimate the number of aggregates in the whole vessel. A total of two samples from two different runs were analysed for each condition.</w:t>
      </w:r>
      <w:r>
        <w:br w:type="page"/>
      </w:r>
    </w:p>
    <w:p w14:paraId="1F9E4683" w14:textId="77777777" w:rsidR="00160D3D" w:rsidRDefault="00160D3D" w:rsidP="00EE1A67">
      <w:pPr>
        <w:spacing w:line="360" w:lineRule="auto"/>
        <w:jc w:val="center"/>
        <w:rPr>
          <w:lang w:val="en-US"/>
        </w:rPr>
      </w:pPr>
      <w:r>
        <w:rPr>
          <w:noProof/>
          <w:lang w:val="en-US"/>
        </w:rPr>
        <w:lastRenderedPageBreak/>
        <w:drawing>
          <wp:inline distT="0" distB="0" distL="0" distR="0" wp14:anchorId="5FFDF7A5" wp14:editId="2D12664F">
            <wp:extent cx="6157595" cy="3743325"/>
            <wp:effectExtent l="0" t="0" r="0" b="9525"/>
            <wp:docPr id="322" name="Imagem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7595" cy="3743325"/>
                    </a:xfrm>
                    <a:prstGeom prst="rect">
                      <a:avLst/>
                    </a:prstGeom>
                    <a:noFill/>
                  </pic:spPr>
                </pic:pic>
              </a:graphicData>
            </a:graphic>
          </wp:inline>
        </w:drawing>
      </w:r>
    </w:p>
    <w:p w14:paraId="1603DE31" w14:textId="6494CD3A" w:rsidR="00160D3D" w:rsidRDefault="00160D3D" w:rsidP="00EE1A67">
      <w:pPr>
        <w:spacing w:line="360" w:lineRule="auto"/>
      </w:pPr>
      <w:r w:rsidRPr="00160D3D">
        <w:rPr>
          <w:b/>
          <w:bCs/>
        </w:rPr>
        <w:t>Figure S4.</w:t>
      </w:r>
      <w:r w:rsidRPr="00160D3D">
        <w:t xml:space="preserve"> Cell viability analysis. </w:t>
      </w:r>
      <w:proofErr w:type="spellStart"/>
      <w:r w:rsidRPr="00160D3D">
        <w:t>hiPSC</w:t>
      </w:r>
      <w:proofErr w:type="spellEnd"/>
      <w:r w:rsidRPr="00160D3D">
        <w:t xml:space="preserve"> aggregates cultured for </w:t>
      </w:r>
      <w:r w:rsidRPr="00160D3D">
        <w:rPr>
          <w:b/>
          <w:bCs/>
        </w:rPr>
        <w:t>a</w:t>
      </w:r>
      <w:r w:rsidRPr="00160D3D">
        <w:t xml:space="preserve"> 3 and </w:t>
      </w:r>
      <w:r w:rsidRPr="00160D3D">
        <w:rPr>
          <w:b/>
          <w:bCs/>
        </w:rPr>
        <w:t>b, c</w:t>
      </w:r>
      <w:r w:rsidRPr="00160D3D">
        <w:t xml:space="preserve"> 7 days in the VWBR, with mTeSR1+DS, were harvested, incubated with </w:t>
      </w:r>
      <w:proofErr w:type="spellStart"/>
      <w:r w:rsidRPr="00160D3D">
        <w:t>calcein</w:t>
      </w:r>
      <w:proofErr w:type="spellEnd"/>
      <w:r w:rsidRPr="00160D3D">
        <w:t xml:space="preserve"> AM (2 </w:t>
      </w:r>
      <w:r w:rsidRPr="00160D3D">
        <w:rPr>
          <w:lang w:val="en-US"/>
        </w:rPr>
        <w:sym w:font="Symbol" w:char="F06D"/>
      </w:r>
      <w:r w:rsidRPr="00160D3D">
        <w:rPr>
          <w:lang w:val="en-US"/>
        </w:rPr>
        <w:t xml:space="preserve">M) and ethidium homodimer (4 </w:t>
      </w:r>
      <w:r w:rsidRPr="00160D3D">
        <w:rPr>
          <w:lang w:val="en-US"/>
        </w:rPr>
        <w:sym w:font="Symbol" w:char="F06D"/>
      </w:r>
      <w:r w:rsidRPr="00160D3D">
        <w:rPr>
          <w:lang w:val="en-US"/>
        </w:rPr>
        <w:t xml:space="preserve">M; Sigma) for 30 min and </w:t>
      </w:r>
      <w:proofErr w:type="spellStart"/>
      <w:r w:rsidRPr="00160D3D">
        <w:rPr>
          <w:lang w:val="en-US"/>
        </w:rPr>
        <w:t>visualised</w:t>
      </w:r>
      <w:proofErr w:type="spellEnd"/>
      <w:r w:rsidRPr="00160D3D">
        <w:rPr>
          <w:lang w:val="en-US"/>
        </w:rPr>
        <w:t xml:space="preserve"> using a confocal microscope. Maximum intensity projections are shown (scale bars = 100 </w:t>
      </w:r>
      <w:r w:rsidRPr="00160D3D">
        <w:rPr>
          <w:lang w:val="el-GR"/>
        </w:rPr>
        <w:t>μ</w:t>
      </w:r>
      <w:r w:rsidRPr="00160D3D">
        <w:rPr>
          <w:lang w:val="en-US"/>
        </w:rPr>
        <w:t xml:space="preserve">m). Aggregates at day 7 were also </w:t>
      </w:r>
      <w:r w:rsidRPr="00160D3D">
        <w:t>dissociated, stained with the LIVE/DEAD Fixable Far Red Dead Cell Stain Kit (</w:t>
      </w:r>
      <w:proofErr w:type="spellStart"/>
      <w:r w:rsidRPr="00160D3D">
        <w:t>ThermoFisher</w:t>
      </w:r>
      <w:proofErr w:type="spellEnd"/>
      <w:r w:rsidRPr="00160D3D">
        <w:t xml:space="preserve">), according to the manufacturer instructions and analysed by flow cytometry. Representative images of </w:t>
      </w:r>
      <w:r w:rsidR="00643AA1" w:rsidRPr="00160D3D">
        <w:rPr>
          <w:b/>
          <w:bCs/>
        </w:rPr>
        <w:t>d</w:t>
      </w:r>
      <w:r w:rsidR="00643AA1" w:rsidRPr="00160D3D">
        <w:t xml:space="preserve"> </w:t>
      </w:r>
      <w:r w:rsidRPr="00160D3D">
        <w:t xml:space="preserve">a 2D dot plot showing population gating and </w:t>
      </w:r>
      <w:r w:rsidRPr="00160D3D">
        <w:rPr>
          <w:b/>
          <w:bCs/>
        </w:rPr>
        <w:t>e</w:t>
      </w:r>
      <w:r w:rsidRPr="00160D3D">
        <w:t xml:space="preserve"> a histogram of a sample analysis (orange), including the positive control (a 50/50 mix of live cells and dead cells obtained by thermal shock) (grey). Three independent samples were </w:t>
      </w:r>
      <w:proofErr w:type="gramStart"/>
      <w:r w:rsidRPr="00160D3D">
        <w:t>analysed</w:t>
      </w:r>
      <w:proofErr w:type="gramEnd"/>
      <w:r w:rsidRPr="00160D3D">
        <w:t xml:space="preserve"> and percentage of live cells is shown as mean ± SEM.</w:t>
      </w:r>
      <w:r>
        <w:br w:type="page"/>
      </w:r>
    </w:p>
    <w:p w14:paraId="2D6FC608" w14:textId="77777777" w:rsidR="00160D3D" w:rsidRDefault="00160D3D" w:rsidP="00EE1A67">
      <w:pPr>
        <w:spacing w:line="360" w:lineRule="auto"/>
        <w:jc w:val="center"/>
        <w:rPr>
          <w:lang w:val="en-US"/>
        </w:rPr>
      </w:pPr>
      <w:r>
        <w:rPr>
          <w:noProof/>
          <w:lang w:val="en-US"/>
        </w:rPr>
        <w:lastRenderedPageBreak/>
        <w:drawing>
          <wp:inline distT="0" distB="0" distL="0" distR="0" wp14:anchorId="35EBB7B9" wp14:editId="2EF3F193">
            <wp:extent cx="1999615" cy="1603375"/>
            <wp:effectExtent l="0" t="0" r="635" b="0"/>
            <wp:docPr id="323" name="Imagem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9615" cy="1603375"/>
                    </a:xfrm>
                    <a:prstGeom prst="rect">
                      <a:avLst/>
                    </a:prstGeom>
                    <a:noFill/>
                  </pic:spPr>
                </pic:pic>
              </a:graphicData>
            </a:graphic>
          </wp:inline>
        </w:drawing>
      </w:r>
    </w:p>
    <w:p w14:paraId="340CFEA5" w14:textId="77777777" w:rsidR="00140A2C" w:rsidRPr="00116613" w:rsidRDefault="00160D3D" w:rsidP="00EE1A67">
      <w:pPr>
        <w:spacing w:line="360" w:lineRule="auto"/>
        <w:rPr>
          <w:lang w:val="en-US"/>
        </w:rPr>
      </w:pPr>
      <w:r w:rsidRPr="00160D3D">
        <w:rPr>
          <w:b/>
          <w:bCs/>
        </w:rPr>
        <w:t>Figure S5.</w:t>
      </w:r>
      <w:r w:rsidRPr="00160D3D">
        <w:t xml:space="preserve"> Negative control of the antibody </w:t>
      </w:r>
      <w:proofErr w:type="spellStart"/>
      <w:r w:rsidRPr="00160D3D">
        <w:t>stainings</w:t>
      </w:r>
      <w:proofErr w:type="spellEnd"/>
      <w:r w:rsidRPr="00160D3D">
        <w:t xml:space="preserve"> performed in Fig. 5c. Differentiated cells were stained for OCT4 (secondary antibody: goat anti-mouse IgG-</w:t>
      </w:r>
      <w:proofErr w:type="spellStart"/>
      <w:r w:rsidRPr="00160D3D">
        <w:t>AlexaFluor</w:t>
      </w:r>
      <w:proofErr w:type="spellEnd"/>
      <w:r w:rsidRPr="00160D3D">
        <w:t xml:space="preserve"> 546), which is not present in these cells </w:t>
      </w:r>
      <w:r w:rsidRPr="00160D3D">
        <w:rPr>
          <w:lang w:val="en-US"/>
        </w:rPr>
        <w:t xml:space="preserve">(scale bar = 50 </w:t>
      </w:r>
      <w:r w:rsidRPr="00160D3D">
        <w:rPr>
          <w:lang w:val="el-GR"/>
        </w:rPr>
        <w:t>μ</w:t>
      </w:r>
      <w:r w:rsidRPr="00160D3D">
        <w:rPr>
          <w:lang w:val="en-US"/>
        </w:rPr>
        <w:t>m)</w:t>
      </w:r>
      <w:r w:rsidRPr="00160D3D">
        <w:t>.</w:t>
      </w:r>
    </w:p>
    <w:sectPr w:rsidR="00140A2C" w:rsidRPr="00116613" w:rsidSect="00140A2C">
      <w:pgSz w:w="11906" w:h="16838" w:code="9"/>
      <w:pgMar w:top="1440" w:right="1077" w:bottom="144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decorative"/>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613"/>
    <w:rsid w:val="00116613"/>
    <w:rsid w:val="00140A2C"/>
    <w:rsid w:val="0015592E"/>
    <w:rsid w:val="00160D3D"/>
    <w:rsid w:val="00451ADE"/>
    <w:rsid w:val="00643AA1"/>
    <w:rsid w:val="00A14A3E"/>
    <w:rsid w:val="00C330FE"/>
    <w:rsid w:val="00EE1A67"/>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141D7"/>
  <w15:chartTrackingRefBased/>
  <w15:docId w15:val="{784C03D1-980F-4A08-98A0-1F85E95CD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613"/>
    <w:pPr>
      <w:spacing w:line="480" w:lineRule="auto"/>
      <w:jc w:val="both"/>
    </w:pPr>
    <w:rPr>
      <w:rFonts w:ascii="Arial" w:eastAsia="Batang" w:hAnsi="Arial" w:cs="Arial"/>
      <w:lang w:val="en-GB"/>
    </w:rPr>
  </w:style>
  <w:style w:type="paragraph" w:styleId="Ttulo1">
    <w:name w:val="heading 1"/>
    <w:basedOn w:val="Normal"/>
    <w:next w:val="Normal"/>
    <w:link w:val="Ttulo1Carter"/>
    <w:uiPriority w:val="9"/>
    <w:qFormat/>
    <w:rsid w:val="00116613"/>
    <w:pPr>
      <w:outlineLvl w:val="0"/>
    </w:pPr>
    <w:rPr>
      <w:b/>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basedOn w:val="Tipodeletrapredefinidodopargrafo"/>
    <w:link w:val="Ttulo1"/>
    <w:uiPriority w:val="9"/>
    <w:qFormat/>
    <w:rsid w:val="00116613"/>
    <w:rPr>
      <w:rFonts w:ascii="Arial" w:eastAsia="Batang" w:hAnsi="Arial" w:cs="Arial"/>
      <w:b/>
      <w:lang w:val="en-GB"/>
    </w:rPr>
  </w:style>
  <w:style w:type="character" w:customStyle="1" w:styleId="SubttuloCarter">
    <w:name w:val="Subtítulo Caráter"/>
    <w:basedOn w:val="Tipodeletrapredefinidodopargrafo"/>
    <w:link w:val="Subttulo"/>
    <w:uiPriority w:val="11"/>
    <w:qFormat/>
    <w:rsid w:val="00116613"/>
    <w:rPr>
      <w:rFonts w:ascii="Arial" w:hAnsi="Arial" w:cs="Arial"/>
      <w:sz w:val="20"/>
    </w:rPr>
  </w:style>
  <w:style w:type="character" w:customStyle="1" w:styleId="TtuloCarter">
    <w:name w:val="Título Caráter"/>
    <w:basedOn w:val="Tipodeletrapredefinidodopargrafo"/>
    <w:link w:val="Ttulo"/>
    <w:uiPriority w:val="10"/>
    <w:qFormat/>
    <w:rsid w:val="00116613"/>
    <w:rPr>
      <w:rFonts w:ascii="Arial" w:hAnsi="Arial" w:cs="Arial"/>
      <w:b/>
      <w:lang w:val="en-GB"/>
    </w:rPr>
  </w:style>
  <w:style w:type="paragraph" w:styleId="Ttulo">
    <w:name w:val="Title"/>
    <w:basedOn w:val="Normal"/>
    <w:next w:val="Corpodetexto"/>
    <w:link w:val="TtuloCarter"/>
    <w:uiPriority w:val="10"/>
    <w:qFormat/>
    <w:rsid w:val="00116613"/>
    <w:pPr>
      <w:jc w:val="center"/>
    </w:pPr>
    <w:rPr>
      <w:rFonts w:eastAsiaTheme="minorHAnsi"/>
      <w:b/>
    </w:rPr>
  </w:style>
  <w:style w:type="character" w:customStyle="1" w:styleId="TtuloCarter1">
    <w:name w:val="Título Caráter1"/>
    <w:basedOn w:val="Tipodeletrapredefinidodopargrafo"/>
    <w:uiPriority w:val="10"/>
    <w:rsid w:val="00116613"/>
    <w:rPr>
      <w:rFonts w:asciiTheme="majorHAnsi" w:eastAsiaTheme="majorEastAsia" w:hAnsiTheme="majorHAnsi" w:cstheme="majorBidi"/>
      <w:spacing w:val="-10"/>
      <w:kern w:val="28"/>
      <w:sz w:val="56"/>
      <w:szCs w:val="56"/>
      <w:lang w:val="en-GB"/>
    </w:rPr>
  </w:style>
  <w:style w:type="paragraph" w:styleId="Subttulo">
    <w:name w:val="Subtitle"/>
    <w:basedOn w:val="Normal"/>
    <w:next w:val="Normal"/>
    <w:link w:val="SubttuloCarter"/>
    <w:uiPriority w:val="11"/>
    <w:qFormat/>
    <w:rsid w:val="00116613"/>
    <w:rPr>
      <w:rFonts w:eastAsiaTheme="minorHAnsi"/>
      <w:sz w:val="20"/>
      <w:lang w:val="pt-PT"/>
    </w:rPr>
  </w:style>
  <w:style w:type="character" w:customStyle="1" w:styleId="SubttuloCarter1">
    <w:name w:val="Subtítulo Caráter1"/>
    <w:basedOn w:val="Tipodeletrapredefinidodopargrafo"/>
    <w:uiPriority w:val="11"/>
    <w:rsid w:val="00116613"/>
    <w:rPr>
      <w:rFonts w:eastAsiaTheme="minorEastAsia"/>
      <w:color w:val="5A5A5A" w:themeColor="text1" w:themeTint="A5"/>
      <w:spacing w:val="15"/>
      <w:lang w:val="en-GB"/>
    </w:rPr>
  </w:style>
  <w:style w:type="paragraph" w:styleId="Corpodetexto">
    <w:name w:val="Body Text"/>
    <w:basedOn w:val="Normal"/>
    <w:link w:val="CorpodetextoCarter"/>
    <w:uiPriority w:val="99"/>
    <w:semiHidden/>
    <w:unhideWhenUsed/>
    <w:rsid w:val="00116613"/>
    <w:pPr>
      <w:spacing w:after="120"/>
    </w:pPr>
  </w:style>
  <w:style w:type="character" w:customStyle="1" w:styleId="CorpodetextoCarter">
    <w:name w:val="Corpo de texto Caráter"/>
    <w:basedOn w:val="Tipodeletrapredefinidodopargrafo"/>
    <w:link w:val="Corpodetexto"/>
    <w:uiPriority w:val="99"/>
    <w:semiHidden/>
    <w:rsid w:val="00116613"/>
    <w:rPr>
      <w:rFonts w:ascii="Arial" w:eastAsia="Batang"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15557">
      <w:bodyDiv w:val="1"/>
      <w:marLeft w:val="0"/>
      <w:marRight w:val="0"/>
      <w:marTop w:val="0"/>
      <w:marBottom w:val="0"/>
      <w:divBdr>
        <w:top w:val="none" w:sz="0" w:space="0" w:color="auto"/>
        <w:left w:val="none" w:sz="0" w:space="0" w:color="auto"/>
        <w:bottom w:val="none" w:sz="0" w:space="0" w:color="auto"/>
        <w:right w:val="none" w:sz="0" w:space="0" w:color="auto"/>
      </w:divBdr>
    </w:div>
    <w:div w:id="996493900">
      <w:bodyDiv w:val="1"/>
      <w:marLeft w:val="0"/>
      <w:marRight w:val="0"/>
      <w:marTop w:val="0"/>
      <w:marBottom w:val="0"/>
      <w:divBdr>
        <w:top w:val="none" w:sz="0" w:space="0" w:color="auto"/>
        <w:left w:val="none" w:sz="0" w:space="0" w:color="auto"/>
        <w:bottom w:val="none" w:sz="0" w:space="0" w:color="auto"/>
        <w:right w:val="none" w:sz="0" w:space="0" w:color="auto"/>
      </w:divBdr>
    </w:div>
    <w:div w:id="119118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496</Words>
  <Characters>2684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do Espírito Santo Nogueira</dc:creator>
  <cp:keywords/>
  <dc:description/>
  <cp:lastModifiedBy>Carlos André Vitorino Rodrigues</cp:lastModifiedBy>
  <cp:revision>5</cp:revision>
  <cp:lastPrinted>2019-08-04T16:13:00Z</cp:lastPrinted>
  <dcterms:created xsi:type="dcterms:W3CDTF">2019-08-04T14:55:00Z</dcterms:created>
  <dcterms:modified xsi:type="dcterms:W3CDTF">2019-08-04T19:23:00Z</dcterms:modified>
</cp:coreProperties>
</file>