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4C" w:rsidRDefault="009410D4" w:rsidP="00427AC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lang w:val="en-GB"/>
        </w:rPr>
        <w:t xml:space="preserve">Additional </w:t>
      </w:r>
      <w:bookmarkStart w:id="0" w:name="_GoBack"/>
      <w:bookmarkEnd w:id="0"/>
      <w:r w:rsidR="00427ACC" w:rsidRPr="00B61300">
        <w:rPr>
          <w:rFonts w:asciiTheme="minorHAnsi" w:hAnsiTheme="minorHAnsi"/>
          <w:b/>
          <w:sz w:val="20"/>
          <w:szCs w:val="20"/>
        </w:rPr>
        <w:t>file</w:t>
      </w:r>
      <w:r w:rsidR="00D261C1">
        <w:rPr>
          <w:rFonts w:asciiTheme="minorHAnsi" w:hAnsiTheme="minorHAnsi"/>
          <w:b/>
          <w:sz w:val="20"/>
          <w:szCs w:val="20"/>
        </w:rPr>
        <w:t xml:space="preserve"> 3</w:t>
      </w:r>
    </w:p>
    <w:p w:rsidR="0002734C" w:rsidRDefault="0002734C" w:rsidP="00427ACC">
      <w:pPr>
        <w:rPr>
          <w:rFonts w:asciiTheme="minorHAnsi" w:hAnsiTheme="minorHAnsi"/>
          <w:b/>
          <w:sz w:val="20"/>
          <w:szCs w:val="20"/>
        </w:rPr>
      </w:pPr>
    </w:p>
    <w:p w:rsidR="00D261C1" w:rsidRDefault="009C7C22" w:rsidP="00DE6AE6">
      <w:pPr>
        <w:rPr>
          <w:rFonts w:asciiTheme="minorHAnsi" w:hAnsiTheme="minorHAnsi"/>
          <w:sz w:val="20"/>
          <w:szCs w:val="20"/>
          <w:lang w:val="en-US"/>
        </w:rPr>
      </w:pPr>
      <w:r w:rsidRPr="009C7C22">
        <w:rPr>
          <w:rFonts w:asciiTheme="minorHAnsi" w:hAnsiTheme="minorHAnsi"/>
          <w:sz w:val="20"/>
          <w:szCs w:val="20"/>
          <w:lang w:val="en-US"/>
        </w:rPr>
        <w:t>Change in scores between T0 (baseline) and T3 (90 days post-operative) of the measures in rel</w:t>
      </w:r>
      <w:r>
        <w:rPr>
          <w:rFonts w:asciiTheme="minorHAnsi" w:hAnsiTheme="minorHAnsi"/>
          <w:sz w:val="20"/>
          <w:szCs w:val="20"/>
          <w:lang w:val="en-US"/>
        </w:rPr>
        <w:t>ation responsiveness properties</w:t>
      </w:r>
    </w:p>
    <w:p w:rsidR="009C7C22" w:rsidRDefault="009C7C22" w:rsidP="00DE6AE6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leGrid"/>
        <w:tblpPr w:leftFromText="142" w:rightFromText="142" w:vertAnchor="text" w:horzAnchor="page" w:tblpXSpec="center" w:tblpY="1"/>
        <w:tblOverlap w:val="never"/>
        <w:tblW w:w="16399" w:type="dxa"/>
        <w:tblLayout w:type="fixed"/>
        <w:tblLook w:val="04A0" w:firstRow="1" w:lastRow="0" w:firstColumn="1" w:lastColumn="0" w:noHBand="0" w:noVBand="1"/>
      </w:tblPr>
      <w:tblGrid>
        <w:gridCol w:w="1361"/>
        <w:gridCol w:w="794"/>
        <w:gridCol w:w="680"/>
        <w:gridCol w:w="680"/>
        <w:gridCol w:w="794"/>
        <w:gridCol w:w="624"/>
        <w:gridCol w:w="852"/>
        <w:gridCol w:w="794"/>
        <w:gridCol w:w="680"/>
        <w:gridCol w:w="680"/>
        <w:gridCol w:w="794"/>
        <w:gridCol w:w="567"/>
        <w:gridCol w:w="850"/>
        <w:gridCol w:w="454"/>
        <w:gridCol w:w="454"/>
        <w:gridCol w:w="816"/>
        <w:gridCol w:w="666"/>
        <w:gridCol w:w="666"/>
        <w:gridCol w:w="822"/>
        <w:gridCol w:w="607"/>
        <w:gridCol w:w="852"/>
        <w:gridCol w:w="454"/>
        <w:gridCol w:w="458"/>
      </w:tblGrid>
      <w:tr w:rsidR="00D261C1" w:rsidRPr="00D261C1" w:rsidTr="003A74DB">
        <w:tc>
          <w:tcPr>
            <w:tcW w:w="1361" w:type="dxa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/>
              <w:rPr>
                <w:b/>
                <w:bCs/>
                <w:kern w:val="24"/>
                <w:sz w:val="14"/>
                <w:szCs w:val="14"/>
                <w:lang w:val="en-US"/>
              </w:rPr>
            </w:pPr>
          </w:p>
        </w:tc>
        <w:tc>
          <w:tcPr>
            <w:tcW w:w="4424" w:type="dxa"/>
            <w:gridSpan w:val="6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>No change (≤5 points) in EQ-VAS score in T0 and T3</w:t>
            </w:r>
            <w:r w:rsidRPr="00D261C1">
              <w:rPr>
                <w:bCs/>
                <w:kern w:val="24"/>
                <w:sz w:val="14"/>
                <w:szCs w:val="14"/>
                <w:vertAlign w:val="superscript"/>
                <w:lang w:val="en-US"/>
              </w:rPr>
              <w:t>*</w:t>
            </w:r>
          </w:p>
        </w:tc>
        <w:tc>
          <w:tcPr>
            <w:tcW w:w="5273" w:type="dxa"/>
            <w:gridSpan w:val="8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b/>
                <w:bCs/>
                <w:kern w:val="24"/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>Improvement of ≥10 in EQ-VAS score in T0 and T3</w:t>
            </w:r>
            <w:r w:rsidRPr="00D261C1">
              <w:rPr>
                <w:bCs/>
                <w:kern w:val="24"/>
                <w:sz w:val="14"/>
                <w:szCs w:val="14"/>
                <w:vertAlign w:val="superscript"/>
                <w:lang w:val="en-US"/>
              </w:rPr>
              <w:t>†</w:t>
            </w:r>
          </w:p>
        </w:tc>
        <w:tc>
          <w:tcPr>
            <w:tcW w:w="5341" w:type="dxa"/>
            <w:gridSpan w:val="8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b/>
                <w:bCs/>
                <w:kern w:val="24"/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>Decline of ≥10 in EQ-VAS score in T0 and T3</w:t>
            </w:r>
            <w:r w:rsidRPr="00D261C1">
              <w:rPr>
                <w:bCs/>
                <w:kern w:val="24"/>
                <w:sz w:val="14"/>
                <w:szCs w:val="14"/>
                <w:vertAlign w:val="superscript"/>
                <w:lang w:val="en-US"/>
              </w:rPr>
              <w:t>‡</w:t>
            </w:r>
          </w:p>
        </w:tc>
      </w:tr>
      <w:tr w:rsidR="009C7C22" w:rsidRPr="00D261C1" w:rsidTr="003A74DB">
        <w:trPr>
          <w:trHeight w:val="378"/>
        </w:trPr>
        <w:tc>
          <w:tcPr>
            <w:tcW w:w="1361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>Domains</w:t>
            </w:r>
          </w:p>
        </w:tc>
        <w:tc>
          <w:tcPr>
            <w:tcW w:w="794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104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>Valid population (n)</w:t>
            </w:r>
            <w:r>
              <w:rPr>
                <w:b/>
                <w:bCs/>
                <w:kern w:val="24"/>
                <w:sz w:val="14"/>
                <w:szCs w:val="14"/>
                <w:lang w:val="en-US"/>
              </w:rPr>
              <w:t xml:space="preserve"> </w:t>
            </w:r>
            <w:r w:rsidRPr="009C7C22">
              <w:rPr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680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108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 xml:space="preserve">T0 </w:t>
            </w:r>
          </w:p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108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>Mean (SD)</w:t>
            </w:r>
          </w:p>
        </w:tc>
        <w:tc>
          <w:tcPr>
            <w:tcW w:w="680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52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 xml:space="preserve">T3 </w:t>
            </w:r>
          </w:p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52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>Mean (SD)</w:t>
            </w:r>
          </w:p>
        </w:tc>
        <w:tc>
          <w:tcPr>
            <w:tcW w:w="794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108"/>
              <w:textAlignment w:val="baseline"/>
              <w:rPr>
                <w:sz w:val="14"/>
                <w:szCs w:val="14"/>
                <w:lang w:val="de-DE"/>
              </w:rPr>
            </w:pPr>
            <w:r w:rsidRPr="00D261C1">
              <w:rPr>
                <w:rFonts w:eastAsiaTheme="minorEastAsia"/>
                <w:b/>
                <w:bCs/>
                <w:kern w:val="24"/>
                <w:sz w:val="14"/>
                <w:szCs w:val="14"/>
                <w:lang w:val="de-DE"/>
              </w:rPr>
              <w:t xml:space="preserve">Mean change </w:t>
            </w:r>
          </w:p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108"/>
              <w:textAlignment w:val="baseline"/>
              <w:rPr>
                <w:sz w:val="14"/>
                <w:szCs w:val="14"/>
                <w:lang w:val="de-DE"/>
              </w:rPr>
            </w:pPr>
            <w:r w:rsidRPr="00D261C1">
              <w:rPr>
                <w:rFonts w:eastAsiaTheme="minorEastAsia"/>
                <w:b/>
                <w:bCs/>
                <w:kern w:val="24"/>
                <w:sz w:val="14"/>
                <w:szCs w:val="14"/>
                <w:lang w:val="de-DE"/>
              </w:rPr>
              <w:t>T0-T3 (SD)</w:t>
            </w:r>
          </w:p>
        </w:tc>
        <w:tc>
          <w:tcPr>
            <w:tcW w:w="624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rFonts w:eastAsiaTheme="minorEastAsia"/>
                <w:b/>
                <w:bCs/>
                <w:kern w:val="24"/>
                <w:sz w:val="14"/>
                <w:szCs w:val="14"/>
                <w:lang w:val="en-US"/>
              </w:rPr>
              <w:t>Effect Size (ES)</w:t>
            </w:r>
            <w:r w:rsidRPr="00D261C1">
              <w:rPr>
                <w:rFonts w:eastAsiaTheme="minorEastAsia"/>
                <w:bCs/>
                <w:kern w:val="24"/>
                <w:sz w:val="14"/>
                <w:szCs w:val="14"/>
                <w:vertAlign w:val="superscript"/>
                <w:lang w:val="en-US"/>
              </w:rPr>
              <w:t>§</w:t>
            </w:r>
          </w:p>
        </w:tc>
        <w:tc>
          <w:tcPr>
            <w:tcW w:w="852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74"/>
              <w:textAlignment w:val="baseline"/>
              <w:rPr>
                <w:b/>
                <w:sz w:val="14"/>
                <w:szCs w:val="14"/>
                <w:lang w:val="en-US"/>
              </w:rPr>
            </w:pPr>
            <w:r w:rsidRPr="00D261C1">
              <w:rPr>
                <w:rFonts w:cs="Arial"/>
                <w:b/>
                <w:bCs/>
                <w:sz w:val="14"/>
                <w:szCs w:val="14"/>
                <w:lang w:val="en-US"/>
              </w:rPr>
              <w:t>Correlation changes (r)</w:t>
            </w:r>
            <w:r w:rsidRPr="00D261C1">
              <w:rPr>
                <w:rFonts w:cs="Arial"/>
                <w:bCs/>
                <w:sz w:val="14"/>
                <w:szCs w:val="14"/>
                <w:vertAlign w:val="superscript"/>
                <w:lang w:val="en-US"/>
              </w:rPr>
              <w:t>¶</w:t>
            </w:r>
          </w:p>
        </w:tc>
        <w:tc>
          <w:tcPr>
            <w:tcW w:w="794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104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>Valid population (n)</w:t>
            </w:r>
            <w:r>
              <w:rPr>
                <w:b/>
                <w:bCs/>
                <w:kern w:val="24"/>
                <w:sz w:val="14"/>
                <w:szCs w:val="14"/>
                <w:lang w:val="en-US"/>
              </w:rPr>
              <w:t xml:space="preserve"> </w:t>
            </w:r>
            <w:r w:rsidRPr="009C7C22">
              <w:rPr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680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137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 xml:space="preserve">T0 </w:t>
            </w:r>
          </w:p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137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>Mean (SD)</w:t>
            </w:r>
          </w:p>
        </w:tc>
        <w:tc>
          <w:tcPr>
            <w:tcW w:w="680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24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 xml:space="preserve">T3 </w:t>
            </w:r>
          </w:p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24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>Mean (SD)</w:t>
            </w:r>
          </w:p>
        </w:tc>
        <w:tc>
          <w:tcPr>
            <w:tcW w:w="794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80"/>
              <w:textAlignment w:val="baseline"/>
              <w:rPr>
                <w:sz w:val="14"/>
                <w:szCs w:val="14"/>
                <w:lang w:val="de-DE"/>
              </w:rPr>
            </w:pPr>
            <w:r w:rsidRPr="00D261C1">
              <w:rPr>
                <w:rFonts w:eastAsiaTheme="minorEastAsia"/>
                <w:b/>
                <w:bCs/>
                <w:kern w:val="24"/>
                <w:sz w:val="14"/>
                <w:szCs w:val="14"/>
                <w:lang w:val="de-DE"/>
              </w:rPr>
              <w:t xml:space="preserve">Mean change </w:t>
            </w:r>
          </w:p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80"/>
              <w:textAlignment w:val="baseline"/>
              <w:rPr>
                <w:sz w:val="14"/>
                <w:szCs w:val="14"/>
                <w:lang w:val="de-DE"/>
              </w:rPr>
            </w:pPr>
            <w:r w:rsidRPr="00D261C1">
              <w:rPr>
                <w:rFonts w:eastAsiaTheme="minorEastAsia"/>
                <w:b/>
                <w:bCs/>
                <w:kern w:val="24"/>
                <w:sz w:val="14"/>
                <w:szCs w:val="14"/>
                <w:lang w:val="de-DE"/>
              </w:rPr>
              <w:t>T0-T3 (SD)</w:t>
            </w:r>
          </w:p>
        </w:tc>
        <w:tc>
          <w:tcPr>
            <w:tcW w:w="567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rFonts w:eastAsiaTheme="minorEastAsia"/>
                <w:b/>
                <w:bCs/>
                <w:kern w:val="24"/>
                <w:sz w:val="14"/>
                <w:szCs w:val="14"/>
                <w:lang w:val="en-US"/>
              </w:rPr>
              <w:t>Effect Size (ES)</w:t>
            </w:r>
            <w:r w:rsidRPr="00D261C1">
              <w:rPr>
                <w:rFonts w:eastAsiaTheme="minorEastAsia"/>
                <w:bCs/>
                <w:kern w:val="24"/>
                <w:sz w:val="14"/>
                <w:szCs w:val="14"/>
                <w:vertAlign w:val="superscript"/>
                <w:lang w:val="en-US"/>
              </w:rPr>
              <w:t>§</w:t>
            </w:r>
          </w:p>
        </w:tc>
        <w:tc>
          <w:tcPr>
            <w:tcW w:w="850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74"/>
              <w:textAlignment w:val="baseline"/>
              <w:rPr>
                <w:b/>
                <w:sz w:val="14"/>
                <w:szCs w:val="14"/>
                <w:lang w:val="en-US"/>
              </w:rPr>
            </w:pPr>
            <w:r w:rsidRPr="00D261C1">
              <w:rPr>
                <w:rFonts w:cs="Arial"/>
                <w:b/>
                <w:bCs/>
                <w:sz w:val="14"/>
                <w:szCs w:val="14"/>
                <w:lang w:val="en-US"/>
              </w:rPr>
              <w:t>Correlation changes (r)</w:t>
            </w:r>
            <w:r w:rsidRPr="00D261C1">
              <w:rPr>
                <w:rFonts w:cs="Arial"/>
                <w:bCs/>
                <w:sz w:val="14"/>
                <w:szCs w:val="14"/>
                <w:vertAlign w:val="superscript"/>
                <w:lang w:val="en-US"/>
              </w:rPr>
              <w:t>¶</w:t>
            </w:r>
          </w:p>
        </w:tc>
        <w:tc>
          <w:tcPr>
            <w:tcW w:w="908" w:type="dxa"/>
            <w:gridSpan w:val="2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b/>
                <w:bCs/>
                <w:kern w:val="24"/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>Hypotheses confirmed?</w:t>
            </w:r>
          </w:p>
        </w:tc>
        <w:tc>
          <w:tcPr>
            <w:tcW w:w="816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104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>Valid population (n)</w:t>
            </w:r>
            <w:r>
              <w:rPr>
                <w:b/>
                <w:bCs/>
                <w:kern w:val="24"/>
                <w:sz w:val="14"/>
                <w:szCs w:val="14"/>
                <w:lang w:val="en-US"/>
              </w:rPr>
              <w:t xml:space="preserve"> </w:t>
            </w:r>
            <w:r w:rsidRPr="009C7C22">
              <w:rPr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666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165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 xml:space="preserve">T0 </w:t>
            </w:r>
          </w:p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165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 xml:space="preserve">Mean </w:t>
            </w: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br/>
              <w:t>(SD)</w:t>
            </w:r>
          </w:p>
        </w:tc>
        <w:tc>
          <w:tcPr>
            <w:tcW w:w="666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165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 xml:space="preserve">T3 </w:t>
            </w:r>
          </w:p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165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 xml:space="preserve">Mean </w:t>
            </w: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br/>
              <w:t>(SD)</w:t>
            </w:r>
          </w:p>
        </w:tc>
        <w:tc>
          <w:tcPr>
            <w:tcW w:w="822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sz w:val="14"/>
                <w:szCs w:val="14"/>
                <w:lang w:val="de-DE"/>
              </w:rPr>
            </w:pPr>
            <w:r w:rsidRPr="00D261C1">
              <w:rPr>
                <w:rFonts w:eastAsiaTheme="minorEastAsia"/>
                <w:b/>
                <w:bCs/>
                <w:kern w:val="24"/>
                <w:sz w:val="14"/>
                <w:szCs w:val="14"/>
                <w:lang w:val="de-DE"/>
              </w:rPr>
              <w:t xml:space="preserve">Mean change </w:t>
            </w:r>
          </w:p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sz w:val="14"/>
                <w:szCs w:val="14"/>
                <w:lang w:val="de-DE"/>
              </w:rPr>
            </w:pPr>
            <w:r w:rsidRPr="00D261C1">
              <w:rPr>
                <w:rFonts w:eastAsiaTheme="minorEastAsia"/>
                <w:b/>
                <w:bCs/>
                <w:kern w:val="24"/>
                <w:sz w:val="14"/>
                <w:szCs w:val="14"/>
                <w:lang w:val="de-DE"/>
              </w:rPr>
              <w:t>T0-T3 (SD)</w:t>
            </w:r>
          </w:p>
        </w:tc>
        <w:tc>
          <w:tcPr>
            <w:tcW w:w="607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sz w:val="14"/>
                <w:szCs w:val="14"/>
                <w:lang w:val="en-US"/>
              </w:rPr>
            </w:pPr>
            <w:r w:rsidRPr="00D261C1">
              <w:rPr>
                <w:rFonts w:eastAsiaTheme="minorEastAsia"/>
                <w:b/>
                <w:bCs/>
                <w:kern w:val="24"/>
                <w:sz w:val="14"/>
                <w:szCs w:val="14"/>
                <w:lang w:val="en-US"/>
              </w:rPr>
              <w:t>Effect Size (ES)</w:t>
            </w:r>
            <w:r w:rsidRPr="00D261C1">
              <w:rPr>
                <w:rFonts w:eastAsiaTheme="minorEastAsia"/>
                <w:bCs/>
                <w:kern w:val="24"/>
                <w:sz w:val="14"/>
                <w:szCs w:val="14"/>
                <w:vertAlign w:val="superscript"/>
                <w:lang w:val="en-US"/>
              </w:rPr>
              <w:t>§</w:t>
            </w:r>
          </w:p>
        </w:tc>
        <w:tc>
          <w:tcPr>
            <w:tcW w:w="852" w:type="dxa"/>
            <w:vMerge w:val="restart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 w:right="-74"/>
              <w:textAlignment w:val="baseline"/>
              <w:rPr>
                <w:b/>
                <w:sz w:val="14"/>
                <w:szCs w:val="14"/>
                <w:lang w:val="en-US"/>
              </w:rPr>
            </w:pPr>
            <w:r w:rsidRPr="00D261C1">
              <w:rPr>
                <w:rFonts w:cs="Arial"/>
                <w:b/>
                <w:bCs/>
                <w:sz w:val="14"/>
                <w:szCs w:val="14"/>
                <w:lang w:val="en-US"/>
              </w:rPr>
              <w:t>Correlation changes (r)</w:t>
            </w:r>
            <w:r w:rsidRPr="00D261C1">
              <w:rPr>
                <w:rFonts w:cs="Arial"/>
                <w:bCs/>
                <w:sz w:val="14"/>
                <w:szCs w:val="14"/>
                <w:vertAlign w:val="superscript"/>
                <w:lang w:val="en-US"/>
              </w:rPr>
              <w:t>¶</w:t>
            </w:r>
          </w:p>
        </w:tc>
        <w:tc>
          <w:tcPr>
            <w:tcW w:w="912" w:type="dxa"/>
            <w:gridSpan w:val="2"/>
          </w:tcPr>
          <w:p w:rsidR="009C7C22" w:rsidRPr="00D261C1" w:rsidRDefault="009C7C22" w:rsidP="009C7C22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b/>
                <w:bCs/>
                <w:kern w:val="24"/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>Hypotheses confirmed?</w:t>
            </w:r>
          </w:p>
        </w:tc>
      </w:tr>
      <w:tr w:rsidR="00BF041D" w:rsidRPr="00D261C1" w:rsidTr="001764BF">
        <w:trPr>
          <w:trHeight w:val="74"/>
        </w:trPr>
        <w:tc>
          <w:tcPr>
            <w:tcW w:w="1361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rPr>
                <w:b/>
                <w:bCs/>
                <w:kern w:val="24"/>
                <w:sz w:val="14"/>
                <w:szCs w:val="14"/>
                <w:lang w:val="en-US"/>
              </w:rPr>
            </w:pPr>
          </w:p>
        </w:tc>
        <w:tc>
          <w:tcPr>
            <w:tcW w:w="794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 w:right="-21"/>
              <w:textAlignment w:val="baseline"/>
              <w:rPr>
                <w:b/>
                <w:bCs/>
                <w:kern w:val="24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 w:right="-108"/>
              <w:textAlignment w:val="baseline"/>
              <w:rPr>
                <w:b/>
                <w:bCs/>
                <w:kern w:val="24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 w:right="-52"/>
              <w:textAlignment w:val="baseline"/>
              <w:rPr>
                <w:b/>
                <w:bCs/>
                <w:kern w:val="24"/>
                <w:sz w:val="14"/>
                <w:szCs w:val="14"/>
                <w:lang w:val="en-US"/>
              </w:rPr>
            </w:pPr>
          </w:p>
        </w:tc>
        <w:tc>
          <w:tcPr>
            <w:tcW w:w="794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 w:right="-108"/>
              <w:textAlignment w:val="baseline"/>
              <w:rPr>
                <w:rFonts w:eastAsiaTheme="minorEastAsia"/>
                <w:b/>
                <w:bCs/>
                <w:kern w:val="24"/>
                <w:sz w:val="14"/>
                <w:szCs w:val="14"/>
                <w:lang w:val="en-US"/>
              </w:rPr>
            </w:pPr>
          </w:p>
        </w:tc>
        <w:tc>
          <w:tcPr>
            <w:tcW w:w="624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rFonts w:eastAsiaTheme="minorEastAsia"/>
                <w:b/>
                <w:bCs/>
                <w:kern w:val="24"/>
                <w:sz w:val="14"/>
                <w:szCs w:val="14"/>
                <w:lang w:val="en-US"/>
              </w:rPr>
            </w:pPr>
          </w:p>
        </w:tc>
        <w:tc>
          <w:tcPr>
            <w:tcW w:w="852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 w:right="-74"/>
              <w:textAlignment w:val="baseline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94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right="-125"/>
              <w:textAlignment w:val="baseline"/>
              <w:rPr>
                <w:b/>
                <w:bCs/>
                <w:kern w:val="24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 w:right="-137"/>
              <w:textAlignment w:val="baseline"/>
              <w:rPr>
                <w:b/>
                <w:bCs/>
                <w:kern w:val="24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 w:right="-24"/>
              <w:textAlignment w:val="baseline"/>
              <w:rPr>
                <w:b/>
                <w:bCs/>
                <w:kern w:val="24"/>
                <w:sz w:val="14"/>
                <w:szCs w:val="14"/>
                <w:lang w:val="en-US"/>
              </w:rPr>
            </w:pPr>
          </w:p>
        </w:tc>
        <w:tc>
          <w:tcPr>
            <w:tcW w:w="794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 w:right="-80"/>
              <w:textAlignment w:val="baseline"/>
              <w:rPr>
                <w:rFonts w:eastAsiaTheme="minorEastAsia"/>
                <w:b/>
                <w:bCs/>
                <w:kern w:val="24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rFonts w:eastAsiaTheme="minorEastAsia"/>
                <w:b/>
                <w:bCs/>
                <w:kern w:val="24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 w:right="-94"/>
              <w:textAlignment w:val="baseline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454" w:type="dxa"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b/>
                <w:bCs/>
                <w:kern w:val="24"/>
                <w:sz w:val="14"/>
                <w:szCs w:val="14"/>
                <w:lang w:val="en-US"/>
              </w:rPr>
            </w:pPr>
            <w:proofErr w:type="spellStart"/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>ES</w:t>
            </w:r>
            <w:r>
              <w:rPr>
                <w:bCs/>
                <w:kern w:val="24"/>
                <w:sz w:val="14"/>
                <w:szCs w:val="1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454" w:type="dxa"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kern w:val="24"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bCs/>
                <w:kern w:val="24"/>
                <w:sz w:val="14"/>
                <w:szCs w:val="14"/>
                <w:lang w:val="en-US"/>
              </w:rPr>
              <w:t>r</w:t>
            </w:r>
            <w:r>
              <w:rPr>
                <w:bCs/>
                <w:kern w:val="24"/>
                <w:sz w:val="14"/>
                <w:szCs w:val="1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816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b/>
                <w:bCs/>
                <w:kern w:val="24"/>
                <w:sz w:val="14"/>
                <w:szCs w:val="14"/>
                <w:lang w:val="en-US"/>
              </w:rPr>
            </w:pPr>
          </w:p>
        </w:tc>
        <w:tc>
          <w:tcPr>
            <w:tcW w:w="666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 w:right="-165"/>
              <w:textAlignment w:val="baseline"/>
              <w:rPr>
                <w:b/>
                <w:bCs/>
                <w:kern w:val="24"/>
                <w:sz w:val="14"/>
                <w:szCs w:val="14"/>
                <w:lang w:val="en-US"/>
              </w:rPr>
            </w:pPr>
          </w:p>
        </w:tc>
        <w:tc>
          <w:tcPr>
            <w:tcW w:w="666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 w:right="-165"/>
              <w:textAlignment w:val="baseline"/>
              <w:rPr>
                <w:b/>
                <w:bCs/>
                <w:kern w:val="24"/>
                <w:sz w:val="14"/>
                <w:szCs w:val="14"/>
                <w:lang w:val="en-US"/>
              </w:rPr>
            </w:pPr>
          </w:p>
        </w:tc>
        <w:tc>
          <w:tcPr>
            <w:tcW w:w="822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rFonts w:eastAsiaTheme="minorEastAsia"/>
                <w:b/>
                <w:bCs/>
                <w:kern w:val="24"/>
                <w:sz w:val="14"/>
                <w:szCs w:val="14"/>
                <w:lang w:val="en-US"/>
              </w:rPr>
            </w:pPr>
          </w:p>
        </w:tc>
        <w:tc>
          <w:tcPr>
            <w:tcW w:w="607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rFonts w:eastAsiaTheme="minorEastAsia"/>
                <w:b/>
                <w:bCs/>
                <w:kern w:val="24"/>
                <w:sz w:val="14"/>
                <w:szCs w:val="14"/>
                <w:lang w:val="en-US"/>
              </w:rPr>
            </w:pPr>
          </w:p>
        </w:tc>
        <w:tc>
          <w:tcPr>
            <w:tcW w:w="852" w:type="dxa"/>
            <w:vMerge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454" w:type="dxa"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ind w:left="1"/>
              <w:textAlignment w:val="baseline"/>
              <w:rPr>
                <w:b/>
                <w:bCs/>
                <w:kern w:val="24"/>
                <w:sz w:val="14"/>
                <w:szCs w:val="14"/>
                <w:lang w:val="en-US"/>
              </w:rPr>
            </w:pPr>
            <w:proofErr w:type="spellStart"/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>ES</w:t>
            </w:r>
            <w:r>
              <w:rPr>
                <w:bCs/>
                <w:kern w:val="24"/>
                <w:sz w:val="14"/>
                <w:szCs w:val="1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458" w:type="dxa"/>
          </w:tcPr>
          <w:p w:rsidR="00BF041D" w:rsidRPr="00D261C1" w:rsidRDefault="00BF041D" w:rsidP="00BF041D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kern w:val="24"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bCs/>
                <w:kern w:val="24"/>
                <w:sz w:val="14"/>
                <w:szCs w:val="14"/>
                <w:lang w:val="en-US"/>
              </w:rPr>
              <w:t>r</w:t>
            </w:r>
            <w:r>
              <w:rPr>
                <w:bCs/>
                <w:kern w:val="24"/>
                <w:sz w:val="14"/>
                <w:szCs w:val="14"/>
                <w:vertAlign w:val="superscript"/>
                <w:lang w:val="en-US"/>
              </w:rPr>
              <w:t>b</w:t>
            </w:r>
            <w:proofErr w:type="spellEnd"/>
          </w:p>
        </w:tc>
      </w:tr>
      <w:tr w:rsidR="00D261C1" w:rsidRPr="00D261C1" w:rsidTr="003A74DB">
        <w:trPr>
          <w:trHeight w:val="50"/>
        </w:trPr>
        <w:tc>
          <w:tcPr>
            <w:tcW w:w="1361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rPr>
                <w:b/>
                <w:bCs/>
                <w:kern w:val="24"/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>EQ-VAS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2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68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83 (12)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52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83 (13)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 (3)</w:t>
            </w: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iCs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iCs/>
                <w:sz w:val="14"/>
                <w:szCs w:val="14"/>
                <w:lang w:val="en-US"/>
              </w:rPr>
              <w:t>0.00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 w:right="-7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1.00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right="-12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55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37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54 (19)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2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79 (11)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80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25 (16)</w:t>
            </w: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1.32</w:t>
            </w: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ind w:left="1" w:right="-9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1.00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NA.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NA.</w:t>
            </w: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89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75 (17)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25 (32)</w:t>
            </w: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-50 (30)</w:t>
            </w: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-2.94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1.00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NA.</w:t>
            </w: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NA.</w:t>
            </w:r>
          </w:p>
        </w:tc>
      </w:tr>
      <w:tr w:rsidR="00D261C1" w:rsidRPr="00D261C1" w:rsidTr="003A74DB">
        <w:tc>
          <w:tcPr>
            <w:tcW w:w="1361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rPr>
                <w:sz w:val="14"/>
                <w:szCs w:val="14"/>
                <w:lang w:val="en-US"/>
              </w:rPr>
            </w:pPr>
            <w:r w:rsidRPr="00D261C1">
              <w:rPr>
                <w:b/>
                <w:bCs/>
                <w:kern w:val="24"/>
                <w:sz w:val="14"/>
                <w:szCs w:val="14"/>
                <w:lang w:val="en-US"/>
              </w:rPr>
              <w:t xml:space="preserve">BCI 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21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52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 w:right="-74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right="-125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37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24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80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ind w:left="1" w:right="-94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D261C1" w:rsidRPr="00D261C1" w:rsidTr="003A74DB">
        <w:tc>
          <w:tcPr>
            <w:tcW w:w="1361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rPr>
                <w:sz w:val="14"/>
                <w:szCs w:val="14"/>
                <w:lang w:val="en-US"/>
              </w:rPr>
            </w:pPr>
            <w:r w:rsidRPr="00D261C1">
              <w:rPr>
                <w:bCs/>
                <w:kern w:val="24"/>
                <w:sz w:val="14"/>
                <w:szCs w:val="14"/>
                <w:lang w:val="en-US"/>
              </w:rPr>
              <w:t xml:space="preserve">Urinary domain 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2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55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kern w:val="24"/>
                <w:sz w:val="14"/>
                <w:szCs w:val="14"/>
                <w:lang w:val="en-US"/>
              </w:rPr>
              <w:t>85 (16)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52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86 (17)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1 (22)</w:t>
            </w: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0.06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7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0.10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right="-12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42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37"/>
              <w:rPr>
                <w:sz w:val="14"/>
                <w:szCs w:val="14"/>
                <w:lang w:val="en-US"/>
              </w:rPr>
            </w:pPr>
            <w:r w:rsidRPr="00D261C1">
              <w:rPr>
                <w:kern w:val="24"/>
                <w:sz w:val="14"/>
                <w:szCs w:val="14"/>
                <w:lang w:val="en-US"/>
              </w:rPr>
              <w:t>75 (22)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2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82 (19)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80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 (22)</w:t>
            </w: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0.36</w:t>
            </w: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9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0.17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b/>
                <w:sz w:val="14"/>
                <w:szCs w:val="14"/>
                <w:lang w:val="en-US"/>
              </w:rPr>
            </w:pPr>
            <w:r w:rsidRPr="00D261C1">
              <w:rPr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85 (16)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79 (17)</w:t>
            </w: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-7 (20)</w:t>
            </w: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-0.44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-0.12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No</w:t>
            </w:r>
          </w:p>
        </w:tc>
      </w:tr>
      <w:tr w:rsidR="00D261C1" w:rsidRPr="00D261C1" w:rsidTr="003A74DB">
        <w:tc>
          <w:tcPr>
            <w:tcW w:w="1361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200" w:lineRule="atLeast"/>
              <w:ind w:left="288"/>
              <w:rPr>
                <w:sz w:val="14"/>
                <w:szCs w:val="14"/>
                <w:lang w:val="en-US"/>
              </w:rPr>
            </w:pPr>
            <w:r w:rsidRPr="00D261C1">
              <w:rPr>
                <w:bCs/>
                <w:kern w:val="24"/>
                <w:sz w:val="14"/>
                <w:szCs w:val="14"/>
                <w:lang w:val="en-US"/>
              </w:rPr>
              <w:t>Function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200" w:lineRule="atLeast"/>
              <w:ind w:left="1" w:right="-2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51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2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88 (20)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200" w:lineRule="atLeast"/>
              <w:ind w:left="1" w:right="-52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79 (31)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2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-9 (39)</w:t>
            </w: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-0.45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200" w:lineRule="atLeast"/>
              <w:ind w:left="1" w:right="-7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0.00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200" w:lineRule="atLeast"/>
              <w:ind w:right="-12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43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200" w:lineRule="atLeast"/>
              <w:ind w:left="1" w:right="-137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83 (27)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200" w:lineRule="atLeast"/>
              <w:ind w:left="1" w:right="-2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72 (37)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200" w:lineRule="atLeast"/>
              <w:ind w:left="1" w:right="-80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-12 (43)</w:t>
            </w: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-0.44</w:t>
            </w: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200" w:lineRule="atLeast"/>
              <w:ind w:left="1" w:right="-9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-0.13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2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2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2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29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2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83 (27)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2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68 (35)</w:t>
            </w: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2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-15 (40)</w:t>
            </w: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-0.56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-0.19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No</w:t>
            </w:r>
          </w:p>
        </w:tc>
      </w:tr>
      <w:tr w:rsidR="00D261C1" w:rsidRPr="00D261C1" w:rsidTr="003A74DB">
        <w:tc>
          <w:tcPr>
            <w:tcW w:w="1361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4"/>
                <w:szCs w:val="14"/>
                <w:lang w:val="en-US"/>
              </w:rPr>
            </w:pPr>
            <w:r w:rsidRPr="00D261C1">
              <w:rPr>
                <w:bCs/>
                <w:kern w:val="24"/>
                <w:sz w:val="14"/>
                <w:szCs w:val="14"/>
                <w:lang w:val="en-US"/>
              </w:rPr>
              <w:t>Bother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2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84 (17)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52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89 (13)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6 (18)</w:t>
            </w: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0.35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7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0.04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right="-12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37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71 (43)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2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85 (14)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80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15 (25)</w:t>
            </w: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0.35</w:t>
            </w: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9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0.29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b/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31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84 (19)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85 (13)</w:t>
            </w: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-1 (17)</w:t>
            </w: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-0.05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-0.05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No</w:t>
            </w: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No</w:t>
            </w:r>
          </w:p>
        </w:tc>
      </w:tr>
      <w:tr w:rsidR="00D261C1" w:rsidRPr="00D261C1" w:rsidTr="003A74DB">
        <w:tc>
          <w:tcPr>
            <w:tcW w:w="1361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rPr>
                <w:sz w:val="14"/>
                <w:szCs w:val="14"/>
                <w:lang w:val="en-US"/>
              </w:rPr>
            </w:pPr>
            <w:r w:rsidRPr="00D261C1">
              <w:rPr>
                <w:bCs/>
                <w:kern w:val="24"/>
                <w:sz w:val="14"/>
                <w:szCs w:val="14"/>
                <w:lang w:val="en-US"/>
              </w:rPr>
              <w:t xml:space="preserve">Bowel domain 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2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91 (10)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52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83 (16)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-9 (18)</w:t>
            </w: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-0.90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7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0.32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right="-12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47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37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81 (18)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2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80 (15)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80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-1 (17)</w:t>
            </w: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-0.06</w:t>
            </w: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9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0.42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b/>
                <w:sz w:val="14"/>
                <w:szCs w:val="14"/>
                <w:lang w:val="en-US"/>
              </w:rPr>
            </w:pPr>
            <w:r w:rsidRPr="00D261C1">
              <w:rPr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40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86 (16)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80 (21)</w:t>
            </w: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-7 (23)</w:t>
            </w: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-0.44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0.11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No</w:t>
            </w: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No</w:t>
            </w:r>
          </w:p>
        </w:tc>
      </w:tr>
      <w:tr w:rsidR="00D261C1" w:rsidRPr="00D261C1" w:rsidTr="003A74DB">
        <w:tc>
          <w:tcPr>
            <w:tcW w:w="1361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4"/>
                <w:szCs w:val="14"/>
                <w:lang w:val="en-US"/>
              </w:rPr>
            </w:pPr>
            <w:r w:rsidRPr="00D261C1">
              <w:rPr>
                <w:bCs/>
                <w:kern w:val="24"/>
                <w:sz w:val="14"/>
                <w:szCs w:val="14"/>
                <w:lang w:val="en-US"/>
              </w:rPr>
              <w:t>Function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2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 xml:space="preserve">53 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89 (14)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52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83 (19)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-6 (22)</w:t>
            </w: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-0.43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7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0.24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right="-12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46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37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82 (19)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2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84 (14)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80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1 (17)</w:t>
            </w: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0.05</w:t>
            </w: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9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0.25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88 (14)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83 (19)</w:t>
            </w: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-5 (23)</w:t>
            </w: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-0.36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-0.18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No</w:t>
            </w: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No</w:t>
            </w:r>
          </w:p>
        </w:tc>
      </w:tr>
      <w:tr w:rsidR="00D261C1" w:rsidRPr="00D261C1" w:rsidTr="003A74DB">
        <w:tc>
          <w:tcPr>
            <w:tcW w:w="1361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4"/>
                <w:szCs w:val="14"/>
                <w:lang w:val="en-US"/>
              </w:rPr>
            </w:pPr>
            <w:r w:rsidRPr="00D261C1">
              <w:rPr>
                <w:bCs/>
                <w:kern w:val="24"/>
                <w:sz w:val="14"/>
                <w:szCs w:val="14"/>
                <w:lang w:val="en-US"/>
              </w:rPr>
              <w:t>Bother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2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92 (12)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52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83 (17)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-9 (19)</w:t>
            </w: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-0.75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7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0.29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right="-12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47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37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80 (19)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2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78 (19)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80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-2 (21)</w:t>
            </w: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-0.11</w:t>
            </w: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9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0.39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b/>
                <w:sz w:val="14"/>
                <w:szCs w:val="14"/>
                <w:lang w:val="en-US"/>
              </w:rPr>
            </w:pPr>
            <w:r w:rsidRPr="00D261C1">
              <w:rPr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39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86 (19)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78 (21)</w:t>
            </w: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-8 (26)</w:t>
            </w: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-0.42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0.18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No</w:t>
            </w: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No</w:t>
            </w:r>
          </w:p>
        </w:tc>
      </w:tr>
      <w:tr w:rsidR="00D261C1" w:rsidRPr="00D261C1" w:rsidTr="003A74DB">
        <w:tc>
          <w:tcPr>
            <w:tcW w:w="1361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rPr>
                <w:sz w:val="14"/>
                <w:szCs w:val="14"/>
                <w:lang w:val="en-US"/>
              </w:rPr>
            </w:pPr>
            <w:r w:rsidRPr="00D261C1">
              <w:rPr>
                <w:bCs/>
                <w:kern w:val="24"/>
                <w:sz w:val="14"/>
                <w:szCs w:val="14"/>
                <w:lang w:val="en-US"/>
              </w:rPr>
              <w:t xml:space="preserve">Sexual domain 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2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49 (20)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52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39 (18)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-17 (16)</w:t>
            </w: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-0.85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7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-0.01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right="-12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37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45 (20)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2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35 (18)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80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-10 (19)</w:t>
            </w: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-0.50</w:t>
            </w: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9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0.23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52 (20)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39 (17)</w:t>
            </w: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-22 (22)</w:t>
            </w: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-1.10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-0.14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No</w:t>
            </w:r>
          </w:p>
        </w:tc>
      </w:tr>
      <w:tr w:rsidR="00D261C1" w:rsidRPr="00D261C1" w:rsidTr="003A74DB">
        <w:tc>
          <w:tcPr>
            <w:tcW w:w="1361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4"/>
                <w:szCs w:val="14"/>
                <w:lang w:val="en-US"/>
              </w:rPr>
            </w:pPr>
            <w:r w:rsidRPr="00D261C1">
              <w:rPr>
                <w:bCs/>
                <w:kern w:val="24"/>
                <w:sz w:val="14"/>
                <w:szCs w:val="14"/>
                <w:lang w:val="en-US"/>
              </w:rPr>
              <w:t>Function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2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32 (19)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52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22 (18)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-13 (19)</w:t>
            </w: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-0.68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7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0.01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right="-12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37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30 (21)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2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23 (15)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80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-10 (17)</w:t>
            </w: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-0.48</w:t>
            </w: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9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0.25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36 (20)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22 (17)</w:t>
            </w: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-25 (20)</w:t>
            </w: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-1.25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-0.36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No</w:t>
            </w: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  <w:t>Yes</w:t>
            </w:r>
          </w:p>
        </w:tc>
      </w:tr>
      <w:tr w:rsidR="00D261C1" w:rsidRPr="00D261C1" w:rsidTr="003A74DB">
        <w:tc>
          <w:tcPr>
            <w:tcW w:w="1361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288"/>
              <w:rPr>
                <w:sz w:val="14"/>
                <w:szCs w:val="14"/>
                <w:lang w:val="en-US"/>
              </w:rPr>
            </w:pPr>
            <w:r w:rsidRPr="00D261C1">
              <w:rPr>
                <w:bCs/>
                <w:kern w:val="24"/>
                <w:sz w:val="14"/>
                <w:szCs w:val="14"/>
                <w:lang w:val="en-US"/>
              </w:rPr>
              <w:t>Bother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2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43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66 (31)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52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53 (33)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08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-11 (41)</w:t>
            </w: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-0.35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7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0.06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right="-12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34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37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64 (31)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2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53 (30)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80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-9 (32)</w:t>
            </w: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-0.29</w:t>
            </w: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94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0.04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No</w:t>
            </w: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28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72 (29)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 w:right="-165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47 (30)</w:t>
            </w: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pStyle w:val="NormalWeb"/>
              <w:spacing w:before="0" w:beforeAutospacing="0" w:after="0" w:afterAutospacing="0" w:line="100" w:lineRule="atLeast"/>
              <w:ind w:left="1"/>
              <w:rPr>
                <w:sz w:val="14"/>
                <w:szCs w:val="14"/>
                <w:lang w:val="en-US"/>
              </w:rPr>
            </w:pPr>
            <w:r w:rsidRPr="00D261C1">
              <w:rPr>
                <w:sz w:val="14"/>
                <w:szCs w:val="14"/>
                <w:lang w:val="en-US"/>
              </w:rPr>
              <w:t>-21 (39)</w:t>
            </w: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-0.72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0.28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No</w:t>
            </w: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No</w:t>
            </w:r>
          </w:p>
        </w:tc>
      </w:tr>
      <w:tr w:rsidR="00D261C1" w:rsidRPr="00D261C1" w:rsidTr="003A74DB">
        <w:tc>
          <w:tcPr>
            <w:tcW w:w="1361" w:type="dxa"/>
            <w:vAlign w:val="center"/>
          </w:tcPr>
          <w:p w:rsidR="00D261C1" w:rsidRPr="00D261C1" w:rsidRDefault="00D261C1" w:rsidP="003A74DB">
            <w:pPr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/>
                <w:bCs/>
                <w:sz w:val="14"/>
                <w:szCs w:val="14"/>
                <w:lang w:val="en-US"/>
              </w:rPr>
              <w:t>FACT-Bl-Cys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2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52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 w:right="-74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right="-125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37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24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80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ind w:left="1" w:right="-94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</w:tr>
      <w:tr w:rsidR="00D261C1" w:rsidRPr="00D261C1" w:rsidTr="003A74DB">
        <w:tc>
          <w:tcPr>
            <w:tcW w:w="1361" w:type="dxa"/>
            <w:vAlign w:val="center"/>
          </w:tcPr>
          <w:p w:rsidR="00D261C1" w:rsidRPr="00D261C1" w:rsidRDefault="00D261C1" w:rsidP="003A74DB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FACT-PWB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2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66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26 (2)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52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25 (2)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 (2)</w:t>
            </w: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 w:right="-7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0.54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right="-12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52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37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21 (5)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2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25 (2)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80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4 (5)</w:t>
            </w: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0.80</w:t>
            </w: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ind w:left="1" w:right="-9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0.51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42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23 (5)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22 (5)</w:t>
            </w: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-2 (5)</w:t>
            </w: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-0.40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0.44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/>
                <w:sz w:val="14"/>
                <w:szCs w:val="14"/>
                <w:lang w:val="en-US"/>
              </w:rPr>
              <w:t>Yes</w:t>
            </w:r>
          </w:p>
        </w:tc>
      </w:tr>
      <w:tr w:rsidR="00D261C1" w:rsidRPr="00D261C1" w:rsidTr="003A74DB">
        <w:tc>
          <w:tcPr>
            <w:tcW w:w="1361" w:type="dxa"/>
            <w:vAlign w:val="center"/>
          </w:tcPr>
          <w:p w:rsidR="00D261C1" w:rsidRPr="00D261C1" w:rsidRDefault="00D261C1" w:rsidP="003A74DB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FACT-SWB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2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65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22 (4)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52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21 (5)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-2 (4)</w:t>
            </w: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-0.50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 w:right="-7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0.26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right="-12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52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37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21 (6)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2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21 (5)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80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-1 (6)</w:t>
            </w: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-0.17</w:t>
            </w: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ind w:left="1" w:right="-9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0.20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No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No</w:t>
            </w: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41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22 (4)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22 (3)</w:t>
            </w: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 (4)</w:t>
            </w: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0.24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No</w:t>
            </w: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No</w:t>
            </w:r>
          </w:p>
        </w:tc>
      </w:tr>
      <w:tr w:rsidR="00D261C1" w:rsidRPr="00D261C1" w:rsidTr="003A74DB">
        <w:tc>
          <w:tcPr>
            <w:tcW w:w="1361" w:type="dxa"/>
            <w:vAlign w:val="center"/>
          </w:tcPr>
          <w:p w:rsidR="00D261C1" w:rsidRPr="00D261C1" w:rsidRDefault="00D261C1" w:rsidP="003A74DB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FACT-EWB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2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61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18 (5)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52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21 (4)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3 (4)</w:t>
            </w: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0.60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 w:right="-7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0.30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right="-12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49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37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17 (5)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2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21 (3)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80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4 (5)</w:t>
            </w: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0.80</w:t>
            </w: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ind w:left="1" w:right="-9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0.40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40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18 (4)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20 (4)</w:t>
            </w: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 (3)</w:t>
            </w: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0.25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0.38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No</w:t>
            </w: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  <w:t>Yes</w:t>
            </w:r>
          </w:p>
        </w:tc>
      </w:tr>
      <w:tr w:rsidR="00D261C1" w:rsidRPr="00D261C1" w:rsidTr="003A74DB">
        <w:tc>
          <w:tcPr>
            <w:tcW w:w="1361" w:type="dxa"/>
            <w:vAlign w:val="center"/>
          </w:tcPr>
          <w:p w:rsidR="00D261C1" w:rsidRPr="00D261C1" w:rsidRDefault="00D261C1" w:rsidP="003A74DB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FACT-FWB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2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64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19 (5)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52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20 (4)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 (4)</w:t>
            </w: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0.20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 w:right="-7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0.42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right="-12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51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37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14 (6)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2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19 (5)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80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4 (5)</w:t>
            </w: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0.67</w:t>
            </w: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ind w:left="1" w:right="-9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0.47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40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18 (5)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17 (5)</w:t>
            </w: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-2 (5)</w:t>
            </w: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-0.40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0.31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  <w:t>Yes</w:t>
            </w:r>
          </w:p>
        </w:tc>
      </w:tr>
      <w:tr w:rsidR="00D261C1" w:rsidRPr="00D261C1" w:rsidTr="003A74DB">
        <w:tc>
          <w:tcPr>
            <w:tcW w:w="1361" w:type="dxa"/>
            <w:vAlign w:val="center"/>
          </w:tcPr>
          <w:p w:rsidR="00D261C1" w:rsidRPr="00D261C1" w:rsidRDefault="00D261C1" w:rsidP="003A74DB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Bl-Cys domain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2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64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43 (9)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52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45 (7)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2 (10) </w:t>
            </w: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0.22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 w:right="-7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0.13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right="-12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50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37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37 (11)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2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43 (9)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80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6 (12)</w:t>
            </w: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0.55</w:t>
            </w: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ind w:left="1" w:right="-9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0.44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41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42 (9)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42 (8)</w:t>
            </w: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-2 (9)</w:t>
            </w: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-0.22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0.42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  <w:t>Yes</w:t>
            </w:r>
          </w:p>
        </w:tc>
      </w:tr>
      <w:tr w:rsidR="00D261C1" w:rsidRPr="00D261C1" w:rsidTr="003A74DB">
        <w:tc>
          <w:tcPr>
            <w:tcW w:w="1361" w:type="dxa"/>
            <w:vAlign w:val="center"/>
          </w:tcPr>
          <w:p w:rsidR="00D261C1" w:rsidRPr="00D261C1" w:rsidRDefault="00D261C1" w:rsidP="003A74DB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FACT-Bl-Cys total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2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59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129 (18)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52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132 (15)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108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3 (15)</w:t>
            </w:r>
          </w:p>
        </w:tc>
        <w:tc>
          <w:tcPr>
            <w:tcW w:w="62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0.17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 w:right="-7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0.39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right="-12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45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137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109 (24)</w:t>
            </w:r>
          </w:p>
        </w:tc>
        <w:tc>
          <w:tcPr>
            <w:tcW w:w="680" w:type="dxa"/>
            <w:vAlign w:val="center"/>
          </w:tcPr>
          <w:p w:rsidR="00D261C1" w:rsidRPr="00D261C1" w:rsidRDefault="00D261C1" w:rsidP="003A74DB">
            <w:pPr>
              <w:ind w:left="1" w:right="-2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130(17)</w:t>
            </w:r>
          </w:p>
        </w:tc>
        <w:tc>
          <w:tcPr>
            <w:tcW w:w="794" w:type="dxa"/>
            <w:vAlign w:val="center"/>
          </w:tcPr>
          <w:p w:rsidR="00D261C1" w:rsidRPr="00D261C1" w:rsidRDefault="00D261C1" w:rsidP="003A74DB">
            <w:pPr>
              <w:ind w:left="1" w:right="-80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18 (20)</w:t>
            </w:r>
          </w:p>
        </w:tc>
        <w:tc>
          <w:tcPr>
            <w:tcW w:w="56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0.75</w:t>
            </w:r>
          </w:p>
        </w:tc>
        <w:tc>
          <w:tcPr>
            <w:tcW w:w="850" w:type="dxa"/>
            <w:vAlign w:val="center"/>
          </w:tcPr>
          <w:p w:rsidR="00D261C1" w:rsidRPr="00D261C1" w:rsidRDefault="00D261C1" w:rsidP="003A74DB">
            <w:pPr>
              <w:ind w:left="1" w:right="-94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0.62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816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40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123 (22)</w:t>
            </w:r>
          </w:p>
        </w:tc>
        <w:tc>
          <w:tcPr>
            <w:tcW w:w="666" w:type="dxa"/>
            <w:vAlign w:val="center"/>
          </w:tcPr>
          <w:p w:rsidR="00D261C1" w:rsidRPr="00D261C1" w:rsidRDefault="00D261C1" w:rsidP="003A74DB">
            <w:pPr>
              <w:ind w:left="1" w:right="-165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122 (21)</w:t>
            </w:r>
          </w:p>
        </w:tc>
        <w:tc>
          <w:tcPr>
            <w:tcW w:w="82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/>
                <w:sz w:val="14"/>
                <w:szCs w:val="14"/>
                <w:lang w:val="en-US"/>
              </w:rPr>
              <w:t>-4 (19)</w:t>
            </w:r>
          </w:p>
        </w:tc>
        <w:tc>
          <w:tcPr>
            <w:tcW w:w="607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-0.18</w:t>
            </w:r>
          </w:p>
        </w:tc>
        <w:tc>
          <w:tcPr>
            <w:tcW w:w="852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sz w:val="14"/>
                <w:szCs w:val="14"/>
                <w:lang w:val="en-US"/>
              </w:rPr>
              <w:t>0.53</w:t>
            </w:r>
          </w:p>
        </w:tc>
        <w:tc>
          <w:tcPr>
            <w:tcW w:w="454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  <w:t>Yes</w:t>
            </w:r>
          </w:p>
        </w:tc>
        <w:tc>
          <w:tcPr>
            <w:tcW w:w="458" w:type="dxa"/>
            <w:vAlign w:val="center"/>
          </w:tcPr>
          <w:p w:rsidR="00D261C1" w:rsidRPr="00D261C1" w:rsidRDefault="00D261C1" w:rsidP="003A74DB">
            <w:pPr>
              <w:ind w:left="1"/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</w:pPr>
            <w:r w:rsidRPr="00D261C1"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  <w:t>Yes</w:t>
            </w:r>
          </w:p>
        </w:tc>
      </w:tr>
    </w:tbl>
    <w:p w:rsidR="009C7C22" w:rsidRPr="00BF041D" w:rsidRDefault="009C7C22" w:rsidP="00BF041D">
      <w:pPr>
        <w:rPr>
          <w:rStyle w:val="A2"/>
          <w:rFonts w:asciiTheme="minorHAnsi" w:hAnsiTheme="minorHAnsi"/>
          <w:sz w:val="16"/>
          <w:szCs w:val="16"/>
          <w:lang w:val="en-US"/>
        </w:rPr>
      </w:pPr>
      <w:r w:rsidRPr="0058393D">
        <w:rPr>
          <w:rFonts w:asciiTheme="minorHAnsi" w:hAnsiTheme="minorHAnsi"/>
          <w:sz w:val="16"/>
          <w:szCs w:val="16"/>
          <w:vertAlign w:val="superscript"/>
          <w:lang w:val="en-US"/>
        </w:rPr>
        <w:t>*</w:t>
      </w:r>
      <w:r w:rsidRPr="0058393D">
        <w:rPr>
          <w:rFonts w:asciiTheme="minorHAnsi" w:hAnsiTheme="minorHAnsi"/>
          <w:sz w:val="16"/>
          <w:szCs w:val="16"/>
          <w:lang w:val="en-US"/>
        </w:rPr>
        <w:t xml:space="preserve">No change between T0 and T3 for patients in EQ-VAS score (plus or minus ≤5 points); </w:t>
      </w:r>
      <w:r w:rsidRPr="0058393D">
        <w:rPr>
          <w:rFonts w:asciiTheme="minorHAnsi" w:hAnsiTheme="minorHAnsi"/>
          <w:sz w:val="16"/>
          <w:szCs w:val="16"/>
          <w:vertAlign w:val="superscript"/>
          <w:lang w:val="en-US"/>
        </w:rPr>
        <w:t>†</w:t>
      </w:r>
      <w:r w:rsidRPr="0058393D">
        <w:rPr>
          <w:rFonts w:asciiTheme="minorHAnsi" w:hAnsiTheme="minorHAnsi"/>
          <w:sz w:val="16"/>
          <w:szCs w:val="16"/>
          <w:lang w:val="en-US"/>
        </w:rPr>
        <w:t xml:space="preserve">Change between T0 and T3 for patients with an improved EQ-VAS score of ≥10 points; </w:t>
      </w:r>
      <w:r w:rsidRPr="0058393D">
        <w:rPr>
          <w:rFonts w:asciiTheme="minorHAnsi" w:hAnsiTheme="minorHAnsi"/>
          <w:sz w:val="16"/>
          <w:szCs w:val="16"/>
          <w:vertAlign w:val="superscript"/>
          <w:lang w:val="en-US"/>
        </w:rPr>
        <w:t>‡</w:t>
      </w:r>
      <w:r w:rsidRPr="0058393D">
        <w:rPr>
          <w:rFonts w:asciiTheme="minorHAnsi" w:hAnsiTheme="minorHAnsi"/>
          <w:sz w:val="16"/>
          <w:szCs w:val="16"/>
          <w:lang w:val="en-US"/>
        </w:rPr>
        <w:t xml:space="preserve">Change between T0 and T3 for patients with an deteriorated EQ-VAS score of ≥10 points; </w:t>
      </w:r>
      <w:r w:rsidR="00BF041D" w:rsidRPr="0058393D">
        <w:rPr>
          <w:rFonts w:asciiTheme="minorHAnsi" w:hAnsiTheme="minorHAnsi"/>
          <w:sz w:val="16"/>
          <w:szCs w:val="16"/>
          <w:vertAlign w:val="superscript"/>
          <w:lang w:val="en-US"/>
        </w:rPr>
        <w:t>#</w:t>
      </w:r>
      <w:r w:rsidR="00BF041D" w:rsidRPr="0058393D">
        <w:rPr>
          <w:rFonts w:asciiTheme="minorHAnsi" w:hAnsiTheme="minorHAnsi"/>
          <w:sz w:val="16"/>
          <w:szCs w:val="16"/>
          <w:lang w:val="en-US"/>
        </w:rPr>
        <w:t xml:space="preserve">The number of patients that completed enough items to calculate a total score; </w:t>
      </w:r>
      <w:r w:rsidRPr="0058393D">
        <w:rPr>
          <w:rFonts w:asciiTheme="minorHAnsi" w:eastAsiaTheme="minorEastAsia" w:hAnsiTheme="minorHAnsi"/>
          <w:bCs/>
          <w:kern w:val="24"/>
          <w:sz w:val="16"/>
          <w:szCs w:val="16"/>
          <w:vertAlign w:val="superscript"/>
          <w:lang w:val="en-US"/>
        </w:rPr>
        <w:t>§</w:t>
      </w:r>
      <w:r w:rsidRPr="0058393D">
        <w:rPr>
          <w:rFonts w:asciiTheme="minorHAnsi" w:hAnsiTheme="minorHAnsi"/>
          <w:sz w:val="16"/>
          <w:szCs w:val="16"/>
          <w:lang w:val="en-US"/>
        </w:rPr>
        <w:t>Formula assessed for Effect Size (Cohens d): ChangeT3T0</w:t>
      </w:r>
      <w:r w:rsidRPr="0058393D">
        <w:rPr>
          <w:rFonts w:asciiTheme="minorHAnsi" w:hAnsiTheme="minorHAnsi"/>
          <w:sz w:val="16"/>
          <w:szCs w:val="16"/>
          <w:vertAlign w:val="subscript"/>
          <w:lang w:val="en-US"/>
        </w:rPr>
        <w:t>Mean</w:t>
      </w:r>
      <w:r w:rsidRPr="0058393D">
        <w:rPr>
          <w:rFonts w:asciiTheme="minorHAnsi" w:hAnsiTheme="minorHAnsi"/>
          <w:sz w:val="16"/>
          <w:szCs w:val="16"/>
          <w:lang w:val="en-US"/>
        </w:rPr>
        <w:t>/T0</w:t>
      </w:r>
      <w:r w:rsidRPr="0058393D">
        <w:rPr>
          <w:rFonts w:asciiTheme="minorHAnsi" w:hAnsiTheme="minorHAnsi"/>
          <w:sz w:val="16"/>
          <w:szCs w:val="16"/>
          <w:vertAlign w:val="subscript"/>
          <w:lang w:val="en-US"/>
        </w:rPr>
        <w:t>SD</w:t>
      </w:r>
      <w:r w:rsidRPr="0058393D">
        <w:rPr>
          <w:rFonts w:asciiTheme="minorHAnsi" w:hAnsiTheme="minorHAnsi"/>
          <w:sz w:val="16"/>
          <w:szCs w:val="16"/>
          <w:lang w:val="en-US"/>
        </w:rPr>
        <w:t xml:space="preserve">; </w:t>
      </w:r>
      <w:r w:rsidRPr="0058393D">
        <w:rPr>
          <w:rFonts w:asciiTheme="minorHAnsi" w:hAnsiTheme="minorHAnsi"/>
          <w:sz w:val="16"/>
          <w:szCs w:val="16"/>
          <w:vertAlign w:val="superscript"/>
          <w:lang w:val="en-US"/>
        </w:rPr>
        <w:t>¶</w:t>
      </w:r>
      <w:r w:rsidRPr="0058393D">
        <w:rPr>
          <w:rStyle w:val="A2"/>
          <w:rFonts w:asciiTheme="minorHAnsi" w:hAnsiTheme="minorHAnsi"/>
          <w:sz w:val="16"/>
          <w:szCs w:val="16"/>
          <w:lang w:val="en-US"/>
        </w:rPr>
        <w:t xml:space="preserve">Spearman correlation (r) between change score EQ-VAS </w:t>
      </w:r>
      <w:r w:rsidRPr="0058393D">
        <w:rPr>
          <w:rFonts w:asciiTheme="minorHAnsi" w:hAnsiTheme="minorHAnsi"/>
          <w:sz w:val="16"/>
          <w:szCs w:val="16"/>
          <w:lang w:val="en-US"/>
        </w:rPr>
        <w:t>and change score B</w:t>
      </w:r>
      <w:r w:rsidRPr="0058393D">
        <w:rPr>
          <w:rStyle w:val="A2"/>
          <w:rFonts w:asciiTheme="minorHAnsi" w:hAnsiTheme="minorHAnsi"/>
          <w:sz w:val="16"/>
          <w:szCs w:val="16"/>
          <w:lang w:val="en-US"/>
        </w:rPr>
        <w:t xml:space="preserve">CI and FACT-Bl-Cys (T0 and T3); </w:t>
      </w:r>
      <w:r w:rsidR="00BF041D" w:rsidRPr="0058393D">
        <w:rPr>
          <w:rStyle w:val="A2"/>
          <w:rFonts w:asciiTheme="minorHAnsi" w:hAnsiTheme="minorHAnsi"/>
          <w:sz w:val="16"/>
          <w:szCs w:val="16"/>
          <w:lang w:val="en-US"/>
        </w:rPr>
        <w:t xml:space="preserve">ES = Effect size (in </w:t>
      </w:r>
      <w:r w:rsidR="00BF041D" w:rsidRPr="0058393D">
        <w:rPr>
          <w:rFonts w:asciiTheme="minorHAnsi" w:hAnsiTheme="minorHAnsi"/>
          <w:sz w:val="16"/>
          <w:szCs w:val="16"/>
          <w:lang w:val="en-US"/>
        </w:rPr>
        <w:t xml:space="preserve">Cohens d); r = </w:t>
      </w:r>
      <w:r w:rsidR="00BF041D">
        <w:rPr>
          <w:rStyle w:val="A2"/>
          <w:rFonts w:asciiTheme="minorHAnsi" w:hAnsiTheme="minorHAnsi"/>
          <w:sz w:val="16"/>
          <w:szCs w:val="16"/>
          <w:lang w:val="en-US"/>
        </w:rPr>
        <w:t xml:space="preserve">Spearman correlation; </w:t>
      </w:r>
      <w:r w:rsidR="00BF041D">
        <w:rPr>
          <w:rStyle w:val="A2"/>
          <w:rFonts w:asciiTheme="minorHAnsi" w:hAnsiTheme="minorHAnsi"/>
          <w:sz w:val="16"/>
          <w:szCs w:val="16"/>
          <w:lang w:val="en-US"/>
        </w:rPr>
        <w:br/>
      </w:r>
      <w:r w:rsidR="00BF041D">
        <w:rPr>
          <w:rStyle w:val="A2"/>
          <w:rFonts w:asciiTheme="minorHAnsi" w:hAnsiTheme="minorHAnsi"/>
          <w:sz w:val="16"/>
          <w:szCs w:val="16"/>
          <w:vertAlign w:val="superscript"/>
          <w:lang w:val="en-US"/>
        </w:rPr>
        <w:t>a</w:t>
      </w:r>
      <w:r w:rsidRPr="00BF041D">
        <w:rPr>
          <w:rStyle w:val="A2"/>
          <w:rFonts w:asciiTheme="minorHAnsi" w:hAnsiTheme="minorHAnsi"/>
          <w:sz w:val="16"/>
          <w:szCs w:val="16"/>
          <w:vertAlign w:val="superscript"/>
          <w:lang w:val="en-US"/>
        </w:rPr>
        <w:t xml:space="preserve"> </w:t>
      </w:r>
      <w:r w:rsidRPr="00BF041D">
        <w:rPr>
          <w:rStyle w:val="A2"/>
          <w:rFonts w:asciiTheme="minorHAnsi" w:hAnsiTheme="minorHAnsi"/>
          <w:sz w:val="16"/>
          <w:szCs w:val="16"/>
          <w:lang w:val="en-US"/>
        </w:rPr>
        <w:t>Hypothesis = in patients with an improved or declined EQ-VAS score (≥10 points), we hypothesized to find a larger effect size, in comparison to patients that did not show a change in EQ-VAS (≤5 points)</w:t>
      </w:r>
      <w:r w:rsidR="00BF041D" w:rsidRPr="00BF041D">
        <w:rPr>
          <w:rStyle w:val="A2"/>
          <w:rFonts w:asciiTheme="minorHAnsi" w:hAnsiTheme="minorHAnsi"/>
          <w:sz w:val="16"/>
          <w:szCs w:val="16"/>
          <w:lang w:val="en-US"/>
        </w:rPr>
        <w:t>.</w:t>
      </w:r>
    </w:p>
    <w:p w:rsidR="00D261C1" w:rsidRPr="0058393D" w:rsidRDefault="00BF041D" w:rsidP="00DE6AE6">
      <w:pPr>
        <w:rPr>
          <w:rFonts w:asciiTheme="minorHAnsi" w:hAnsiTheme="minorHAnsi"/>
          <w:sz w:val="16"/>
          <w:szCs w:val="16"/>
        </w:rPr>
      </w:pPr>
      <w:proofErr w:type="gramStart"/>
      <w:r>
        <w:rPr>
          <w:rStyle w:val="A2"/>
          <w:rFonts w:asciiTheme="minorHAnsi" w:hAnsiTheme="minorHAnsi"/>
          <w:sz w:val="16"/>
          <w:szCs w:val="16"/>
          <w:vertAlign w:val="superscript"/>
          <w:lang w:val="en-US"/>
        </w:rPr>
        <w:t>b</w:t>
      </w:r>
      <w:proofErr w:type="gramEnd"/>
      <w:r w:rsidRPr="0058393D">
        <w:rPr>
          <w:rStyle w:val="A2"/>
          <w:rFonts w:asciiTheme="minorHAnsi" w:hAnsiTheme="minorHAnsi"/>
          <w:sz w:val="16"/>
          <w:szCs w:val="16"/>
          <w:vertAlign w:val="superscript"/>
          <w:lang w:val="en-US"/>
        </w:rPr>
        <w:t xml:space="preserve"> </w:t>
      </w:r>
      <w:r w:rsidRPr="0058393D">
        <w:rPr>
          <w:rStyle w:val="A2"/>
          <w:rFonts w:asciiTheme="minorHAnsi" w:hAnsiTheme="minorHAnsi"/>
          <w:sz w:val="16"/>
          <w:szCs w:val="16"/>
          <w:lang w:val="en-US"/>
        </w:rPr>
        <w:t xml:space="preserve">Hypothesis = in patients with an improved or declined EQ-VAS score (≥10 points), we hypothesized to find moderate correlations of ≥0.30 between change in EQ-VAS and the change in BCI and FACT-Bl-Cys values; </w:t>
      </w:r>
      <w:r>
        <w:rPr>
          <w:rStyle w:val="A2"/>
          <w:rFonts w:asciiTheme="minorHAnsi" w:hAnsiTheme="minorHAnsi"/>
          <w:sz w:val="16"/>
          <w:szCs w:val="16"/>
          <w:lang w:val="en-US"/>
        </w:rPr>
        <w:br/>
      </w:r>
    </w:p>
    <w:sectPr w:rsidR="00D261C1" w:rsidRPr="0058393D" w:rsidSect="00AF226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54" w:rsidRDefault="00851C54" w:rsidP="00511A50">
      <w:r>
        <w:separator/>
      </w:r>
    </w:p>
  </w:endnote>
  <w:endnote w:type="continuationSeparator" w:id="0">
    <w:p w:rsidR="00851C54" w:rsidRDefault="00851C54" w:rsidP="0051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8"/>
      </w:rPr>
      <w:id w:val="-14301091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1A50" w:rsidRPr="00511A50" w:rsidRDefault="00511A50">
            <w:pPr>
              <w:pStyle w:val="Footer"/>
              <w:jc w:val="right"/>
              <w:rPr>
                <w:rFonts w:asciiTheme="minorHAnsi" w:hAnsiTheme="minorHAnsi"/>
                <w:szCs w:val="18"/>
              </w:rPr>
            </w:pPr>
            <w:r w:rsidRPr="00511A50">
              <w:rPr>
                <w:rFonts w:asciiTheme="minorHAnsi" w:hAnsiTheme="minorHAnsi"/>
                <w:szCs w:val="18"/>
              </w:rPr>
              <w:t xml:space="preserve">Page </w: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begin"/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instrText>PAGE</w:instrTex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="009410D4">
              <w:rPr>
                <w:rFonts w:asciiTheme="minorHAnsi" w:hAnsiTheme="minorHAnsi"/>
                <w:b/>
                <w:bCs/>
                <w:noProof/>
                <w:szCs w:val="18"/>
              </w:rPr>
              <w:t>1</w: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511A50">
              <w:rPr>
                <w:rFonts w:asciiTheme="minorHAnsi" w:hAnsiTheme="minorHAnsi"/>
                <w:szCs w:val="18"/>
              </w:rPr>
              <w:t xml:space="preserve"> of </w: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begin"/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instrText>NUMPAGES</w:instrTex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="009410D4">
              <w:rPr>
                <w:rFonts w:asciiTheme="minorHAnsi" w:hAnsiTheme="minorHAnsi"/>
                <w:b/>
                <w:bCs/>
                <w:noProof/>
                <w:szCs w:val="18"/>
              </w:rPr>
              <w:t>1</w: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</w:p>
        </w:sdtContent>
      </w:sdt>
    </w:sdtContent>
  </w:sdt>
  <w:p w:rsidR="00511A50" w:rsidRPr="00511A50" w:rsidRDefault="00511A50">
    <w:pPr>
      <w:pStyle w:val="Footer"/>
      <w:rPr>
        <w:rFonts w:asciiTheme="minorHAnsi" w:hAnsiTheme="minorHAnsi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54" w:rsidRDefault="00851C54" w:rsidP="00511A50">
      <w:r>
        <w:separator/>
      </w:r>
    </w:p>
  </w:footnote>
  <w:footnote w:type="continuationSeparator" w:id="0">
    <w:p w:rsidR="00851C54" w:rsidRDefault="00851C54" w:rsidP="0051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AF2268"/>
    <w:rsid w:val="0002734C"/>
    <w:rsid w:val="00030A32"/>
    <w:rsid w:val="00044725"/>
    <w:rsid w:val="00046A67"/>
    <w:rsid w:val="0009585A"/>
    <w:rsid w:val="000D618A"/>
    <w:rsid w:val="0011509F"/>
    <w:rsid w:val="001441E8"/>
    <w:rsid w:val="00144C7F"/>
    <w:rsid w:val="001764BF"/>
    <w:rsid w:val="001D34FA"/>
    <w:rsid w:val="00213793"/>
    <w:rsid w:val="002234B4"/>
    <w:rsid w:val="00235CD8"/>
    <w:rsid w:val="00243088"/>
    <w:rsid w:val="00286E52"/>
    <w:rsid w:val="002949A5"/>
    <w:rsid w:val="002D6907"/>
    <w:rsid w:val="002F4830"/>
    <w:rsid w:val="00330A5C"/>
    <w:rsid w:val="00335F2F"/>
    <w:rsid w:val="003B3781"/>
    <w:rsid w:val="00403AF6"/>
    <w:rsid w:val="00427ACC"/>
    <w:rsid w:val="00435FE5"/>
    <w:rsid w:val="00441CD6"/>
    <w:rsid w:val="00511A50"/>
    <w:rsid w:val="00516E02"/>
    <w:rsid w:val="00565090"/>
    <w:rsid w:val="0058393D"/>
    <w:rsid w:val="005946BF"/>
    <w:rsid w:val="005C1D69"/>
    <w:rsid w:val="005C434A"/>
    <w:rsid w:val="005E0EF6"/>
    <w:rsid w:val="00617FA4"/>
    <w:rsid w:val="006249BF"/>
    <w:rsid w:val="00630183"/>
    <w:rsid w:val="00660D51"/>
    <w:rsid w:val="00686257"/>
    <w:rsid w:val="0069472B"/>
    <w:rsid w:val="006A5E5F"/>
    <w:rsid w:val="006B0081"/>
    <w:rsid w:val="006B61FC"/>
    <w:rsid w:val="006C4416"/>
    <w:rsid w:val="00742A5B"/>
    <w:rsid w:val="0076023B"/>
    <w:rsid w:val="0076297C"/>
    <w:rsid w:val="007655B2"/>
    <w:rsid w:val="007656B9"/>
    <w:rsid w:val="007658F3"/>
    <w:rsid w:val="007E1DB7"/>
    <w:rsid w:val="00851C54"/>
    <w:rsid w:val="008548D5"/>
    <w:rsid w:val="00865BB2"/>
    <w:rsid w:val="008704A9"/>
    <w:rsid w:val="008931F2"/>
    <w:rsid w:val="008B7996"/>
    <w:rsid w:val="008F00DC"/>
    <w:rsid w:val="009410D4"/>
    <w:rsid w:val="00966025"/>
    <w:rsid w:val="0098716F"/>
    <w:rsid w:val="00992FD0"/>
    <w:rsid w:val="009C7C22"/>
    <w:rsid w:val="009D3BB7"/>
    <w:rsid w:val="00A06E48"/>
    <w:rsid w:val="00A262FF"/>
    <w:rsid w:val="00AA25AA"/>
    <w:rsid w:val="00AB347F"/>
    <w:rsid w:val="00AE0AE3"/>
    <w:rsid w:val="00AE6CA1"/>
    <w:rsid w:val="00AF2268"/>
    <w:rsid w:val="00B04D7A"/>
    <w:rsid w:val="00B22A2D"/>
    <w:rsid w:val="00B61300"/>
    <w:rsid w:val="00B64755"/>
    <w:rsid w:val="00B95E27"/>
    <w:rsid w:val="00BF041D"/>
    <w:rsid w:val="00C01242"/>
    <w:rsid w:val="00C12A76"/>
    <w:rsid w:val="00C57F9E"/>
    <w:rsid w:val="00C747FD"/>
    <w:rsid w:val="00CB326C"/>
    <w:rsid w:val="00CF03D5"/>
    <w:rsid w:val="00D21AD7"/>
    <w:rsid w:val="00D261C1"/>
    <w:rsid w:val="00D61D42"/>
    <w:rsid w:val="00D62136"/>
    <w:rsid w:val="00D66787"/>
    <w:rsid w:val="00D76C51"/>
    <w:rsid w:val="00D8443F"/>
    <w:rsid w:val="00DE6AE6"/>
    <w:rsid w:val="00DF55CB"/>
    <w:rsid w:val="00E01F70"/>
    <w:rsid w:val="00E02168"/>
    <w:rsid w:val="00E02F1A"/>
    <w:rsid w:val="00E50646"/>
    <w:rsid w:val="00E62772"/>
    <w:rsid w:val="00E81AC8"/>
    <w:rsid w:val="00EB5D27"/>
    <w:rsid w:val="00F065DC"/>
    <w:rsid w:val="00F240F8"/>
    <w:rsid w:val="00FC6947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268"/>
    <w:pPr>
      <w:spacing w:before="100" w:beforeAutospacing="1" w:after="100" w:afterAutospacing="1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rsid w:val="005C1D69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1A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11A50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iPriority w:val="99"/>
    <w:rsid w:val="00511A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A50"/>
    <w:rPr>
      <w:rFonts w:ascii="Verdana" w:hAnsi="Verdana"/>
      <w:sz w:val="18"/>
      <w:szCs w:val="24"/>
    </w:rPr>
  </w:style>
  <w:style w:type="paragraph" w:styleId="BalloonText">
    <w:name w:val="Balloon Text"/>
    <w:basedOn w:val="Normal"/>
    <w:link w:val="BalloonTextChar"/>
    <w:rsid w:val="00D2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1C1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9C7C22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268"/>
    <w:pPr>
      <w:spacing w:before="100" w:beforeAutospacing="1" w:after="100" w:afterAutospacing="1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rsid w:val="005C1D69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1A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11A50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iPriority w:val="99"/>
    <w:rsid w:val="00511A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A50"/>
    <w:rPr>
      <w:rFonts w:ascii="Verdana" w:hAnsi="Verdana"/>
      <w:sz w:val="18"/>
      <w:szCs w:val="24"/>
    </w:rPr>
  </w:style>
  <w:style w:type="paragraph" w:styleId="BalloonText">
    <w:name w:val="Balloon Text"/>
    <w:basedOn w:val="Normal"/>
    <w:link w:val="BalloonTextChar"/>
    <w:rsid w:val="00D2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1C1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9C7C22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3135</Characters>
  <Application>Microsoft Office Word</Application>
  <DocSecurity>0</DocSecurity>
  <Lines>522</Lines>
  <Paragraphs>494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MCREDO</cp:lastModifiedBy>
  <cp:revision>3</cp:revision>
  <dcterms:created xsi:type="dcterms:W3CDTF">2019-08-20T08:38:00Z</dcterms:created>
  <dcterms:modified xsi:type="dcterms:W3CDTF">2019-08-23T21:04:00Z</dcterms:modified>
</cp:coreProperties>
</file>