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50F0F" w14:textId="77777777" w:rsidR="009253A8" w:rsidRPr="00D93517" w:rsidRDefault="00D93517" w:rsidP="00291987">
      <w:pPr>
        <w:bidi w:val="0"/>
        <w:rPr>
          <w:rFonts w:asciiTheme="minorBidi" w:hAnsiTheme="minorBidi"/>
          <w:sz w:val="24"/>
          <w:szCs w:val="24"/>
        </w:rPr>
      </w:pPr>
      <w:bookmarkStart w:id="0" w:name="_GoBack"/>
      <w:bookmarkEnd w:id="0"/>
      <w:r w:rsidRPr="00D93517">
        <w:rPr>
          <w:rFonts w:asciiTheme="minorBidi" w:hAnsiTheme="minorBidi"/>
          <w:sz w:val="24"/>
          <w:szCs w:val="24"/>
        </w:rPr>
        <w:t>Appendix 1. Pilot Study Methods and Results</w:t>
      </w:r>
    </w:p>
    <w:p w14:paraId="004F8699" w14:textId="77777777" w:rsidR="00D93517" w:rsidRPr="001374A6" w:rsidRDefault="00D93517" w:rsidP="00D93517">
      <w:pPr>
        <w:bidi w:val="0"/>
        <w:spacing w:line="480" w:lineRule="auto"/>
        <w:rPr>
          <w:rFonts w:asciiTheme="minorBidi" w:hAnsiTheme="minorBidi"/>
          <w:sz w:val="24"/>
          <w:szCs w:val="24"/>
        </w:rPr>
      </w:pPr>
      <w:r w:rsidRPr="001374A6">
        <w:rPr>
          <w:rFonts w:asciiTheme="minorBidi" w:hAnsiTheme="minorBidi"/>
          <w:sz w:val="24"/>
          <w:szCs w:val="24"/>
        </w:rPr>
        <w:t xml:space="preserve">This study was performed in two stages: Stage 1 was a retrospective analysis of screening provided by HACO as a service to the community via MCHC and preschools. Stage 2 was a prospective study of a second cohort of children that studied parental compliance with an invitation for vision screening at MCHC. The cohorts of the two stages do not overlap but involved children from the same target population. </w:t>
      </w:r>
    </w:p>
    <w:p w14:paraId="05EB4E63" w14:textId="77777777" w:rsidR="00D93517" w:rsidRPr="001374A6" w:rsidRDefault="00D93517" w:rsidP="00D93517">
      <w:pPr>
        <w:bidi w:val="0"/>
        <w:spacing w:line="480" w:lineRule="auto"/>
        <w:rPr>
          <w:rFonts w:asciiTheme="minorBidi" w:hAnsiTheme="minorBidi"/>
          <w:sz w:val="24"/>
          <w:szCs w:val="24"/>
        </w:rPr>
      </w:pPr>
      <w:r w:rsidRPr="001374A6">
        <w:rPr>
          <w:rFonts w:asciiTheme="minorBidi" w:hAnsiTheme="minorBidi"/>
          <w:i/>
          <w:iCs/>
          <w:sz w:val="24"/>
          <w:szCs w:val="24"/>
        </w:rPr>
        <w:t>Ethics</w:t>
      </w:r>
      <w:r w:rsidRPr="001374A6">
        <w:rPr>
          <w:rFonts w:asciiTheme="minorBidi" w:hAnsiTheme="minorBidi"/>
          <w:sz w:val="24"/>
          <w:szCs w:val="24"/>
        </w:rPr>
        <w:t xml:space="preserve">: Stage 1: The Hadassah Academic College Ethics Committee granted permission for this retrospective, anonymous study of the findings from vision screenings by HACO, which was performed as part of student training and community service. </w:t>
      </w:r>
    </w:p>
    <w:p w14:paraId="2F2AE54A" w14:textId="77777777" w:rsidR="00D93517" w:rsidRPr="001374A6" w:rsidRDefault="00D93517" w:rsidP="00D93517">
      <w:pPr>
        <w:bidi w:val="0"/>
        <w:spacing w:line="480" w:lineRule="auto"/>
        <w:rPr>
          <w:rFonts w:asciiTheme="minorBidi" w:hAnsiTheme="minorBidi"/>
          <w:sz w:val="24"/>
          <w:szCs w:val="24"/>
        </w:rPr>
      </w:pPr>
      <w:r w:rsidRPr="001374A6">
        <w:rPr>
          <w:rFonts w:asciiTheme="minorBidi" w:hAnsiTheme="minorBidi"/>
          <w:sz w:val="24"/>
          <w:szCs w:val="24"/>
        </w:rPr>
        <w:t>Stage 2: The Ministry of Health Helsinki Committee granted permission for Ministry of Health personnel to record percentage of compliance.</w:t>
      </w:r>
    </w:p>
    <w:p w14:paraId="1BAB0803" w14:textId="77777777" w:rsidR="00D93517" w:rsidRPr="001374A6" w:rsidRDefault="00D93517" w:rsidP="00D93517">
      <w:pPr>
        <w:bidi w:val="0"/>
        <w:spacing w:line="480" w:lineRule="auto"/>
        <w:ind w:firstLine="720"/>
        <w:rPr>
          <w:rFonts w:asciiTheme="minorBidi" w:hAnsiTheme="minorBidi"/>
          <w:sz w:val="24"/>
          <w:szCs w:val="24"/>
        </w:rPr>
      </w:pPr>
      <w:r w:rsidRPr="001374A6">
        <w:rPr>
          <w:rFonts w:asciiTheme="minorBidi" w:hAnsiTheme="minorBidi"/>
          <w:sz w:val="24"/>
          <w:szCs w:val="24"/>
        </w:rPr>
        <w:t>Preschool parents from stage 1 had received consent forms for their children to participate in the screening exam and only children with signed consent were examined.  Parents from stage 2 consented to the procedure by phone and by bringing children in for screening.</w:t>
      </w:r>
    </w:p>
    <w:p w14:paraId="0B5F0A43" w14:textId="42B20430" w:rsidR="00D93517" w:rsidRPr="001374A6" w:rsidRDefault="00D93517" w:rsidP="00D93517">
      <w:pPr>
        <w:bidi w:val="0"/>
        <w:spacing w:line="480" w:lineRule="auto"/>
        <w:rPr>
          <w:rFonts w:asciiTheme="minorBidi" w:hAnsiTheme="minorBidi"/>
          <w:sz w:val="24"/>
          <w:szCs w:val="24"/>
        </w:rPr>
      </w:pPr>
      <w:r w:rsidRPr="001374A6">
        <w:rPr>
          <w:rFonts w:asciiTheme="minorBidi" w:hAnsiTheme="minorBidi"/>
          <w:i/>
          <w:iCs/>
          <w:sz w:val="24"/>
          <w:szCs w:val="24"/>
        </w:rPr>
        <w:t>Target population</w:t>
      </w:r>
      <w:r w:rsidRPr="001374A6">
        <w:rPr>
          <w:rFonts w:asciiTheme="minorBidi" w:hAnsiTheme="minorBidi"/>
          <w:sz w:val="24"/>
          <w:szCs w:val="24"/>
        </w:rPr>
        <w:t>: Children between the ages of 3-5 residing in the Jerusalem area attending preschools or MCHC. The population of Israel is approximately 8.5 million with 1.2 million living in the greater Jerusalem area. The number of live births in Israel increases annually and there were 183,</w:t>
      </w:r>
      <w:r w:rsidRPr="001374A6">
        <w:rPr>
          <w:rFonts w:asciiTheme="minorBidi" w:hAnsiTheme="minorBidi"/>
          <w:sz w:val="24"/>
          <w:szCs w:val="24"/>
          <w:rtl/>
        </w:rPr>
        <w:t>648</w:t>
      </w:r>
      <w:r w:rsidRPr="001374A6">
        <w:rPr>
          <w:rFonts w:asciiTheme="minorBidi" w:hAnsiTheme="minorBidi"/>
          <w:sz w:val="24"/>
          <w:szCs w:val="24"/>
        </w:rPr>
        <w:t xml:space="preserve"> live births in 201, which is the most recent published data. </w:t>
      </w:r>
    </w:p>
    <w:p w14:paraId="581959C8" w14:textId="77777777" w:rsidR="00D93517" w:rsidRPr="001374A6" w:rsidRDefault="00D93517" w:rsidP="00D93517">
      <w:pPr>
        <w:bidi w:val="0"/>
        <w:spacing w:line="480" w:lineRule="auto"/>
        <w:rPr>
          <w:rFonts w:asciiTheme="minorBidi" w:hAnsiTheme="minorBidi"/>
          <w:sz w:val="24"/>
          <w:szCs w:val="24"/>
        </w:rPr>
      </w:pPr>
      <w:r w:rsidRPr="001374A6">
        <w:rPr>
          <w:rFonts w:asciiTheme="minorBidi" w:hAnsiTheme="minorBidi"/>
          <w:sz w:val="24"/>
          <w:szCs w:val="24"/>
        </w:rPr>
        <w:t xml:space="preserve">Study location for stages 1 and 2: MCHC in Israel provide free pediatric preventive health services, such as immunizations and neuro-developmental </w:t>
      </w:r>
      <w:r w:rsidRPr="001374A6">
        <w:rPr>
          <w:rFonts w:asciiTheme="minorBidi" w:hAnsiTheme="minorBidi"/>
          <w:sz w:val="24"/>
          <w:szCs w:val="24"/>
        </w:rPr>
        <w:lastRenderedPageBreak/>
        <w:t xml:space="preserve">surveillance, separately from curative health care. MCHC provide care from birth to six years of age. Children are accompanied by a parent or guardian to all visits. The MCHC in our study were all operated by the Jerusalem District Health Office. </w:t>
      </w:r>
    </w:p>
    <w:p w14:paraId="5F964102" w14:textId="77777777" w:rsidR="00D93517" w:rsidRPr="001374A6" w:rsidRDefault="00D93517" w:rsidP="00D93517">
      <w:pPr>
        <w:bidi w:val="0"/>
        <w:spacing w:line="480" w:lineRule="auto"/>
        <w:rPr>
          <w:rFonts w:asciiTheme="minorBidi" w:hAnsiTheme="minorBidi"/>
          <w:sz w:val="24"/>
          <w:szCs w:val="24"/>
        </w:rPr>
      </w:pPr>
      <w:r w:rsidRPr="001374A6">
        <w:rPr>
          <w:rFonts w:asciiTheme="minorBidi" w:hAnsiTheme="minorBidi"/>
          <w:sz w:val="24"/>
          <w:szCs w:val="24"/>
        </w:rPr>
        <w:t xml:space="preserve">Study location for stage 1 only: The preschools studied were run by the Jerusalem Municipality and were part of Israel's Ministry of Education public preschool system for 3-5 year olds.  Both MCHC and preschools provide services to children from various ethnic backgrounds and socioeconomic strata, including children who are native speakers of Hebrew, Arabic and Yiddish. </w:t>
      </w:r>
    </w:p>
    <w:p w14:paraId="2248C8BD" w14:textId="77777777" w:rsidR="00D93517" w:rsidRPr="001374A6" w:rsidRDefault="00D93517" w:rsidP="00D93517">
      <w:pPr>
        <w:bidi w:val="0"/>
        <w:spacing w:line="480" w:lineRule="auto"/>
        <w:rPr>
          <w:rFonts w:asciiTheme="minorBidi" w:hAnsiTheme="minorBidi"/>
          <w:sz w:val="24"/>
          <w:szCs w:val="24"/>
        </w:rPr>
      </w:pPr>
      <w:r w:rsidRPr="001374A6">
        <w:rPr>
          <w:rFonts w:asciiTheme="minorBidi" w:hAnsiTheme="minorBidi"/>
          <w:sz w:val="24"/>
          <w:szCs w:val="24"/>
        </w:rPr>
        <w:t>Study Protocol</w:t>
      </w:r>
    </w:p>
    <w:p w14:paraId="5D49BA6C" w14:textId="77777777" w:rsidR="00D93517" w:rsidRPr="001374A6" w:rsidRDefault="00D93517" w:rsidP="00D93517">
      <w:pPr>
        <w:bidi w:val="0"/>
        <w:spacing w:line="480" w:lineRule="auto"/>
        <w:rPr>
          <w:rFonts w:asciiTheme="minorBidi" w:hAnsiTheme="minorBidi"/>
          <w:sz w:val="24"/>
          <w:szCs w:val="24"/>
        </w:rPr>
      </w:pPr>
      <w:r w:rsidRPr="001374A6">
        <w:rPr>
          <w:rFonts w:asciiTheme="minorBidi" w:hAnsiTheme="minorBidi"/>
          <w:sz w:val="24"/>
          <w:szCs w:val="24"/>
          <w:u w:val="single"/>
        </w:rPr>
        <w:t>Appointments:</w:t>
      </w:r>
      <w:r w:rsidRPr="001374A6">
        <w:rPr>
          <w:rFonts w:asciiTheme="minorBidi" w:hAnsiTheme="minorBidi"/>
          <w:sz w:val="24"/>
          <w:szCs w:val="24"/>
        </w:rPr>
        <w:t xml:space="preserve"> MCHC appointments for stages 1 and 2 were scheduled in advance via phone. In stage 2 of the project, the phone calls followed a set script. The MCHC staff explained the importance of vision screening, recorded the number of phone calls and appointments made. When parents refused an appointment, the refusal reason was recorded and fell into one of four categories: the child already had an eye exam with an ophthalmologist or optometrist, the hours available for appointments were inconvenient, the parent was not interested or other.  The number of children who presented at the scheduled appointment was recorded.  </w:t>
      </w:r>
    </w:p>
    <w:p w14:paraId="7081B12D" w14:textId="77777777" w:rsidR="00D93517" w:rsidRPr="001374A6" w:rsidRDefault="00D93517" w:rsidP="00D93517">
      <w:pPr>
        <w:autoSpaceDE w:val="0"/>
        <w:autoSpaceDN w:val="0"/>
        <w:bidi w:val="0"/>
        <w:adjustRightInd w:val="0"/>
        <w:spacing w:line="480" w:lineRule="auto"/>
        <w:rPr>
          <w:rFonts w:asciiTheme="minorBidi" w:hAnsiTheme="minorBidi"/>
          <w:sz w:val="24"/>
          <w:szCs w:val="24"/>
        </w:rPr>
      </w:pPr>
      <w:r w:rsidRPr="001374A6">
        <w:rPr>
          <w:rFonts w:asciiTheme="minorBidi" w:hAnsiTheme="minorBidi"/>
          <w:i/>
          <w:iCs/>
          <w:sz w:val="24"/>
          <w:szCs w:val="24"/>
        </w:rPr>
        <w:t>Screening exam</w:t>
      </w:r>
      <w:r w:rsidRPr="001374A6">
        <w:rPr>
          <w:rFonts w:asciiTheme="minorBidi" w:hAnsiTheme="minorBidi"/>
          <w:sz w:val="24"/>
          <w:szCs w:val="24"/>
        </w:rPr>
        <w:t xml:space="preserve">: The screening exam was part of the clinical training of optometry students at HACO. The screening team was equipped with all required instruments. Fourth and first year optometry students under the supervision of a licensed optometrist administered a battery of tests. </w:t>
      </w:r>
      <w:r w:rsidRPr="00D93517">
        <w:rPr>
          <w:rFonts w:asciiTheme="minorBidi" w:hAnsiTheme="minorBidi"/>
          <w:color w:val="000000" w:themeColor="text1"/>
          <w:sz w:val="24"/>
          <w:szCs w:val="24"/>
        </w:rPr>
        <w:t xml:space="preserve">Only the </w:t>
      </w:r>
      <w:r w:rsidRPr="00D93517">
        <w:rPr>
          <w:rFonts w:asciiTheme="minorBidi" w:hAnsiTheme="minorBidi"/>
          <w:color w:val="000000" w:themeColor="text1"/>
          <w:sz w:val="24"/>
          <w:szCs w:val="24"/>
        </w:rPr>
        <w:lastRenderedPageBreak/>
        <w:t xml:space="preserve">fourth year students, who have been trained in performing retinoscopy on children, performed this test. The tests performed were as </w:t>
      </w:r>
      <w:r w:rsidRPr="001374A6">
        <w:rPr>
          <w:rFonts w:asciiTheme="minorBidi" w:hAnsiTheme="minorBidi"/>
          <w:sz w:val="24"/>
          <w:szCs w:val="24"/>
        </w:rPr>
        <w:t>followed. :</w:t>
      </w:r>
    </w:p>
    <w:p w14:paraId="3A76F36C" w14:textId="77777777" w:rsidR="00D93517" w:rsidRPr="001374A6" w:rsidRDefault="00D93517" w:rsidP="00D93517">
      <w:pPr>
        <w:pStyle w:val="ListParagraph"/>
        <w:numPr>
          <w:ilvl w:val="0"/>
          <w:numId w:val="1"/>
        </w:numPr>
        <w:autoSpaceDE w:val="0"/>
        <w:autoSpaceDN w:val="0"/>
        <w:bidi w:val="0"/>
        <w:adjustRightInd w:val="0"/>
        <w:spacing w:line="480" w:lineRule="auto"/>
        <w:rPr>
          <w:rFonts w:asciiTheme="minorBidi" w:hAnsiTheme="minorBidi"/>
          <w:sz w:val="24"/>
          <w:szCs w:val="24"/>
        </w:rPr>
      </w:pPr>
      <w:r w:rsidRPr="001374A6">
        <w:rPr>
          <w:rFonts w:asciiTheme="minorBidi" w:hAnsiTheme="minorBidi"/>
          <w:sz w:val="24"/>
          <w:szCs w:val="24"/>
        </w:rPr>
        <w:t>Monocular Distance Visual Acuity (VA) assessment with Lea Symbols with crowding bars at three-meter distance</w:t>
      </w:r>
    </w:p>
    <w:p w14:paraId="00655B9E" w14:textId="77777777" w:rsidR="00D93517" w:rsidRPr="001374A6" w:rsidRDefault="00D93517" w:rsidP="00D93517">
      <w:pPr>
        <w:pStyle w:val="ListParagraph"/>
        <w:numPr>
          <w:ilvl w:val="0"/>
          <w:numId w:val="1"/>
        </w:numPr>
        <w:bidi w:val="0"/>
        <w:spacing w:line="480" w:lineRule="auto"/>
        <w:rPr>
          <w:rFonts w:asciiTheme="minorBidi" w:hAnsiTheme="minorBidi"/>
          <w:sz w:val="24"/>
          <w:szCs w:val="24"/>
        </w:rPr>
      </w:pPr>
      <w:r w:rsidRPr="001374A6">
        <w:rPr>
          <w:rFonts w:asciiTheme="minorBidi" w:hAnsiTheme="minorBidi"/>
          <w:sz w:val="24"/>
          <w:szCs w:val="24"/>
        </w:rPr>
        <w:t xml:space="preserve">Retinoscopy </w:t>
      </w:r>
    </w:p>
    <w:p w14:paraId="4B7866A8" w14:textId="77777777" w:rsidR="00D93517" w:rsidRPr="001374A6" w:rsidRDefault="00D93517" w:rsidP="00D93517">
      <w:pPr>
        <w:pStyle w:val="ListParagraph"/>
        <w:numPr>
          <w:ilvl w:val="0"/>
          <w:numId w:val="1"/>
        </w:numPr>
        <w:bidi w:val="0"/>
        <w:spacing w:line="480" w:lineRule="auto"/>
        <w:rPr>
          <w:rFonts w:asciiTheme="minorBidi" w:hAnsiTheme="minorBidi"/>
          <w:sz w:val="24"/>
          <w:szCs w:val="24"/>
        </w:rPr>
      </w:pPr>
      <w:r w:rsidRPr="001374A6">
        <w:rPr>
          <w:rFonts w:asciiTheme="minorBidi" w:hAnsiTheme="minorBidi"/>
          <w:sz w:val="24"/>
          <w:szCs w:val="24"/>
        </w:rPr>
        <w:t xml:space="preserve">Binocular vision testing </w:t>
      </w:r>
    </w:p>
    <w:p w14:paraId="650725F4" w14:textId="5B4D82BF" w:rsidR="00D93517" w:rsidRPr="001374A6" w:rsidRDefault="00D93517" w:rsidP="00D93517">
      <w:pPr>
        <w:pStyle w:val="ListParagraph"/>
        <w:numPr>
          <w:ilvl w:val="1"/>
          <w:numId w:val="1"/>
        </w:numPr>
        <w:bidi w:val="0"/>
        <w:spacing w:line="480" w:lineRule="auto"/>
        <w:rPr>
          <w:rFonts w:asciiTheme="minorBidi" w:hAnsiTheme="minorBidi"/>
          <w:sz w:val="24"/>
          <w:szCs w:val="24"/>
        </w:rPr>
      </w:pPr>
      <w:r w:rsidRPr="001374A6">
        <w:rPr>
          <w:rFonts w:asciiTheme="minorBidi" w:hAnsiTheme="minorBidi"/>
          <w:sz w:val="24"/>
          <w:szCs w:val="24"/>
        </w:rPr>
        <w:t xml:space="preserve">Near Cover Test </w:t>
      </w:r>
      <w:r w:rsidRPr="001374A6">
        <w:rPr>
          <w:rFonts w:asciiTheme="minorBidi" w:hAnsiTheme="minorBidi"/>
          <w:sz w:val="24"/>
          <w:szCs w:val="24"/>
        </w:rPr>
        <w:fldChar w:fldCharType="begin"/>
      </w:r>
      <w:r w:rsidR="00B45CF2">
        <w:rPr>
          <w:rFonts w:asciiTheme="minorBidi" w:hAnsiTheme="minorBidi"/>
          <w:sz w:val="24"/>
          <w:szCs w:val="24"/>
        </w:rPr>
        <w:instrText xml:space="preserve"> ADDIN EN.CITE &lt;EndNote&gt;&lt;Cite&gt;&lt;Author&gt;Vision in Preschoolers Study&lt;/Author&gt;&lt;Year&gt;2007&lt;/Year&gt;&lt;RecNum&gt;13&lt;/RecNum&gt;&lt;DisplayText&gt;(1)&lt;/DisplayText&gt;&lt;record&gt;&lt;rec-number&gt;13&lt;/rec-number&gt;&lt;foreign-keys&gt;&lt;key app="EN" db-id="fvvestafpzs2v1evvwkxwaebwwrr5wdsdr0e" timestamp="1518072816"&gt;13&lt;/key&gt;&lt;/foreign-keys&gt;&lt;ref-type name="Journal Article"&gt;17&lt;/ref-type&gt;&lt;contributors&gt;&lt;authors&gt;&lt;author&gt;Vision in Preschoolers Study, Group&lt;/author&gt;&lt;/authors&gt;&lt;/contributors&gt;&lt;auth-address&gt;The Vision in Preschoolers Study Group, The Ohio State University, College of Optometry, Columbus, OH 43210-1280, USA. schmidt.13@osu.edu&lt;/auth-address&gt;&lt;titles&gt;&lt;title&gt;Does assessing eye alignment along with refractive error or visual acuity increase sensitivity for detection of strabismus in preschool vision screening?&lt;/title&gt;&lt;secondary-title&gt;Invest Ophthalmol Vis Sci&lt;/secondary-title&gt;&lt;/titles&gt;&lt;periodical&gt;&lt;full-title&gt;Invest Ophthalmol Vis Sci&lt;/full-title&gt;&lt;/periodical&gt;&lt;pages&gt;3115-25&lt;/pages&gt;&lt;volume&gt;48&lt;/volume&gt;&lt;number&gt;7&lt;/number&gt;&lt;keywords&gt;&lt;keyword&gt;Child, Preschool&lt;/keyword&gt;&lt;keyword&gt;Female&lt;/keyword&gt;&lt;keyword&gt;Health Personnel&lt;/keyword&gt;&lt;keyword&gt;Humans&lt;/keyword&gt;&lt;keyword&gt;Male&lt;/keyword&gt;&lt;keyword&gt;Refractive Errors/*diagnosis&lt;/keyword&gt;&lt;keyword&gt;Retinoscopy/methods&lt;/keyword&gt;&lt;keyword&gt;Sensitivity and Specificity&lt;/keyword&gt;&lt;keyword&gt;Strabismus/*diagnosis&lt;/keyword&gt;&lt;keyword&gt;Vision Screening/instrumentation/*methods&lt;/keyword&gt;&lt;keyword&gt;*Vision, Binocular&lt;/keyword&gt;&lt;keyword&gt;*Visual Acuity&lt;/keyword&gt;&lt;/keywords&gt;&lt;dates&gt;&lt;year&gt;2007&lt;/year&gt;&lt;pub-dates&gt;&lt;date&gt;Jul&lt;/date&gt;&lt;/pub-dates&gt;&lt;/dates&gt;&lt;isbn&gt;0146-0404 (Print)&amp;#xD;0146-0404 (Linking)&lt;/isbn&gt;&lt;accession-num&gt;17591881&lt;/accession-num&gt;&lt;urls&gt;&lt;related-urls&gt;&lt;url&gt;http://www.ncbi.nlm.nih.gov/pubmed/17591881&lt;/url&gt;&lt;/related-urls&gt;&lt;/urls&gt;&lt;custom2&gt;PMC2140241&lt;/custom2&gt;&lt;electronic-resource-num&gt;10.1167/iovs.06-1009&lt;/electronic-resource-num&gt;&lt;/record&gt;&lt;/Cite&gt;&lt;/EndNote&gt;</w:instrText>
      </w:r>
      <w:r w:rsidRPr="001374A6">
        <w:rPr>
          <w:rFonts w:asciiTheme="minorBidi" w:hAnsiTheme="minorBidi"/>
          <w:sz w:val="24"/>
          <w:szCs w:val="24"/>
        </w:rPr>
        <w:fldChar w:fldCharType="separate"/>
      </w:r>
      <w:r w:rsidR="00B45CF2">
        <w:rPr>
          <w:rFonts w:asciiTheme="minorBidi" w:hAnsiTheme="minorBidi"/>
          <w:noProof/>
          <w:sz w:val="24"/>
          <w:szCs w:val="24"/>
        </w:rPr>
        <w:t>(1)</w:t>
      </w:r>
      <w:r w:rsidRPr="001374A6">
        <w:rPr>
          <w:rFonts w:asciiTheme="minorBidi" w:hAnsiTheme="minorBidi"/>
          <w:sz w:val="24"/>
          <w:szCs w:val="24"/>
        </w:rPr>
        <w:fldChar w:fldCharType="end"/>
      </w:r>
    </w:p>
    <w:p w14:paraId="5E47F195" w14:textId="77777777" w:rsidR="00D93517" w:rsidRPr="001374A6" w:rsidRDefault="00D93517" w:rsidP="00D93517">
      <w:pPr>
        <w:pStyle w:val="ListParagraph"/>
        <w:numPr>
          <w:ilvl w:val="1"/>
          <w:numId w:val="1"/>
        </w:numPr>
        <w:bidi w:val="0"/>
        <w:spacing w:line="480" w:lineRule="auto"/>
        <w:rPr>
          <w:rFonts w:asciiTheme="minorBidi" w:hAnsiTheme="minorBidi"/>
          <w:sz w:val="24"/>
          <w:szCs w:val="24"/>
        </w:rPr>
      </w:pPr>
      <w:r w:rsidRPr="001374A6">
        <w:rPr>
          <w:rFonts w:asciiTheme="minorBidi" w:hAnsiTheme="minorBidi"/>
          <w:sz w:val="24"/>
          <w:szCs w:val="24"/>
        </w:rPr>
        <w:t>Near Point of Convergence (NPC) and ocular motility</w:t>
      </w:r>
    </w:p>
    <w:p w14:paraId="090BC935" w14:textId="77777777" w:rsidR="00D93517" w:rsidRPr="001374A6" w:rsidRDefault="00D93517" w:rsidP="00D93517">
      <w:pPr>
        <w:pStyle w:val="ListParagraph"/>
        <w:numPr>
          <w:ilvl w:val="1"/>
          <w:numId w:val="1"/>
        </w:numPr>
        <w:bidi w:val="0"/>
        <w:spacing w:line="480" w:lineRule="auto"/>
        <w:rPr>
          <w:rFonts w:asciiTheme="minorBidi" w:hAnsiTheme="minorBidi"/>
          <w:sz w:val="24"/>
          <w:szCs w:val="24"/>
        </w:rPr>
      </w:pPr>
      <w:r w:rsidRPr="001374A6">
        <w:rPr>
          <w:rFonts w:asciiTheme="minorBidi" w:hAnsiTheme="minorBidi"/>
          <w:sz w:val="24"/>
          <w:szCs w:val="24"/>
        </w:rPr>
        <w:t xml:space="preserve">Stereoacuity (depth perception, </w:t>
      </w:r>
      <w:proofErr w:type="spellStart"/>
      <w:r w:rsidRPr="001374A6">
        <w:rPr>
          <w:rFonts w:asciiTheme="minorBidi" w:hAnsiTheme="minorBidi"/>
          <w:sz w:val="24"/>
          <w:szCs w:val="24"/>
        </w:rPr>
        <w:t>stereofly</w:t>
      </w:r>
      <w:proofErr w:type="spellEnd"/>
      <w:r w:rsidRPr="001374A6">
        <w:rPr>
          <w:rFonts w:asciiTheme="minorBidi" w:hAnsiTheme="minorBidi"/>
          <w:sz w:val="24"/>
          <w:szCs w:val="24"/>
        </w:rPr>
        <w:t xml:space="preserve"> or </w:t>
      </w:r>
      <w:proofErr w:type="spellStart"/>
      <w:r w:rsidRPr="001374A6">
        <w:rPr>
          <w:rFonts w:asciiTheme="minorBidi" w:hAnsiTheme="minorBidi"/>
          <w:sz w:val="24"/>
          <w:szCs w:val="24"/>
        </w:rPr>
        <w:t>stereosmile</w:t>
      </w:r>
      <w:proofErr w:type="spellEnd"/>
      <w:r w:rsidRPr="001374A6">
        <w:rPr>
          <w:rFonts w:asciiTheme="minorBidi" w:hAnsiTheme="minorBidi"/>
          <w:sz w:val="24"/>
          <w:szCs w:val="24"/>
        </w:rPr>
        <w:t>)</w:t>
      </w:r>
    </w:p>
    <w:p w14:paraId="2432B532" w14:textId="77777777" w:rsidR="00D93517" w:rsidRPr="001374A6" w:rsidRDefault="00D93517" w:rsidP="00D93517">
      <w:pPr>
        <w:bidi w:val="0"/>
        <w:spacing w:line="480" w:lineRule="auto"/>
        <w:rPr>
          <w:rFonts w:asciiTheme="minorBidi" w:hAnsiTheme="minorBidi"/>
          <w:sz w:val="24"/>
          <w:szCs w:val="24"/>
        </w:rPr>
      </w:pPr>
      <w:r w:rsidRPr="001374A6">
        <w:rPr>
          <w:rFonts w:asciiTheme="minorBidi" w:hAnsiTheme="minorBidi"/>
          <w:sz w:val="24"/>
          <w:szCs w:val="24"/>
        </w:rPr>
        <w:t xml:space="preserve">Any child who failed a test carried out by a student was re-examined on all vision tests by the supervising optometrist. The supervising optometrist also repeated all near cover tests and NPC exams.  Table 2 lists the referral criteria. It should be noted that the optometrist sometimes referred children with borderline results based on her clinical experience. </w:t>
      </w:r>
    </w:p>
    <w:p w14:paraId="485E08D2" w14:textId="77777777" w:rsidR="00D93517" w:rsidRPr="001374A6" w:rsidRDefault="00D93517" w:rsidP="00D93517">
      <w:pPr>
        <w:autoSpaceDE w:val="0"/>
        <w:autoSpaceDN w:val="0"/>
        <w:bidi w:val="0"/>
        <w:adjustRightInd w:val="0"/>
        <w:spacing w:line="480" w:lineRule="auto"/>
        <w:ind w:left="540"/>
        <w:rPr>
          <w:rFonts w:asciiTheme="minorBidi" w:hAnsiTheme="minorBidi"/>
          <w:sz w:val="24"/>
          <w:szCs w:val="24"/>
        </w:rPr>
      </w:pPr>
      <w:r w:rsidRPr="001374A6">
        <w:rPr>
          <w:rFonts w:asciiTheme="minorBidi" w:hAnsiTheme="minorBidi"/>
          <w:sz w:val="24"/>
          <w:szCs w:val="24"/>
        </w:rPr>
        <w:t xml:space="preserve">Table 2. Referral Criteria for Pediatric Screening. </w:t>
      </w:r>
    </w:p>
    <w:tbl>
      <w:tblPr>
        <w:tblStyle w:val="TableGrid"/>
        <w:tblW w:w="0" w:type="auto"/>
        <w:tblInd w:w="540" w:type="dxa"/>
        <w:tblLook w:val="04A0" w:firstRow="1" w:lastRow="0" w:firstColumn="1" w:lastColumn="0" w:noHBand="0" w:noVBand="1"/>
      </w:tblPr>
      <w:tblGrid>
        <w:gridCol w:w="2369"/>
        <w:gridCol w:w="5387"/>
      </w:tblGrid>
      <w:tr w:rsidR="00D93517" w:rsidRPr="001374A6" w14:paraId="22FBD4D3" w14:textId="77777777" w:rsidTr="0084389A">
        <w:tc>
          <w:tcPr>
            <w:tcW w:w="2425" w:type="dxa"/>
          </w:tcPr>
          <w:p w14:paraId="5A8528F8" w14:textId="77777777" w:rsidR="00D93517" w:rsidRPr="001374A6" w:rsidRDefault="00D93517" w:rsidP="0084389A">
            <w:pPr>
              <w:autoSpaceDE w:val="0"/>
              <w:autoSpaceDN w:val="0"/>
              <w:bidi w:val="0"/>
              <w:adjustRightInd w:val="0"/>
              <w:spacing w:line="480" w:lineRule="auto"/>
              <w:jc w:val="center"/>
              <w:rPr>
                <w:rFonts w:asciiTheme="minorBidi" w:hAnsiTheme="minorBidi"/>
                <w:sz w:val="24"/>
                <w:szCs w:val="24"/>
              </w:rPr>
            </w:pPr>
            <w:r w:rsidRPr="001374A6">
              <w:rPr>
                <w:rFonts w:asciiTheme="minorBidi" w:hAnsiTheme="minorBidi"/>
                <w:sz w:val="24"/>
                <w:szCs w:val="24"/>
              </w:rPr>
              <w:t>Test</w:t>
            </w:r>
          </w:p>
        </w:tc>
        <w:tc>
          <w:tcPr>
            <w:tcW w:w="5665" w:type="dxa"/>
          </w:tcPr>
          <w:p w14:paraId="41819347" w14:textId="77777777" w:rsidR="00D93517" w:rsidRPr="001374A6" w:rsidRDefault="00D93517" w:rsidP="0084389A">
            <w:pPr>
              <w:autoSpaceDE w:val="0"/>
              <w:autoSpaceDN w:val="0"/>
              <w:bidi w:val="0"/>
              <w:adjustRightInd w:val="0"/>
              <w:spacing w:line="480" w:lineRule="auto"/>
              <w:jc w:val="center"/>
              <w:rPr>
                <w:rFonts w:asciiTheme="minorBidi" w:hAnsiTheme="minorBidi"/>
                <w:sz w:val="24"/>
                <w:szCs w:val="24"/>
              </w:rPr>
            </w:pPr>
            <w:r w:rsidRPr="001374A6">
              <w:rPr>
                <w:rFonts w:asciiTheme="minorBidi" w:hAnsiTheme="minorBidi"/>
                <w:sz w:val="24"/>
                <w:szCs w:val="24"/>
              </w:rPr>
              <w:t>Referral criteria</w:t>
            </w:r>
          </w:p>
        </w:tc>
      </w:tr>
      <w:tr w:rsidR="00D93517" w:rsidRPr="001374A6" w14:paraId="215727FC" w14:textId="77777777" w:rsidTr="0084389A">
        <w:tc>
          <w:tcPr>
            <w:tcW w:w="2425" w:type="dxa"/>
          </w:tcPr>
          <w:p w14:paraId="322067D0" w14:textId="77777777" w:rsidR="00D93517" w:rsidRPr="001374A6" w:rsidRDefault="00D93517" w:rsidP="0084389A">
            <w:pPr>
              <w:autoSpaceDE w:val="0"/>
              <w:autoSpaceDN w:val="0"/>
              <w:bidi w:val="0"/>
              <w:adjustRightInd w:val="0"/>
              <w:spacing w:line="480" w:lineRule="auto"/>
              <w:rPr>
                <w:rFonts w:asciiTheme="minorBidi" w:hAnsiTheme="minorBidi"/>
                <w:sz w:val="24"/>
                <w:szCs w:val="24"/>
              </w:rPr>
            </w:pPr>
            <w:r w:rsidRPr="001374A6">
              <w:rPr>
                <w:rFonts w:asciiTheme="minorBidi" w:hAnsiTheme="minorBidi"/>
                <w:sz w:val="24"/>
                <w:szCs w:val="24"/>
              </w:rPr>
              <w:t xml:space="preserve">Distance VA </w:t>
            </w:r>
          </w:p>
        </w:tc>
        <w:tc>
          <w:tcPr>
            <w:tcW w:w="5665" w:type="dxa"/>
          </w:tcPr>
          <w:p w14:paraId="203B6324" w14:textId="77777777" w:rsidR="00D93517" w:rsidRPr="001374A6" w:rsidRDefault="00D93517" w:rsidP="0084389A">
            <w:pPr>
              <w:autoSpaceDE w:val="0"/>
              <w:autoSpaceDN w:val="0"/>
              <w:bidi w:val="0"/>
              <w:adjustRightInd w:val="0"/>
              <w:spacing w:line="480" w:lineRule="auto"/>
              <w:rPr>
                <w:rFonts w:asciiTheme="minorBidi" w:hAnsiTheme="minorBidi"/>
                <w:sz w:val="24"/>
                <w:szCs w:val="24"/>
              </w:rPr>
            </w:pPr>
            <w:r w:rsidRPr="001374A6">
              <w:rPr>
                <w:rFonts w:asciiTheme="minorBidi" w:hAnsiTheme="minorBidi"/>
                <w:sz w:val="24"/>
                <w:szCs w:val="24"/>
              </w:rPr>
              <w:t>6/12 or worse *</w:t>
            </w:r>
          </w:p>
        </w:tc>
      </w:tr>
      <w:tr w:rsidR="00D93517" w:rsidRPr="001374A6" w14:paraId="2E3F9B7A" w14:textId="77777777" w:rsidTr="0084389A">
        <w:tc>
          <w:tcPr>
            <w:tcW w:w="2425" w:type="dxa"/>
          </w:tcPr>
          <w:p w14:paraId="27A5A219" w14:textId="77777777" w:rsidR="00D93517" w:rsidRPr="001374A6" w:rsidRDefault="00D93517" w:rsidP="0084389A">
            <w:pPr>
              <w:autoSpaceDE w:val="0"/>
              <w:autoSpaceDN w:val="0"/>
              <w:bidi w:val="0"/>
              <w:adjustRightInd w:val="0"/>
              <w:spacing w:line="480" w:lineRule="auto"/>
              <w:rPr>
                <w:rFonts w:asciiTheme="minorBidi" w:hAnsiTheme="minorBidi"/>
                <w:sz w:val="24"/>
                <w:szCs w:val="24"/>
              </w:rPr>
            </w:pPr>
            <w:r w:rsidRPr="001374A6">
              <w:rPr>
                <w:rFonts w:asciiTheme="minorBidi" w:hAnsiTheme="minorBidi"/>
                <w:sz w:val="24"/>
                <w:szCs w:val="24"/>
              </w:rPr>
              <w:t xml:space="preserve">Retinoscopy </w:t>
            </w:r>
          </w:p>
        </w:tc>
        <w:tc>
          <w:tcPr>
            <w:tcW w:w="5665" w:type="dxa"/>
          </w:tcPr>
          <w:p w14:paraId="184871BA" w14:textId="77777777" w:rsidR="00D93517" w:rsidRPr="001374A6" w:rsidRDefault="00D93517" w:rsidP="0084389A">
            <w:pPr>
              <w:autoSpaceDE w:val="0"/>
              <w:autoSpaceDN w:val="0"/>
              <w:bidi w:val="0"/>
              <w:adjustRightInd w:val="0"/>
              <w:spacing w:line="480" w:lineRule="auto"/>
              <w:rPr>
                <w:rFonts w:asciiTheme="minorBidi" w:hAnsiTheme="minorBidi"/>
                <w:sz w:val="24"/>
                <w:szCs w:val="24"/>
              </w:rPr>
            </w:pPr>
            <w:r w:rsidRPr="001374A6">
              <w:rPr>
                <w:rFonts w:asciiTheme="minorBidi" w:hAnsiTheme="minorBidi"/>
                <w:sz w:val="24"/>
                <w:szCs w:val="24"/>
              </w:rPr>
              <w:t xml:space="preserve">Sphere &gt;-1.0 D or &gt;+1.5D, </w:t>
            </w:r>
            <w:proofErr w:type="spellStart"/>
            <w:r w:rsidRPr="001374A6">
              <w:rPr>
                <w:rFonts w:asciiTheme="minorBidi" w:hAnsiTheme="minorBidi"/>
                <w:sz w:val="24"/>
                <w:szCs w:val="24"/>
              </w:rPr>
              <w:t>Cyl</w:t>
            </w:r>
            <w:proofErr w:type="spellEnd"/>
            <w:r w:rsidRPr="001374A6">
              <w:rPr>
                <w:rFonts w:asciiTheme="minorBidi" w:hAnsiTheme="minorBidi"/>
                <w:sz w:val="24"/>
                <w:szCs w:val="24"/>
              </w:rPr>
              <w:t xml:space="preserve"> &gt;1.5 D *</w:t>
            </w:r>
          </w:p>
        </w:tc>
      </w:tr>
      <w:tr w:rsidR="00D93517" w:rsidRPr="001374A6" w14:paraId="23299F78" w14:textId="77777777" w:rsidTr="0084389A">
        <w:tc>
          <w:tcPr>
            <w:tcW w:w="2425" w:type="dxa"/>
          </w:tcPr>
          <w:p w14:paraId="593C65EB" w14:textId="77777777" w:rsidR="00D93517" w:rsidRPr="001374A6" w:rsidRDefault="00D93517" w:rsidP="0084389A">
            <w:pPr>
              <w:autoSpaceDE w:val="0"/>
              <w:autoSpaceDN w:val="0"/>
              <w:bidi w:val="0"/>
              <w:adjustRightInd w:val="0"/>
              <w:spacing w:line="480" w:lineRule="auto"/>
              <w:rPr>
                <w:rFonts w:asciiTheme="minorBidi" w:hAnsiTheme="minorBidi"/>
                <w:sz w:val="24"/>
                <w:szCs w:val="24"/>
              </w:rPr>
            </w:pPr>
            <w:r w:rsidRPr="001374A6">
              <w:rPr>
                <w:rFonts w:asciiTheme="minorBidi" w:hAnsiTheme="minorBidi"/>
                <w:sz w:val="24"/>
                <w:szCs w:val="24"/>
              </w:rPr>
              <w:t>Cover test</w:t>
            </w:r>
          </w:p>
        </w:tc>
        <w:tc>
          <w:tcPr>
            <w:tcW w:w="5665" w:type="dxa"/>
          </w:tcPr>
          <w:p w14:paraId="7D1ED6F6" w14:textId="77777777" w:rsidR="00D93517" w:rsidRPr="001374A6" w:rsidRDefault="00D93517" w:rsidP="0084389A">
            <w:pPr>
              <w:autoSpaceDE w:val="0"/>
              <w:autoSpaceDN w:val="0"/>
              <w:bidi w:val="0"/>
              <w:adjustRightInd w:val="0"/>
              <w:spacing w:line="480" w:lineRule="auto"/>
              <w:rPr>
                <w:rFonts w:asciiTheme="minorBidi" w:hAnsiTheme="minorBidi"/>
                <w:sz w:val="24"/>
                <w:szCs w:val="24"/>
              </w:rPr>
            </w:pPr>
            <w:r w:rsidRPr="001374A6">
              <w:rPr>
                <w:rFonts w:asciiTheme="minorBidi" w:hAnsiTheme="minorBidi"/>
                <w:sz w:val="24"/>
                <w:szCs w:val="24"/>
              </w:rPr>
              <w:t xml:space="preserve">Esophoria or tropia (squint) </w:t>
            </w:r>
          </w:p>
        </w:tc>
      </w:tr>
      <w:tr w:rsidR="00D93517" w:rsidRPr="001374A6" w14:paraId="32A409E3" w14:textId="77777777" w:rsidTr="0084389A">
        <w:tc>
          <w:tcPr>
            <w:tcW w:w="2425" w:type="dxa"/>
          </w:tcPr>
          <w:p w14:paraId="0ED77B10" w14:textId="77777777" w:rsidR="00D93517" w:rsidRPr="001374A6" w:rsidRDefault="00D93517" w:rsidP="0084389A">
            <w:pPr>
              <w:autoSpaceDE w:val="0"/>
              <w:autoSpaceDN w:val="0"/>
              <w:bidi w:val="0"/>
              <w:adjustRightInd w:val="0"/>
              <w:spacing w:line="480" w:lineRule="auto"/>
              <w:rPr>
                <w:rFonts w:asciiTheme="minorBidi" w:hAnsiTheme="minorBidi"/>
                <w:sz w:val="24"/>
                <w:szCs w:val="24"/>
              </w:rPr>
            </w:pPr>
            <w:r w:rsidRPr="001374A6">
              <w:rPr>
                <w:rFonts w:asciiTheme="minorBidi" w:hAnsiTheme="minorBidi"/>
                <w:sz w:val="24"/>
                <w:szCs w:val="24"/>
              </w:rPr>
              <w:t>Ocular Motility</w:t>
            </w:r>
          </w:p>
        </w:tc>
        <w:tc>
          <w:tcPr>
            <w:tcW w:w="5665" w:type="dxa"/>
          </w:tcPr>
          <w:p w14:paraId="7B98DEB0" w14:textId="77777777" w:rsidR="00D93517" w:rsidRPr="001374A6" w:rsidRDefault="00D93517" w:rsidP="0084389A">
            <w:pPr>
              <w:autoSpaceDE w:val="0"/>
              <w:autoSpaceDN w:val="0"/>
              <w:bidi w:val="0"/>
              <w:adjustRightInd w:val="0"/>
              <w:spacing w:line="480" w:lineRule="auto"/>
              <w:rPr>
                <w:rFonts w:asciiTheme="minorBidi" w:hAnsiTheme="minorBidi"/>
                <w:sz w:val="24"/>
                <w:szCs w:val="24"/>
              </w:rPr>
            </w:pPr>
            <w:r w:rsidRPr="001374A6">
              <w:rPr>
                <w:rFonts w:asciiTheme="minorBidi" w:hAnsiTheme="minorBidi"/>
                <w:sz w:val="24"/>
                <w:szCs w:val="24"/>
              </w:rPr>
              <w:t>Not equal, proper and full *</w:t>
            </w:r>
          </w:p>
        </w:tc>
      </w:tr>
      <w:tr w:rsidR="00D93517" w:rsidRPr="001374A6" w14:paraId="4B078E55" w14:textId="77777777" w:rsidTr="0084389A">
        <w:tc>
          <w:tcPr>
            <w:tcW w:w="2425" w:type="dxa"/>
          </w:tcPr>
          <w:p w14:paraId="5A1C1E5B" w14:textId="77777777" w:rsidR="00D93517" w:rsidRPr="001374A6" w:rsidRDefault="00D93517" w:rsidP="0084389A">
            <w:pPr>
              <w:autoSpaceDE w:val="0"/>
              <w:autoSpaceDN w:val="0"/>
              <w:bidi w:val="0"/>
              <w:adjustRightInd w:val="0"/>
              <w:spacing w:line="480" w:lineRule="auto"/>
              <w:rPr>
                <w:rFonts w:asciiTheme="minorBidi" w:hAnsiTheme="minorBidi"/>
                <w:sz w:val="24"/>
                <w:szCs w:val="24"/>
              </w:rPr>
            </w:pPr>
            <w:r w:rsidRPr="001374A6">
              <w:rPr>
                <w:rFonts w:asciiTheme="minorBidi" w:hAnsiTheme="minorBidi"/>
                <w:sz w:val="24"/>
                <w:szCs w:val="24"/>
              </w:rPr>
              <w:t xml:space="preserve">NPC </w:t>
            </w:r>
          </w:p>
        </w:tc>
        <w:tc>
          <w:tcPr>
            <w:tcW w:w="5665" w:type="dxa"/>
          </w:tcPr>
          <w:p w14:paraId="03C5818C" w14:textId="77777777" w:rsidR="00D93517" w:rsidRPr="001374A6" w:rsidRDefault="00D93517" w:rsidP="0084389A">
            <w:pPr>
              <w:autoSpaceDE w:val="0"/>
              <w:autoSpaceDN w:val="0"/>
              <w:bidi w:val="0"/>
              <w:adjustRightInd w:val="0"/>
              <w:spacing w:line="480" w:lineRule="auto"/>
              <w:rPr>
                <w:rFonts w:asciiTheme="minorBidi" w:hAnsiTheme="minorBidi"/>
                <w:sz w:val="24"/>
                <w:szCs w:val="24"/>
              </w:rPr>
            </w:pPr>
            <w:r w:rsidRPr="001374A6">
              <w:rPr>
                <w:rFonts w:asciiTheme="minorBidi" w:hAnsiTheme="minorBidi"/>
                <w:sz w:val="24"/>
                <w:szCs w:val="24"/>
              </w:rPr>
              <w:t>10/12 or less</w:t>
            </w:r>
          </w:p>
        </w:tc>
      </w:tr>
      <w:tr w:rsidR="00D93517" w:rsidRPr="001374A6" w14:paraId="15FCAC78" w14:textId="77777777" w:rsidTr="0084389A">
        <w:tc>
          <w:tcPr>
            <w:tcW w:w="2425" w:type="dxa"/>
          </w:tcPr>
          <w:p w14:paraId="7BEC2EBD" w14:textId="77777777" w:rsidR="00D93517" w:rsidRPr="001374A6" w:rsidRDefault="00D93517" w:rsidP="0084389A">
            <w:pPr>
              <w:autoSpaceDE w:val="0"/>
              <w:autoSpaceDN w:val="0"/>
              <w:bidi w:val="0"/>
              <w:adjustRightInd w:val="0"/>
              <w:spacing w:line="480" w:lineRule="auto"/>
              <w:rPr>
                <w:rFonts w:asciiTheme="minorBidi" w:hAnsiTheme="minorBidi"/>
                <w:sz w:val="24"/>
                <w:szCs w:val="24"/>
              </w:rPr>
            </w:pPr>
            <w:r w:rsidRPr="001374A6">
              <w:rPr>
                <w:rFonts w:asciiTheme="minorBidi" w:hAnsiTheme="minorBidi"/>
                <w:sz w:val="24"/>
                <w:szCs w:val="24"/>
              </w:rPr>
              <w:t xml:space="preserve">Stereopsis </w:t>
            </w:r>
          </w:p>
        </w:tc>
        <w:tc>
          <w:tcPr>
            <w:tcW w:w="5665" w:type="dxa"/>
          </w:tcPr>
          <w:p w14:paraId="2EC9FD06" w14:textId="77777777" w:rsidR="00D93517" w:rsidRPr="001374A6" w:rsidRDefault="00D93517" w:rsidP="0084389A">
            <w:pPr>
              <w:autoSpaceDE w:val="0"/>
              <w:autoSpaceDN w:val="0"/>
              <w:bidi w:val="0"/>
              <w:adjustRightInd w:val="0"/>
              <w:spacing w:line="480" w:lineRule="auto"/>
              <w:rPr>
                <w:rFonts w:asciiTheme="minorBidi" w:hAnsiTheme="minorBidi"/>
                <w:sz w:val="24"/>
                <w:szCs w:val="24"/>
              </w:rPr>
            </w:pPr>
            <w:r w:rsidRPr="001374A6">
              <w:rPr>
                <w:rFonts w:asciiTheme="minorBidi" w:hAnsiTheme="minorBidi"/>
                <w:sz w:val="24"/>
                <w:szCs w:val="24"/>
              </w:rPr>
              <w:t>Lower than 100 SOA</w:t>
            </w:r>
          </w:p>
        </w:tc>
      </w:tr>
    </w:tbl>
    <w:p w14:paraId="1971308B" w14:textId="77777777" w:rsidR="00D93517" w:rsidRPr="001374A6" w:rsidRDefault="00D93517" w:rsidP="00D93517">
      <w:pPr>
        <w:autoSpaceDE w:val="0"/>
        <w:autoSpaceDN w:val="0"/>
        <w:bidi w:val="0"/>
        <w:adjustRightInd w:val="0"/>
        <w:spacing w:line="480" w:lineRule="auto"/>
        <w:rPr>
          <w:rFonts w:asciiTheme="minorBidi" w:hAnsiTheme="minorBidi"/>
          <w:sz w:val="24"/>
          <w:szCs w:val="24"/>
        </w:rPr>
      </w:pPr>
      <w:r w:rsidRPr="001374A6">
        <w:rPr>
          <w:rFonts w:asciiTheme="minorBidi" w:hAnsiTheme="minorBidi"/>
          <w:sz w:val="24"/>
          <w:szCs w:val="24"/>
        </w:rPr>
        <w:t>*Child was referred if unable to cooperate with this test</w:t>
      </w:r>
    </w:p>
    <w:p w14:paraId="265FF9C6" w14:textId="77777777" w:rsidR="00D93517" w:rsidRPr="001374A6" w:rsidRDefault="00D93517" w:rsidP="00D93517">
      <w:pPr>
        <w:autoSpaceDE w:val="0"/>
        <w:autoSpaceDN w:val="0"/>
        <w:bidi w:val="0"/>
        <w:adjustRightInd w:val="0"/>
        <w:spacing w:line="480" w:lineRule="auto"/>
        <w:rPr>
          <w:rFonts w:asciiTheme="minorBidi" w:hAnsiTheme="minorBidi"/>
          <w:sz w:val="24"/>
          <w:szCs w:val="24"/>
        </w:rPr>
      </w:pPr>
      <w:r w:rsidRPr="001374A6">
        <w:rPr>
          <w:rFonts w:asciiTheme="minorBidi" w:hAnsiTheme="minorBidi"/>
          <w:sz w:val="24"/>
          <w:szCs w:val="24"/>
        </w:rPr>
        <w:t>VA – visual acuity; NPC – near point of convergence</w:t>
      </w:r>
    </w:p>
    <w:p w14:paraId="4AFDDA06" w14:textId="77777777" w:rsidR="00D93517" w:rsidRPr="001374A6" w:rsidRDefault="00D93517" w:rsidP="00D93517">
      <w:pPr>
        <w:autoSpaceDE w:val="0"/>
        <w:autoSpaceDN w:val="0"/>
        <w:bidi w:val="0"/>
        <w:adjustRightInd w:val="0"/>
        <w:spacing w:line="480" w:lineRule="auto"/>
        <w:rPr>
          <w:rFonts w:asciiTheme="minorBidi" w:hAnsiTheme="minorBidi"/>
          <w:sz w:val="24"/>
          <w:szCs w:val="24"/>
        </w:rPr>
      </w:pPr>
      <w:r w:rsidRPr="001374A6">
        <w:rPr>
          <w:rFonts w:asciiTheme="minorBidi" w:hAnsiTheme="minorBidi"/>
          <w:i/>
          <w:iCs/>
          <w:sz w:val="24"/>
          <w:szCs w:val="24"/>
        </w:rPr>
        <w:lastRenderedPageBreak/>
        <w:t xml:space="preserve">Data analysis: </w:t>
      </w:r>
    </w:p>
    <w:p w14:paraId="07A201C2" w14:textId="77777777" w:rsidR="00D93517" w:rsidRPr="001374A6" w:rsidRDefault="00D93517" w:rsidP="00D93517">
      <w:pPr>
        <w:autoSpaceDE w:val="0"/>
        <w:autoSpaceDN w:val="0"/>
        <w:bidi w:val="0"/>
        <w:adjustRightInd w:val="0"/>
        <w:spacing w:line="480" w:lineRule="auto"/>
        <w:rPr>
          <w:rFonts w:asciiTheme="minorBidi" w:hAnsiTheme="minorBidi"/>
          <w:sz w:val="24"/>
          <w:szCs w:val="24"/>
        </w:rPr>
      </w:pPr>
      <w:bookmarkStart w:id="1" w:name="_Hlk508194911"/>
      <w:r w:rsidRPr="001374A6">
        <w:rPr>
          <w:rFonts w:asciiTheme="minorBidi" w:hAnsiTheme="minorBidi"/>
          <w:sz w:val="24"/>
          <w:szCs w:val="24"/>
        </w:rPr>
        <w:t>Descriptive statistics were used. Continuous variables such as referral rates were presented as proportions with 95% confidence intervals (CI's). Associations between the results of the clinical tests (passed/failed) with</w:t>
      </w:r>
      <w:r w:rsidRPr="001374A6">
        <w:rPr>
          <w:rFonts w:asciiTheme="minorBidi" w:hAnsiTheme="minorBidi"/>
          <w:sz w:val="24"/>
          <w:szCs w:val="24"/>
          <w:rtl/>
        </w:rPr>
        <w:t xml:space="preserve"> </w:t>
      </w:r>
      <w:r w:rsidRPr="001374A6">
        <w:rPr>
          <w:rFonts w:asciiTheme="minorBidi" w:hAnsiTheme="minorBidi"/>
          <w:sz w:val="24"/>
          <w:szCs w:val="24"/>
        </w:rPr>
        <w:t xml:space="preserve">screening locations (preschools vs. MCHC) were analyzed by Chi-squared test. </w:t>
      </w:r>
      <w:r w:rsidRPr="001374A6">
        <w:rPr>
          <w:rFonts w:asciiTheme="minorBidi" w:hAnsiTheme="minorBidi"/>
          <w:sz w:val="24"/>
          <w:szCs w:val="24"/>
          <w:lang w:val="en-GB"/>
        </w:rPr>
        <w:t xml:space="preserve">A two-sided </w:t>
      </w:r>
      <w:r w:rsidRPr="001374A6">
        <w:rPr>
          <w:rFonts w:asciiTheme="minorBidi" w:hAnsiTheme="minorBidi"/>
          <w:i/>
          <w:iCs/>
          <w:sz w:val="24"/>
          <w:szCs w:val="24"/>
          <w:lang w:val="en-GB"/>
        </w:rPr>
        <w:t>P-</w:t>
      </w:r>
      <w:r w:rsidRPr="001374A6">
        <w:rPr>
          <w:rFonts w:asciiTheme="minorBidi" w:hAnsiTheme="minorBidi"/>
          <w:sz w:val="24"/>
          <w:szCs w:val="24"/>
          <w:lang w:val="en-GB"/>
        </w:rPr>
        <w:t xml:space="preserve">value of 0.05 was considered statistically significant for all tests. </w:t>
      </w:r>
      <w:r w:rsidRPr="001374A6">
        <w:rPr>
          <w:rFonts w:asciiTheme="minorBidi" w:hAnsiTheme="minorBidi"/>
          <w:sz w:val="24"/>
          <w:szCs w:val="24"/>
        </w:rPr>
        <w:t xml:space="preserve">Statistical analyses were performed using </w:t>
      </w:r>
      <w:r w:rsidRPr="001374A6">
        <w:rPr>
          <w:rFonts w:asciiTheme="minorBidi" w:hAnsiTheme="minorBidi"/>
          <w:i/>
          <w:iCs/>
          <w:sz w:val="24"/>
          <w:szCs w:val="24"/>
        </w:rPr>
        <w:t>SPSS</w:t>
      </w:r>
      <w:r w:rsidRPr="001374A6">
        <w:rPr>
          <w:rFonts w:asciiTheme="minorBidi" w:hAnsiTheme="minorBidi"/>
          <w:sz w:val="24"/>
          <w:szCs w:val="24"/>
        </w:rPr>
        <w:t xml:space="preserve"> 23.0 software (</w:t>
      </w:r>
      <w:r w:rsidRPr="001374A6">
        <w:rPr>
          <w:rFonts w:asciiTheme="minorBidi" w:hAnsiTheme="minorBidi"/>
          <w:sz w:val="24"/>
          <w:szCs w:val="24"/>
          <w:shd w:val="clear" w:color="auto" w:fill="FFFFFF"/>
        </w:rPr>
        <w:t>Chicago, IL 60606-6307</w:t>
      </w:r>
      <w:r w:rsidRPr="001374A6">
        <w:rPr>
          <w:rFonts w:asciiTheme="minorBidi" w:hAnsiTheme="minorBidi"/>
          <w:sz w:val="24"/>
          <w:szCs w:val="24"/>
        </w:rPr>
        <w:t>0</w:t>
      </w:r>
      <w:r w:rsidRPr="001374A6">
        <w:rPr>
          <w:rFonts w:asciiTheme="minorBidi" w:hAnsiTheme="minorBidi"/>
          <w:sz w:val="24"/>
          <w:szCs w:val="24"/>
          <w:rtl/>
        </w:rPr>
        <w:t>(</w:t>
      </w:r>
      <w:r w:rsidRPr="001374A6">
        <w:rPr>
          <w:rFonts w:asciiTheme="minorBidi" w:hAnsiTheme="minorBidi"/>
          <w:sz w:val="24"/>
          <w:szCs w:val="24"/>
        </w:rPr>
        <w:t>.</w:t>
      </w:r>
      <w:bookmarkEnd w:id="1"/>
    </w:p>
    <w:p w14:paraId="6D2A2054" w14:textId="77777777" w:rsidR="00D93517" w:rsidRPr="001374A6" w:rsidRDefault="00D93517" w:rsidP="00D93517">
      <w:pPr>
        <w:autoSpaceDE w:val="0"/>
        <w:autoSpaceDN w:val="0"/>
        <w:bidi w:val="0"/>
        <w:adjustRightInd w:val="0"/>
        <w:spacing w:line="480" w:lineRule="auto"/>
        <w:rPr>
          <w:rFonts w:asciiTheme="minorBidi" w:hAnsiTheme="minorBidi"/>
          <w:sz w:val="24"/>
          <w:szCs w:val="24"/>
        </w:rPr>
      </w:pPr>
      <w:r w:rsidRPr="001374A6">
        <w:rPr>
          <w:rFonts w:asciiTheme="minorBidi" w:hAnsiTheme="minorBidi"/>
          <w:b/>
          <w:bCs/>
          <w:sz w:val="24"/>
          <w:szCs w:val="24"/>
        </w:rPr>
        <w:t>Results</w:t>
      </w:r>
      <w:r w:rsidRPr="001374A6">
        <w:rPr>
          <w:rFonts w:asciiTheme="minorBidi" w:hAnsiTheme="minorBidi"/>
          <w:sz w:val="24"/>
          <w:szCs w:val="24"/>
        </w:rPr>
        <w:t xml:space="preserve">: </w:t>
      </w:r>
    </w:p>
    <w:p w14:paraId="042720D8" w14:textId="77777777" w:rsidR="00D93517" w:rsidRPr="001374A6" w:rsidRDefault="00D93517" w:rsidP="00D93517">
      <w:pPr>
        <w:autoSpaceDE w:val="0"/>
        <w:autoSpaceDN w:val="0"/>
        <w:bidi w:val="0"/>
        <w:adjustRightInd w:val="0"/>
        <w:spacing w:line="480" w:lineRule="auto"/>
        <w:rPr>
          <w:rFonts w:asciiTheme="minorBidi" w:hAnsiTheme="minorBidi"/>
          <w:sz w:val="24"/>
          <w:szCs w:val="24"/>
        </w:rPr>
      </w:pPr>
      <w:r w:rsidRPr="001374A6">
        <w:rPr>
          <w:rFonts w:asciiTheme="minorBidi" w:hAnsiTheme="minorBidi"/>
          <w:sz w:val="24"/>
          <w:szCs w:val="24"/>
        </w:rPr>
        <w:tab/>
        <w:t xml:space="preserve">At most locations, four simultaneous screening stations were created using portable screening kits. A team of HACO students ran each station. The supervising optometrist rotated through the stations. Each complete screening procedure took approximately 20-30 minutes, including re-examination by the optometrist. When possible, communication with children was in their native language: Hebrew, Arabic or Yiddish. </w:t>
      </w:r>
    </w:p>
    <w:p w14:paraId="6C23A85A" w14:textId="77777777" w:rsidR="00D93517" w:rsidRPr="001374A6" w:rsidRDefault="00D93517" w:rsidP="00D93517">
      <w:pPr>
        <w:autoSpaceDE w:val="0"/>
        <w:autoSpaceDN w:val="0"/>
        <w:bidi w:val="0"/>
        <w:adjustRightInd w:val="0"/>
        <w:spacing w:line="480" w:lineRule="auto"/>
        <w:ind w:firstLine="720"/>
        <w:rPr>
          <w:rFonts w:asciiTheme="minorBidi" w:hAnsiTheme="minorBidi"/>
          <w:sz w:val="24"/>
          <w:szCs w:val="24"/>
        </w:rPr>
      </w:pPr>
      <w:r w:rsidRPr="001374A6">
        <w:rPr>
          <w:rFonts w:asciiTheme="minorBidi" w:hAnsiTheme="minorBidi"/>
          <w:sz w:val="24"/>
          <w:szCs w:val="24"/>
        </w:rPr>
        <w:t xml:space="preserve">From Dec. 2016 to June. 2018, vision screening was carried out at 24 MCHCs and 40 preschools. The service was provided to 1476 children. The children were between 3-5 years of age, although the exact age, gender and the results of each procedure were not recorded as part of the stage 1 retrospective project. In stage 2 the mean age was 4.3 ± 0.4. </w:t>
      </w:r>
    </w:p>
    <w:p w14:paraId="2EFE7324" w14:textId="77777777" w:rsidR="00D93517" w:rsidRPr="001374A6" w:rsidRDefault="00D93517" w:rsidP="00D93517">
      <w:pPr>
        <w:autoSpaceDE w:val="0"/>
        <w:autoSpaceDN w:val="0"/>
        <w:bidi w:val="0"/>
        <w:adjustRightInd w:val="0"/>
        <w:spacing w:line="480" w:lineRule="auto"/>
        <w:ind w:firstLine="720"/>
        <w:rPr>
          <w:rFonts w:asciiTheme="minorBidi" w:hAnsiTheme="minorBidi"/>
          <w:strike/>
          <w:sz w:val="24"/>
          <w:szCs w:val="24"/>
        </w:rPr>
      </w:pPr>
      <w:bookmarkStart w:id="2" w:name="_Hlk517619278"/>
      <w:r w:rsidRPr="001374A6">
        <w:rPr>
          <w:rFonts w:asciiTheme="minorBidi" w:hAnsiTheme="minorBidi"/>
          <w:sz w:val="24"/>
          <w:szCs w:val="24"/>
        </w:rPr>
        <w:t xml:space="preserve">The prevalence of children referred for failing each examination in the screening protocol is shown in Table 3. Note that children may have been referred for failing more than one exam, so the sum of children failing each exam is larger than the overall failure rate. Like previous studies, more </w:t>
      </w:r>
      <w:r w:rsidRPr="001374A6">
        <w:rPr>
          <w:rFonts w:asciiTheme="minorBidi" w:hAnsiTheme="minorBidi"/>
          <w:sz w:val="24"/>
          <w:szCs w:val="24"/>
        </w:rPr>
        <w:lastRenderedPageBreak/>
        <w:t xml:space="preserve">children failed in the VA and/or retinoscopy exams than tests for binocular vision.  There was no statistically significant difference in the overall referral rate between preschools and MCHCs. Nor was there a difference in the referral rate for retinoscopy or binocular vision. </w:t>
      </w:r>
    </w:p>
    <w:bookmarkEnd w:id="2"/>
    <w:p w14:paraId="7293FC06" w14:textId="77777777" w:rsidR="00D93517" w:rsidRPr="001374A6" w:rsidRDefault="00D93517" w:rsidP="00D93517">
      <w:pPr>
        <w:pStyle w:val="HTMLPreformatted"/>
        <w:spacing w:line="480" w:lineRule="auto"/>
        <w:rPr>
          <w:rFonts w:asciiTheme="minorBidi" w:eastAsiaTheme="minorHAnsi" w:hAnsiTheme="minorBidi" w:cstheme="minorBidi"/>
          <w:sz w:val="24"/>
          <w:szCs w:val="24"/>
        </w:rPr>
      </w:pPr>
      <w:r w:rsidRPr="001374A6">
        <w:rPr>
          <w:rFonts w:asciiTheme="minorBidi" w:eastAsiaTheme="minorHAnsi" w:hAnsiTheme="minorBidi" w:cstheme="minorBidi"/>
          <w:sz w:val="24"/>
          <w:szCs w:val="24"/>
        </w:rPr>
        <w:t>Table 3. P</w:t>
      </w:r>
      <w:r w:rsidRPr="001374A6">
        <w:rPr>
          <w:rFonts w:asciiTheme="minorBidi" w:hAnsiTheme="minorBidi" w:cstheme="minorBidi"/>
          <w:sz w:val="24"/>
          <w:szCs w:val="24"/>
        </w:rPr>
        <w:t>revalence of Referral by Portion of Screening</w:t>
      </w:r>
    </w:p>
    <w:tbl>
      <w:tblPr>
        <w:tblW w:w="0" w:type="auto"/>
        <w:tblCellMar>
          <w:left w:w="0" w:type="dxa"/>
          <w:right w:w="0" w:type="dxa"/>
        </w:tblCellMar>
        <w:tblLook w:val="04A0" w:firstRow="1" w:lastRow="0" w:firstColumn="1" w:lastColumn="0" w:noHBand="0" w:noVBand="1"/>
      </w:tblPr>
      <w:tblGrid>
        <w:gridCol w:w="3109"/>
        <w:gridCol w:w="1417"/>
        <w:gridCol w:w="1276"/>
        <w:gridCol w:w="1559"/>
        <w:gridCol w:w="923"/>
      </w:tblGrid>
      <w:tr w:rsidR="00D93517" w:rsidRPr="001374A6" w14:paraId="0EBC268C" w14:textId="77777777" w:rsidTr="0084389A">
        <w:trPr>
          <w:trHeight w:val="250"/>
        </w:trPr>
        <w:tc>
          <w:tcPr>
            <w:tcW w:w="31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2386B1D" w14:textId="77777777" w:rsidR="00D93517" w:rsidRPr="001374A6" w:rsidRDefault="00D93517" w:rsidP="0084389A">
            <w:pPr>
              <w:bidi w:val="0"/>
              <w:rPr>
                <w:rFonts w:asciiTheme="minorBidi" w:hAnsiTheme="minorBidi"/>
                <w:sz w:val="24"/>
                <w:szCs w:val="24"/>
              </w:rPr>
            </w:pP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97217F8" w14:textId="77777777" w:rsidR="00D93517" w:rsidRPr="001374A6" w:rsidRDefault="00D93517" w:rsidP="0084389A">
            <w:pPr>
              <w:pStyle w:val="HTMLPreformatted"/>
              <w:spacing w:line="480" w:lineRule="auto"/>
              <w:rPr>
                <w:rFonts w:asciiTheme="minorBidi" w:eastAsiaTheme="minorHAnsi" w:hAnsiTheme="minorBidi" w:cstheme="minorBidi"/>
                <w:sz w:val="24"/>
                <w:szCs w:val="24"/>
              </w:rPr>
            </w:pPr>
            <w:r w:rsidRPr="001374A6">
              <w:rPr>
                <w:rFonts w:asciiTheme="minorBidi" w:hAnsiTheme="minorBidi" w:cstheme="minorBidi"/>
                <w:sz w:val="24"/>
                <w:szCs w:val="24"/>
              </w:rPr>
              <w:t>Total</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90E562A"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MCHC</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60C77A0"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Preschool</w:t>
            </w:r>
          </w:p>
        </w:tc>
        <w:tc>
          <w:tcPr>
            <w:tcW w:w="923" w:type="dxa"/>
            <w:tcBorders>
              <w:top w:val="single" w:sz="8" w:space="0" w:color="auto"/>
              <w:left w:val="nil"/>
              <w:bottom w:val="single" w:sz="8" w:space="0" w:color="auto"/>
              <w:right w:val="single" w:sz="8" w:space="0" w:color="auto"/>
            </w:tcBorders>
          </w:tcPr>
          <w:p w14:paraId="07562453"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 xml:space="preserve"> P (</w:t>
            </w:r>
            <w:r w:rsidRPr="001374A6">
              <w:rPr>
                <w:rFonts w:asciiTheme="minorBidi" w:hAnsiTheme="minorBidi" w:cstheme="minorBidi"/>
                <w:sz w:val="24"/>
                <w:szCs w:val="24"/>
                <w:lang w:val="el-GR"/>
              </w:rPr>
              <w:t>χ²</w:t>
            </w:r>
            <w:r w:rsidRPr="001374A6">
              <w:rPr>
                <w:rFonts w:asciiTheme="minorBidi" w:hAnsiTheme="minorBidi" w:cstheme="minorBidi"/>
                <w:sz w:val="24"/>
                <w:szCs w:val="24"/>
              </w:rPr>
              <w:t>)</w:t>
            </w:r>
          </w:p>
        </w:tc>
      </w:tr>
      <w:tr w:rsidR="00D93517" w:rsidRPr="001374A6" w14:paraId="1D9123C1" w14:textId="77777777" w:rsidTr="0084389A">
        <w:trPr>
          <w:trHeight w:val="250"/>
        </w:trPr>
        <w:tc>
          <w:tcPr>
            <w:tcW w:w="31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1F8AA5"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Number of Children Examined</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4C16C836"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1476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210BAB84"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581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14:paraId="57BFB002"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873</w:t>
            </w:r>
          </w:p>
        </w:tc>
        <w:tc>
          <w:tcPr>
            <w:tcW w:w="923" w:type="dxa"/>
            <w:tcBorders>
              <w:top w:val="nil"/>
              <w:left w:val="nil"/>
              <w:bottom w:val="single" w:sz="8" w:space="0" w:color="auto"/>
              <w:right w:val="single" w:sz="8" w:space="0" w:color="auto"/>
            </w:tcBorders>
          </w:tcPr>
          <w:p w14:paraId="6FD01A62"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0.33</w:t>
            </w:r>
          </w:p>
        </w:tc>
      </w:tr>
      <w:tr w:rsidR="00D93517" w:rsidRPr="001374A6" w14:paraId="7AFE7C48" w14:textId="77777777" w:rsidTr="0084389A">
        <w:trPr>
          <w:trHeight w:val="250"/>
        </w:trPr>
        <w:tc>
          <w:tcPr>
            <w:tcW w:w="31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156A38"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Total referred N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2498CEA5"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353 (24%)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153C63CA"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124 (21%)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14:paraId="48CCF9AD"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224 (26%)</w:t>
            </w:r>
          </w:p>
        </w:tc>
        <w:tc>
          <w:tcPr>
            <w:tcW w:w="923" w:type="dxa"/>
            <w:tcBorders>
              <w:top w:val="nil"/>
              <w:left w:val="nil"/>
              <w:bottom w:val="single" w:sz="8" w:space="0" w:color="auto"/>
              <w:right w:val="single" w:sz="8" w:space="0" w:color="auto"/>
            </w:tcBorders>
          </w:tcPr>
          <w:p w14:paraId="7A932BA6"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0.22</w:t>
            </w:r>
          </w:p>
        </w:tc>
      </w:tr>
      <w:tr w:rsidR="00D93517" w:rsidRPr="001374A6" w14:paraId="03828074" w14:textId="77777777" w:rsidTr="0084389A">
        <w:trPr>
          <w:trHeight w:val="250"/>
        </w:trPr>
        <w:tc>
          <w:tcPr>
            <w:tcW w:w="31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F2D576"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Referred for Non-cooperation N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71F3DAB8"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52 (4%)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331AB04B"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24 (4%)</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14:paraId="21E9F302"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28 (3%)</w:t>
            </w:r>
          </w:p>
        </w:tc>
        <w:tc>
          <w:tcPr>
            <w:tcW w:w="923" w:type="dxa"/>
            <w:tcBorders>
              <w:top w:val="nil"/>
              <w:left w:val="nil"/>
              <w:bottom w:val="single" w:sz="8" w:space="0" w:color="auto"/>
              <w:right w:val="single" w:sz="8" w:space="0" w:color="auto"/>
            </w:tcBorders>
          </w:tcPr>
          <w:p w14:paraId="271C4B53" w14:textId="77777777" w:rsidR="00D93517" w:rsidRPr="001374A6" w:rsidRDefault="00D93517" w:rsidP="0084389A">
            <w:pPr>
              <w:pStyle w:val="HTMLPreformatted"/>
              <w:spacing w:line="480" w:lineRule="auto"/>
              <w:rPr>
                <w:rFonts w:asciiTheme="minorBidi" w:hAnsiTheme="minorBidi" w:cstheme="minorBidi"/>
                <w:sz w:val="24"/>
                <w:szCs w:val="24"/>
              </w:rPr>
            </w:pPr>
          </w:p>
        </w:tc>
      </w:tr>
      <w:tr w:rsidR="00D93517" w:rsidRPr="001374A6" w14:paraId="57993771" w14:textId="77777777" w:rsidTr="0084389A">
        <w:trPr>
          <w:trHeight w:val="250"/>
        </w:trPr>
        <w:tc>
          <w:tcPr>
            <w:tcW w:w="31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8698B0"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Referred for failure in Ret/VA N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069C7AC6"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217 (15%)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3C1EA172"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70 (12%)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14:paraId="7E246FFF"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145 (17%)</w:t>
            </w:r>
          </w:p>
        </w:tc>
        <w:tc>
          <w:tcPr>
            <w:tcW w:w="923" w:type="dxa"/>
            <w:tcBorders>
              <w:top w:val="nil"/>
              <w:left w:val="nil"/>
              <w:bottom w:val="single" w:sz="8" w:space="0" w:color="auto"/>
              <w:right w:val="single" w:sz="8" w:space="0" w:color="auto"/>
            </w:tcBorders>
          </w:tcPr>
          <w:p w14:paraId="56E984D1"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0.19</w:t>
            </w:r>
          </w:p>
        </w:tc>
      </w:tr>
      <w:tr w:rsidR="00D93517" w:rsidRPr="001374A6" w14:paraId="42079332" w14:textId="77777777" w:rsidTr="0084389A">
        <w:trPr>
          <w:trHeight w:val="250"/>
        </w:trPr>
        <w:tc>
          <w:tcPr>
            <w:tcW w:w="31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F0CB02"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Referred for Failure in Binocular N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4FA8E737"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103 (7%)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1DBAFA81"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38 (7%)</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14:paraId="2928F251"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65 (7%)</w:t>
            </w:r>
          </w:p>
        </w:tc>
        <w:tc>
          <w:tcPr>
            <w:tcW w:w="923" w:type="dxa"/>
            <w:tcBorders>
              <w:top w:val="nil"/>
              <w:left w:val="nil"/>
              <w:bottom w:val="single" w:sz="8" w:space="0" w:color="auto"/>
              <w:right w:val="single" w:sz="8" w:space="0" w:color="auto"/>
            </w:tcBorders>
          </w:tcPr>
          <w:p w14:paraId="22E4E3E5" w14:textId="77777777" w:rsidR="00D93517" w:rsidRPr="001374A6" w:rsidRDefault="00D93517" w:rsidP="0084389A">
            <w:pPr>
              <w:pStyle w:val="HTMLPreformatted"/>
              <w:spacing w:line="480" w:lineRule="auto"/>
              <w:rPr>
                <w:rFonts w:asciiTheme="minorBidi" w:hAnsiTheme="minorBidi" w:cstheme="minorBidi"/>
                <w:sz w:val="24"/>
                <w:szCs w:val="24"/>
              </w:rPr>
            </w:pPr>
            <w:r w:rsidRPr="001374A6">
              <w:rPr>
                <w:rFonts w:asciiTheme="minorBidi" w:hAnsiTheme="minorBidi" w:cstheme="minorBidi"/>
                <w:sz w:val="24"/>
                <w:szCs w:val="24"/>
              </w:rPr>
              <w:t>0.32</w:t>
            </w:r>
          </w:p>
        </w:tc>
      </w:tr>
    </w:tbl>
    <w:p w14:paraId="37A6B82F" w14:textId="77777777" w:rsidR="00D93517" w:rsidRPr="001374A6" w:rsidRDefault="00D93517" w:rsidP="00D93517">
      <w:pPr>
        <w:pStyle w:val="HTMLPreformatted"/>
        <w:spacing w:line="480" w:lineRule="auto"/>
        <w:rPr>
          <w:rFonts w:asciiTheme="minorBidi" w:eastAsiaTheme="minorHAnsi" w:hAnsiTheme="minorBidi" w:cstheme="minorBidi"/>
          <w:sz w:val="24"/>
          <w:szCs w:val="24"/>
        </w:rPr>
      </w:pPr>
    </w:p>
    <w:p w14:paraId="11F4C6CF" w14:textId="77777777" w:rsidR="00D93517" w:rsidRPr="001374A6" w:rsidRDefault="00D93517" w:rsidP="00D93517">
      <w:pPr>
        <w:pStyle w:val="HTMLPreformatted"/>
        <w:spacing w:line="480" w:lineRule="auto"/>
        <w:rPr>
          <w:rFonts w:asciiTheme="minorBidi" w:eastAsiaTheme="minorHAnsi" w:hAnsiTheme="minorBidi" w:cstheme="minorBidi"/>
          <w:color w:val="FF0000"/>
          <w:sz w:val="24"/>
          <w:szCs w:val="24"/>
        </w:rPr>
      </w:pPr>
      <w:r w:rsidRPr="001374A6">
        <w:rPr>
          <w:rFonts w:asciiTheme="minorBidi" w:eastAsiaTheme="minorHAnsi" w:hAnsiTheme="minorBidi" w:cstheme="minorBidi"/>
          <w:sz w:val="24"/>
          <w:szCs w:val="24"/>
        </w:rPr>
        <w:t xml:space="preserve">Compliance was measured in stage 2 of this project on a different cohort of children from the same MCHC district. Altogether, 1249 parents were contacted, of whom 66% scheduled appointments for their children at MCHC. The main reason parents gave for not scheduling an appointment was the inconvenient hours (42.9%), followed by the child having already had an eye </w:t>
      </w:r>
      <w:r w:rsidRPr="001374A6">
        <w:rPr>
          <w:rFonts w:asciiTheme="minorBidi" w:eastAsiaTheme="minorHAnsi" w:hAnsiTheme="minorBidi" w:cstheme="minorBidi"/>
          <w:sz w:val="24"/>
          <w:szCs w:val="24"/>
        </w:rPr>
        <w:lastRenderedPageBreak/>
        <w:t xml:space="preserve">exam (37.6%), not interested (15.1%) and other. Of the children who had scheduled study appointments, 310 (48.5%) presented at the MCHCs, giving an overall screening rate of 24.8%.  </w:t>
      </w:r>
    </w:p>
    <w:p w14:paraId="145B1033" w14:textId="77777777" w:rsidR="00B45CF2" w:rsidRDefault="00B45CF2" w:rsidP="00D93517">
      <w:pPr>
        <w:bidi w:val="0"/>
      </w:pPr>
    </w:p>
    <w:p w14:paraId="1B88CEC8" w14:textId="77777777" w:rsidR="00B45CF2" w:rsidRDefault="00B45CF2" w:rsidP="00D93517">
      <w:pPr>
        <w:bidi w:val="0"/>
      </w:pPr>
    </w:p>
    <w:p w14:paraId="43579967" w14:textId="77777777" w:rsidR="00B45CF2" w:rsidRPr="00B45CF2" w:rsidRDefault="00B45CF2" w:rsidP="00B45CF2">
      <w:pPr>
        <w:pStyle w:val="EndNoteBibliography"/>
        <w:bidi w:val="0"/>
      </w:pPr>
      <w:r>
        <w:fldChar w:fldCharType="begin"/>
      </w:r>
      <w:r>
        <w:instrText xml:space="preserve"> ADDIN EN.REFLIST </w:instrText>
      </w:r>
      <w:r>
        <w:fldChar w:fldCharType="separate"/>
      </w:r>
      <w:r w:rsidRPr="00B45CF2">
        <w:t>1.</w:t>
      </w:r>
      <w:r w:rsidRPr="00B45CF2">
        <w:tab/>
        <w:t>Vision in Preschoolers Study G. Does assessing eye alignment along with refractive error or visual acuity increase sensitivity for detection of strabismus in preschool vision screening? Invest Ophthalmol Vis Sci. 2007;48(7):3115-25.</w:t>
      </w:r>
    </w:p>
    <w:p w14:paraId="767B9D9B" w14:textId="6D9FC051" w:rsidR="00D93517" w:rsidRDefault="00B45CF2" w:rsidP="00B45CF2">
      <w:pPr>
        <w:bidi w:val="0"/>
      </w:pPr>
      <w:r>
        <w:fldChar w:fldCharType="end"/>
      </w:r>
    </w:p>
    <w:sectPr w:rsidR="00D93517" w:rsidSect="00D56C3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15C3"/>
    <w:multiLevelType w:val="hybridMultilevel"/>
    <w:tmpl w:val="6B4CA852"/>
    <w:lvl w:ilvl="0" w:tplc="BFCC6DA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vestafpzs2v1evvwkxwaebwwrr5wdsdr0e&quot;&gt;Pediatric vision screening&lt;record-ids&gt;&lt;item&gt;13&lt;/item&gt;&lt;/record-ids&gt;&lt;/item&gt;&lt;/Libraries&gt;"/>
  </w:docVars>
  <w:rsids>
    <w:rsidRoot w:val="00D93517"/>
    <w:rsid w:val="00291987"/>
    <w:rsid w:val="009253A8"/>
    <w:rsid w:val="00B45CF2"/>
    <w:rsid w:val="00B66C7E"/>
    <w:rsid w:val="00D56C35"/>
    <w:rsid w:val="00D935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7B0C"/>
  <w15:chartTrackingRefBased/>
  <w15:docId w15:val="{C77E5A7F-C336-46D6-B117-458B27D1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93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D93517"/>
    <w:rPr>
      <w:rFonts w:ascii="Courier New" w:eastAsiaTheme="minorEastAsia" w:hAnsi="Courier New" w:cs="Courier New"/>
      <w:sz w:val="20"/>
      <w:szCs w:val="20"/>
    </w:rPr>
  </w:style>
  <w:style w:type="paragraph" w:styleId="ListParagraph">
    <w:name w:val="List Paragraph"/>
    <w:basedOn w:val="Normal"/>
    <w:uiPriority w:val="34"/>
    <w:qFormat/>
    <w:rsid w:val="00D93517"/>
    <w:pPr>
      <w:ind w:left="720"/>
      <w:contextualSpacing/>
    </w:pPr>
    <w:rPr>
      <w:rFonts w:eastAsiaTheme="minorEastAsia"/>
    </w:rPr>
  </w:style>
  <w:style w:type="table" w:styleId="TableGrid">
    <w:name w:val="Table Grid"/>
    <w:basedOn w:val="TableNormal"/>
    <w:uiPriority w:val="39"/>
    <w:rsid w:val="00D9351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45CF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45CF2"/>
    <w:rPr>
      <w:rFonts w:ascii="Calibri" w:hAnsi="Calibri" w:cs="Calibri"/>
      <w:noProof/>
    </w:rPr>
  </w:style>
  <w:style w:type="paragraph" w:customStyle="1" w:styleId="EndNoteBibliography">
    <w:name w:val="EndNote Bibliography"/>
    <w:basedOn w:val="Normal"/>
    <w:link w:val="EndNoteBibliographyChar"/>
    <w:rsid w:val="00B45CF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45CF2"/>
    <w:rPr>
      <w:rFonts w:ascii="Calibri" w:hAnsi="Calibri" w:cs="Calibri"/>
      <w:noProof/>
    </w:rPr>
  </w:style>
  <w:style w:type="character" w:styleId="Hyperlink">
    <w:name w:val="Hyperlink"/>
    <w:basedOn w:val="DefaultParagraphFont"/>
    <w:uiPriority w:val="99"/>
    <w:unhideWhenUsed/>
    <w:rsid w:val="00B45CF2"/>
    <w:rPr>
      <w:color w:val="0563C1" w:themeColor="hyperlink"/>
      <w:u w:val="single"/>
    </w:rPr>
  </w:style>
  <w:style w:type="character" w:styleId="UnresolvedMention">
    <w:name w:val="Unresolved Mention"/>
    <w:basedOn w:val="DefaultParagraphFont"/>
    <w:uiPriority w:val="99"/>
    <w:semiHidden/>
    <w:unhideWhenUsed/>
    <w:rsid w:val="00B45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dc:creator>
  <cp:keywords/>
  <dc:description/>
  <cp:lastModifiedBy>Ariela Gordon-Shaag</cp:lastModifiedBy>
  <cp:revision>3</cp:revision>
  <dcterms:created xsi:type="dcterms:W3CDTF">2019-07-28T16:45:00Z</dcterms:created>
  <dcterms:modified xsi:type="dcterms:W3CDTF">2019-08-22T04:56:00Z</dcterms:modified>
</cp:coreProperties>
</file>