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34DC0" w14:textId="3E0D3C8E" w:rsidR="00B85CA2" w:rsidRPr="00C96930" w:rsidRDefault="00B85CA2" w:rsidP="00B91781">
      <w:pPr>
        <w:pStyle w:val="1"/>
        <w:spacing w:beforeLines="0" w:before="0"/>
      </w:pPr>
      <w:bookmarkStart w:id="0" w:name="_GoBack"/>
      <w:bookmarkEnd w:id="0"/>
      <w:r w:rsidRPr="00C96930">
        <w:t>Supplementa</w:t>
      </w:r>
      <w:r w:rsidR="00B91781" w:rsidRPr="00C96930">
        <w:t>l</w:t>
      </w:r>
      <w:r w:rsidRPr="00C96930">
        <w:t xml:space="preserve"> methods</w:t>
      </w:r>
    </w:p>
    <w:p w14:paraId="51027DB5" w14:textId="77777777" w:rsidR="00C56803" w:rsidRPr="00C96930" w:rsidRDefault="00C56803" w:rsidP="00F83434">
      <w:pPr>
        <w:pStyle w:val="2"/>
        <w:spacing w:beforeLines="0" w:before="0"/>
        <w:rPr>
          <w:lang w:val="en-US"/>
        </w:rPr>
      </w:pPr>
      <w:r w:rsidRPr="00C96930">
        <w:rPr>
          <w:lang w:val="en-US"/>
        </w:rPr>
        <w:t>Astrocyte cultures</w:t>
      </w:r>
    </w:p>
    <w:p w14:paraId="679D79D2" w14:textId="5E2B03EA" w:rsidR="00C56803" w:rsidRPr="00C96930" w:rsidRDefault="00C56803" w:rsidP="00F83434">
      <w:pPr>
        <w:pStyle w:val="a6"/>
        <w:ind w:firstLine="600"/>
        <w:rPr>
          <w:lang w:val="en-US"/>
        </w:rPr>
      </w:pPr>
      <w:r w:rsidRPr="00C96930">
        <w:rPr>
          <w:lang w:val="en-US"/>
        </w:rPr>
        <w:t xml:space="preserve">Astrocytes were obtained from the brain cortices of </w:t>
      </w:r>
      <w:r w:rsidR="00C96930" w:rsidRPr="00C96930">
        <w:rPr>
          <w:lang w:val="en-US"/>
        </w:rPr>
        <w:t>fetal</w:t>
      </w:r>
      <w:r w:rsidRPr="00C96930">
        <w:rPr>
          <w:lang w:val="en-US"/>
        </w:rPr>
        <w:t xml:space="preserve"> mice (age, E17–18) according to a previously described procedure</w:t>
      </w:r>
      <w:r w:rsidR="00DE1C92" w:rsidRPr="00C96930">
        <w:rPr>
          <w:lang w:val="en-US"/>
        </w:rPr>
        <w:t xml:space="preserve"> </w:t>
      </w:r>
      <w:r w:rsidRPr="00C96930">
        <w:rPr>
          <w:lang w:val="en-US"/>
        </w:rPr>
        <w:fldChar w:fldCharType="begin"/>
      </w:r>
      <w:r w:rsidR="00DE1C92" w:rsidRPr="00C96930">
        <w:rPr>
          <w:lang w:val="en-US"/>
        </w:rPr>
        <w:instrText xml:space="preserve"> ADDIN ZOTERO_ITEM CSL_CITATION {"citationID":"qLn9Vr6w","properties":{"formattedCitation":"[1]","plainCitation":"[1]","noteIndex":0},"citationItems":[{"id":"WQcVkzdZ/v36p89gL","uris":["http://zotero.org/users/local/3f0hPrfg/items/LWDUW8EA"],"uri":["http://zotero.org/users/local/3f0hPrfg/items/LWDUW8EA"],"itemData":{"id":327,"type":"article-journal","title":"Differentiation driven by granulocyte-macrophage colony-stimulating factor endows microglia with interferon-gamma-independent antigen presentation function","container-title":"Journal of Neuroimmunology","page":"87-95","volume":"42","issue":"1","source":"PubMed","abstract":"The antigen presentation function of microglial cells was analyzed after differentiation in neonatal mouse brain cell cultures supplemented either with macrophage (M) or granulocyte/macrophage (GM) colony-stimulating factor (CSF). The cells separated from concomitant astrocytes in both culture systems turned out to exhibit cytological characteristics of macrophages and bore MAC-1 and F4/80 markers in a similar way. When comparatively tested for accessory cell function, only microglia developed with GM-CSF were able to efficiently induce antigen-directed proliferation of a series of helper T cell lines representing both the TH1 and TH2 subtype. Antigenic T cell activation by this microglia population was performed without prior stimulation and exceeded that of M-CSF-dependently grown microglial cells, even if those had been pretreated with interferon-gamma (IFN-gamma). In contrast to such difference in function, low cell surface expression of MHC class II or intercellular adhesion molecule-1 determinants proved to coincide in both populations. Correlating with the capacity for antigen presentation, expression of membrane-bound interleukin-1 (IL1)--a costimulatory signal for TH2 cells--was augmented significantly in GM-CSF-grown microglia. In parallel, the interaction only of this microglia population with a selected TH1 cell line was accompanied by maximal release of T cell-stimulating factor, a cytokine recently identified as an IL1-analogous second signal for TH1 cells. Thus, a developmental process is suggested which produces a form of microglia specialized in antigen presentation and thereby acting uncoupled from IFN-gamma.","ISSN":"0165-5728","journalAbbreviation":"J. Neuroimmunol.","language":"eng","author":[{"family":"Fischer","given":"H. G."},{"family":"Nitzgen","given":"B."},{"family":"Germann","given":"T."},{"family":"Degitz","given":"K."},{"family":"Däubener","given":"W."},{"family":"Hadding","given":"U."}],"issued":{"date-parts":[["1993",1]]}}}],"schema":"https://github.com/citation-style-language/schema/raw/master/csl-citation.json"} </w:instrText>
      </w:r>
      <w:r w:rsidRPr="00C96930">
        <w:rPr>
          <w:lang w:val="en-US"/>
        </w:rPr>
        <w:fldChar w:fldCharType="separate"/>
      </w:r>
      <w:r w:rsidR="001220F9" w:rsidRPr="00C96930">
        <w:rPr>
          <w:rFonts w:ascii="Times New Roman" w:hAnsi="Times New Roman"/>
          <w:lang w:val="en-US"/>
        </w:rPr>
        <w:t>[1]</w:t>
      </w:r>
      <w:r w:rsidRPr="00C96930">
        <w:rPr>
          <w:lang w:val="en-US"/>
        </w:rPr>
        <w:fldChar w:fldCharType="end"/>
      </w:r>
      <w:r w:rsidRPr="00C96930">
        <w:rPr>
          <w:lang w:val="en-US"/>
        </w:rPr>
        <w:t xml:space="preserve">, with some modifications. The </w:t>
      </w:r>
      <w:r w:rsidR="00C96930" w:rsidRPr="00C96930">
        <w:rPr>
          <w:lang w:val="en-US"/>
        </w:rPr>
        <w:t>fetal</w:t>
      </w:r>
      <w:r w:rsidRPr="00C96930">
        <w:rPr>
          <w:lang w:val="en-US"/>
        </w:rPr>
        <w:t xml:space="preserve"> mice were decapitated, and their brains were removed. After removing the meninges, the cortices were mechanically dissociated in Dulbecco's Modified Eagle’s Medium (DMEM; Sigma-Aldrich, St Louis, MO, USA) containing 0.25% trypsin and 0.01% DNase to obtain a single-cell suspension. After incubation at 37°C for 10 min, the dissociated cells were washed and suspended in DMEM/F-12 (Gibco-BRL, Grand Island, NY, USA) supplemented with penicillin-streptomycin (100 U/ml penicillin and 100 µg/mL streptomycin; Sigma-Aldrich), 10% </w:t>
      </w:r>
      <w:r w:rsidR="00C96930" w:rsidRPr="00C96930">
        <w:rPr>
          <w:lang w:val="en-US"/>
        </w:rPr>
        <w:t>fetal</w:t>
      </w:r>
      <w:r w:rsidRPr="00C96930">
        <w:rPr>
          <w:lang w:val="en-US"/>
        </w:rPr>
        <w:t xml:space="preserve"> bovine serum (FBS; Columbia Biosciences, Columbia, MD, USA), and G-5 Supplement (Gibco-BRL). The cells were plated in 75-cm</w:t>
      </w:r>
      <w:r w:rsidRPr="00C96930">
        <w:rPr>
          <w:vertAlign w:val="superscript"/>
          <w:lang w:val="en-US"/>
        </w:rPr>
        <w:t>2</w:t>
      </w:r>
      <w:r w:rsidRPr="00C96930">
        <w:rPr>
          <w:lang w:val="en-US"/>
        </w:rPr>
        <w:t xml:space="preserve"> flasks (density, 2 × 10</w:t>
      </w:r>
      <w:r w:rsidRPr="00C96930">
        <w:rPr>
          <w:vertAlign w:val="superscript"/>
          <w:lang w:val="en-US"/>
        </w:rPr>
        <w:t>6</w:t>
      </w:r>
      <w:r w:rsidRPr="00C96930">
        <w:rPr>
          <w:lang w:val="en-US"/>
        </w:rPr>
        <w:t xml:space="preserve"> cells/flask) and then incubated at 37°C in humidified 5% CO2 (95% air atmosphere). The culture medium was changed every 3 days until the cultures reached confluence, usually after 7–8 days. Astrocyte monolayers were washed and dissociated with 0.25% trypsin–EDTA solution. The dissociated astrocytes were centrifuged (4°C, 500 × </w:t>
      </w:r>
      <w:r w:rsidRPr="00C96930">
        <w:rPr>
          <w:i/>
          <w:iCs/>
          <w:lang w:val="en-US"/>
        </w:rPr>
        <w:t>g</w:t>
      </w:r>
      <w:r w:rsidRPr="00C96930">
        <w:rPr>
          <w:lang w:val="en-US"/>
        </w:rPr>
        <w:t>, 5 min), washed in DMEM/F-12 supplemented with 10% FBS and G-5 Supplement, and then reseeded in 24-well plates at a density of 2 × 10</w:t>
      </w:r>
      <w:r w:rsidRPr="00C96930">
        <w:rPr>
          <w:vertAlign w:val="superscript"/>
          <w:lang w:val="en-US"/>
        </w:rPr>
        <w:t>5</w:t>
      </w:r>
      <w:r w:rsidRPr="00C96930">
        <w:rPr>
          <w:lang w:val="en-US"/>
        </w:rPr>
        <w:t xml:space="preserve"> cells/well. Primary astrocytes </w:t>
      </w:r>
      <w:proofErr w:type="gramStart"/>
      <w:r w:rsidRPr="00C96930">
        <w:rPr>
          <w:lang w:val="en-US"/>
        </w:rPr>
        <w:t>were allowed to</w:t>
      </w:r>
      <w:proofErr w:type="gramEnd"/>
      <w:r w:rsidRPr="00C96930">
        <w:rPr>
          <w:lang w:val="en-US"/>
        </w:rPr>
        <w:t xml:space="preserve"> grow for 16 h before being infected. Approximately 95% of the cultured cells were identified as astrocytes based on glial fibrillary acidic protein staining positivity, as determined by a previously described immunofluorescence assay</w:t>
      </w:r>
      <w:r w:rsidR="00DE1C92" w:rsidRPr="00C96930">
        <w:rPr>
          <w:lang w:val="en-US"/>
        </w:rPr>
        <w:t xml:space="preserve"> </w:t>
      </w:r>
      <w:r w:rsidRPr="00C96930">
        <w:rPr>
          <w:lang w:val="en-US"/>
        </w:rPr>
        <w:fldChar w:fldCharType="begin"/>
      </w:r>
      <w:r w:rsidR="00DE1C92" w:rsidRPr="00C96930">
        <w:rPr>
          <w:lang w:val="en-US"/>
        </w:rPr>
        <w:instrText xml:space="preserve"> ADDIN ZOTERO_ITEM CSL_CITATION {"citationID":"PzO78bq9","properties":{"formattedCitation":"[2]","plainCitation":"[2]","noteIndex":0},"citationItems":[{"id":"WQcVkzdZ/vh107nfy","uris":["http://zotero.org/users/local/3f0hPrfg/items/4NF5R6T3"],"uri":["http://zotero.org/users/local/3f0hPrfg/items/4NF5R6T3"],"itemData":{"id":979,"type":"article-journal","title":"Transcriptional profiling of Toll-like receptor 2-deficient primary murine brain cells during Toxoplasma gondii infection","container-title":"PLOS ONE","page":"e0187703","volume":"12","issue":"11","source":"PLoS Journals","abstract":"Background Toxoplasma gondii is capable of persisting in the brain, although it is efficiently eliminated by cellular immune responses in most other sites. While Toll-like receptor 2 (TLR2) reportedly plays important roles in protective immunity against the parasite, the relationship between neurological disorders induced by T. gondii infection and TLR2 function in the brain remains controversial with many unknowns. In this study, primary cultured astrocytes, microglia, neurons, and peritoneal macrophages obtained from wild-type and TLR2-deficient mice were exposed to T. gondii tachyzoites. To characterize TLR2-dependent functional pathways activated in response to T. gondii infection, gene expression of different cell types was profiled by RNA sequencing.   Results During T. gondii infection, a total of 611, 777, 385, and 1105 genes were upregulated in astrocytes, microglia, neurons, and macrophages, respectively, while 163, 1207, 158, and 1274 genes were downregulated, respectively, in a TLR2-dependent manner. Overrepresented Gene Ontology (GO) terms for TLR2-dependently upregulated genes were associated with immune and stress responses in astrocytes, immune responses and developmental processes in microglia, metabolic processes and immune responses in neurons, and metabolic processes and gene expression in macrophages. Overrepresented GO terms for downregulated genes included ion transport and behavior in astrocytes, cell cycle and cell division in microglia, metabolic processes in neurons, and response to stimulus, signaling and cell motility in macrophages.   Conclusions To our knowledge, this is the first transcriptomic study of TLR2 function across different cell types during T. gondii infection. Results of RNA-sequencing demonstrated roles for TLR2 varied by cell type during T. gondii infection. Our findings facilitate understanding of the detailed relationship between TLR2 and T. gondii infection, and elucidate mechanisms underlying neurological changes during infection.","DOI":"10.1371/journal.pone.0187703","ISSN":"1932-6203","journalAbbreviation":"PLOS ONE","author":[{"family":"Umeda","given":"Kousuke"},{"family":"Tanaka","given":"Sachi"},{"family":"Ihara","given":"Fumiaki"},{"family":"Yamagishi","given":"Junya"},{"family":"Suzuki","given":"Yutaka"},{"family":"Nishikawa","given":"Yoshifumi"}],"issued":{"date-parts":[["2017",11,14]]}}}],"schema":"https://github.com/citation-style-language/schema/raw/master/csl-citation.json"} </w:instrText>
      </w:r>
      <w:r w:rsidRPr="00C96930">
        <w:rPr>
          <w:lang w:val="en-US"/>
        </w:rPr>
        <w:fldChar w:fldCharType="separate"/>
      </w:r>
      <w:r w:rsidR="001220F9" w:rsidRPr="00C96930">
        <w:rPr>
          <w:rFonts w:ascii="Times New Roman" w:hAnsi="Times New Roman"/>
          <w:lang w:val="en-US"/>
        </w:rPr>
        <w:t>[2]</w:t>
      </w:r>
      <w:r w:rsidRPr="00C96930">
        <w:rPr>
          <w:lang w:val="en-US"/>
        </w:rPr>
        <w:fldChar w:fldCharType="end"/>
      </w:r>
      <w:r w:rsidRPr="00C96930">
        <w:rPr>
          <w:lang w:val="en-US"/>
        </w:rPr>
        <w:t>.</w:t>
      </w:r>
    </w:p>
    <w:p w14:paraId="1F574ACD" w14:textId="11F08376" w:rsidR="00C56803" w:rsidRPr="00C96930" w:rsidRDefault="00C56803" w:rsidP="00F83434">
      <w:pPr>
        <w:pStyle w:val="2"/>
        <w:spacing w:before="360"/>
        <w:rPr>
          <w:lang w:val="en-US"/>
        </w:rPr>
      </w:pPr>
      <w:bookmarkStart w:id="1" w:name="_Hlk522031952"/>
      <w:r w:rsidRPr="00C96930">
        <w:rPr>
          <w:lang w:val="en-US"/>
        </w:rPr>
        <w:lastRenderedPageBreak/>
        <w:t>Microglial cultures</w:t>
      </w:r>
      <w:bookmarkEnd w:id="1"/>
    </w:p>
    <w:p w14:paraId="72DD6852" w14:textId="7E987A2A" w:rsidR="00C56803" w:rsidRPr="00C96930" w:rsidRDefault="00C56803" w:rsidP="00F83434">
      <w:pPr>
        <w:pStyle w:val="a6"/>
        <w:ind w:firstLine="600"/>
        <w:rPr>
          <w:lang w:val="en-US"/>
        </w:rPr>
      </w:pPr>
      <w:r w:rsidRPr="00C96930">
        <w:rPr>
          <w:lang w:val="en-US"/>
        </w:rPr>
        <w:t xml:space="preserve">Microglial cells were obtained using a procedure </w:t>
      </w:r>
      <w:proofErr w:type="gramStart"/>
      <w:r w:rsidRPr="00C96930">
        <w:rPr>
          <w:lang w:val="en-US"/>
        </w:rPr>
        <w:t>similar to</w:t>
      </w:r>
      <w:proofErr w:type="gramEnd"/>
      <w:r w:rsidRPr="00C96930">
        <w:rPr>
          <w:lang w:val="en-US"/>
        </w:rPr>
        <w:t xml:space="preserve"> that used for astrocytes, with some modifications. Dissociated brain cells were washed and suspended in DMEM/F-12 supplemented with penicillin-streptomycin, 10% FBS and 10 ng/ml of granulocyte–macrophage colony-stimulating factor (R&amp;D Systems, Minneapolis, MN, USA). The cells were plated in 75-cm</w:t>
      </w:r>
      <w:r w:rsidRPr="00C96930">
        <w:rPr>
          <w:vertAlign w:val="superscript"/>
          <w:lang w:val="en-US"/>
        </w:rPr>
        <w:t>2</w:t>
      </w:r>
      <w:r w:rsidRPr="00C96930">
        <w:rPr>
          <w:lang w:val="en-US"/>
        </w:rPr>
        <w:t xml:space="preserve"> flasks (density, 4 × 10</w:t>
      </w:r>
      <w:r w:rsidRPr="00C96930">
        <w:rPr>
          <w:vertAlign w:val="superscript"/>
          <w:lang w:val="en-US"/>
        </w:rPr>
        <w:t>6</w:t>
      </w:r>
      <w:r w:rsidRPr="00C96930">
        <w:rPr>
          <w:lang w:val="en-US"/>
        </w:rPr>
        <w:t xml:space="preserve"> cells/flask)</w:t>
      </w:r>
      <w:r w:rsidR="00687214">
        <w:rPr>
          <w:lang w:val="en-US"/>
        </w:rPr>
        <w:t>,</w:t>
      </w:r>
      <w:r w:rsidRPr="00C96930">
        <w:rPr>
          <w:lang w:val="en-US"/>
        </w:rPr>
        <w:t xml:space="preserve"> and the culture medium was changed every 3 days. After 10–11 days of incubation, the microglial cells were detached from the astrocyte monolayer by pipetting. Suspended cells were centrifuged and reseeded in 24-well plates (density, 2 × 10</w:t>
      </w:r>
      <w:r w:rsidRPr="00C96930">
        <w:rPr>
          <w:vertAlign w:val="superscript"/>
          <w:lang w:val="en-US"/>
        </w:rPr>
        <w:t>5</w:t>
      </w:r>
      <w:r w:rsidRPr="00C96930">
        <w:rPr>
          <w:lang w:val="en-US"/>
        </w:rPr>
        <w:t xml:space="preserve"> cells/well). Primary microglial cells </w:t>
      </w:r>
      <w:proofErr w:type="gramStart"/>
      <w:r w:rsidRPr="00C96930">
        <w:rPr>
          <w:lang w:val="en-US"/>
        </w:rPr>
        <w:t>were allowed to</w:t>
      </w:r>
      <w:proofErr w:type="gramEnd"/>
      <w:r w:rsidRPr="00C96930">
        <w:rPr>
          <w:lang w:val="en-US"/>
        </w:rPr>
        <w:t xml:space="preserve"> grow for 16 h before being infected. Approximately 95% of the cultured cells were identified as microglia based on positive staining for CD11b via flow cytometry, as previously described</w:t>
      </w:r>
      <w:r w:rsidR="004D180C" w:rsidRPr="00C96930">
        <w:rPr>
          <w:lang w:val="en-US"/>
        </w:rPr>
        <w:t xml:space="preserve"> </w:t>
      </w:r>
      <w:r w:rsidRPr="00C96930">
        <w:rPr>
          <w:lang w:val="en-US"/>
        </w:rPr>
        <w:fldChar w:fldCharType="begin"/>
      </w:r>
      <w:r w:rsidR="004D180C" w:rsidRPr="00C96930">
        <w:rPr>
          <w:lang w:val="en-US"/>
        </w:rPr>
        <w:instrText xml:space="preserve"> ADDIN ZOTERO_ITEM CSL_CITATION {"citationID":"0qufhRsB","properties":{"formattedCitation":"[2]","plainCitation":"[2]","noteIndex":0},"citationItems":[{"id":"WQcVkzdZ/vh107nfy","uris":["http://zotero.org/users/local/3f0hPrfg/items/4NF5R6T3"],"uri":["http://zotero.org/users/local/3f0hPrfg/items/4NF5R6T3"],"itemData":{"id":979,"type":"article-journal","title":"Transcriptional profiling of Toll-like receptor 2-deficient primary murine brain cells during Toxoplasma gondii infection","container-title":"PLOS ONE","page":"e0187703","volume":"12","issue":"11","source":"PLoS Journals","abstract":"Background Toxoplasma gondii is capable of persisting in the brain, although it is efficiently eliminated by cellular immune responses in most other sites. While Toll-like receptor 2 (TLR2) reportedly plays important roles in protective immunity against the parasite, the relationship between neurological disorders induced by T. gondii infection and TLR2 function in the brain remains controversial with many unknowns. In this study, primary cultured astrocytes, microglia, neurons, and peritoneal macrophages obtained from wild-type and TLR2-deficient mice were exposed to T. gondii tachyzoites. To characterize TLR2-dependent functional pathways activated in response to T. gondii infection, gene expression of different cell types was profiled by RNA sequencing.   Results During T. gondii infection, a total of 611, 777, 385, and 1105 genes were upregulated in astrocytes, microglia, neurons, and macrophages, respectively, while 163, 1207, 158, and 1274 genes were downregulated, respectively, in a TLR2-dependent manner. Overrepresented Gene Ontology (GO) terms for TLR2-dependently upregulated genes were associated with immune and stress responses in astrocytes, immune responses and developmental processes in microglia, metabolic processes and immune responses in neurons, and metabolic processes and gene expression in macrophages. Overrepresented GO terms for downregulated genes included ion transport and behavior in astrocytes, cell cycle and cell division in microglia, metabolic processes in neurons, and response to stimulus, signaling and cell motility in macrophages.   Conclusions To our knowledge, this is the first transcriptomic study of TLR2 function across different cell types during T. gondii infection. Results of RNA-sequencing demonstrated roles for TLR2 varied by cell type during T. gondii infection. Our findings facilitate understanding of the detailed relationship between TLR2 and T. gondii infection, and elucidate mechanisms underlying neurological changes during infection.","DOI":"10.1371/journal.pone.0187703","ISSN":"1932-6203","journalAbbreviation":"PLOS ONE","author":[{"family":"Umeda","given":"Kousuke"},{"family":"Tanaka","given":"Sachi"},{"family":"Ihara","given":"Fumiaki"},{"family":"Yamagishi","given":"Junya"},{"family":"Suzuki","given":"Yutaka"},{"family":"Nishikawa","given":"Yoshifumi"}],"issued":{"date-parts":[["2017",11,14]]}}}],"schema":"https://github.com/citation-style-language/schema/raw/master/csl-citation.json"} </w:instrText>
      </w:r>
      <w:r w:rsidRPr="00C96930">
        <w:rPr>
          <w:lang w:val="en-US"/>
        </w:rPr>
        <w:fldChar w:fldCharType="separate"/>
      </w:r>
      <w:r w:rsidR="001220F9" w:rsidRPr="00C96930">
        <w:rPr>
          <w:rFonts w:ascii="Times New Roman" w:hAnsi="Times New Roman"/>
          <w:lang w:val="en-US"/>
        </w:rPr>
        <w:t>[2]</w:t>
      </w:r>
      <w:r w:rsidRPr="00C96930">
        <w:rPr>
          <w:lang w:val="en-US"/>
        </w:rPr>
        <w:fldChar w:fldCharType="end"/>
      </w:r>
      <w:r w:rsidRPr="00C96930">
        <w:rPr>
          <w:lang w:val="en-US"/>
        </w:rPr>
        <w:t>.</w:t>
      </w:r>
    </w:p>
    <w:p w14:paraId="32F8076D" w14:textId="5E203567" w:rsidR="00C56803" w:rsidRPr="00C96930" w:rsidRDefault="00C56803" w:rsidP="00F83434">
      <w:pPr>
        <w:pStyle w:val="2"/>
        <w:spacing w:before="360"/>
        <w:rPr>
          <w:lang w:val="en-US"/>
        </w:rPr>
      </w:pPr>
      <w:r w:rsidRPr="00C96930">
        <w:rPr>
          <w:lang w:val="en-US"/>
        </w:rPr>
        <w:t>Neuron cultures</w:t>
      </w:r>
    </w:p>
    <w:p w14:paraId="7041C154" w14:textId="435F87C2" w:rsidR="00C56803" w:rsidRPr="00C96930" w:rsidRDefault="00C56803" w:rsidP="00F83434">
      <w:pPr>
        <w:pStyle w:val="a6"/>
        <w:ind w:firstLine="600"/>
        <w:rPr>
          <w:lang w:val="en-US"/>
        </w:rPr>
      </w:pPr>
      <w:r w:rsidRPr="00C96930">
        <w:rPr>
          <w:lang w:val="en-US"/>
        </w:rPr>
        <w:t>Neurons were obtained according to a previously described procedure</w:t>
      </w:r>
      <w:r w:rsidR="004D180C" w:rsidRPr="00C96930">
        <w:rPr>
          <w:lang w:val="en-US"/>
        </w:rPr>
        <w:t xml:space="preserve"> </w:t>
      </w:r>
      <w:r w:rsidRPr="00C96930">
        <w:rPr>
          <w:lang w:val="en-US"/>
        </w:rPr>
        <w:fldChar w:fldCharType="begin"/>
      </w:r>
      <w:r w:rsidR="004D180C" w:rsidRPr="00C96930">
        <w:rPr>
          <w:lang w:val="en-US"/>
        </w:rPr>
        <w:instrText xml:space="preserve"> ADDIN ZOTERO_ITEM CSL_CITATION {"citationID":"fc2mDYxZ","properties":{"formattedCitation":"[3]","plainCitation":"[3]","noteIndex":0},"citationItems":[{"id":"WQcVkzdZ/txYrZPcV","uris":["http://zotero.org/users/local/3f0hPrfg/items/AS4U443N"],"uri":["http://zotero.org/users/local/3f0hPrfg/items/AS4U443N"],"itemData":{"id":258,"type":"article-journal","title":"Preparation of Dissociated Mouse Cortical Neuron Cultures","container-title":"Journal of Visualized Experiments : JoVE","issue":"10","source":"PubMed Central","abstract":"This video will guide you through the process for generating cortical neuronal cultures from late embryo and early postnatal mouse brain. These cultures can be used for a variety of applications including immunocytochemistry, biochemistry, electrophysiology, calcium and sodium imaging, protein and/or RNA isolation. These cultures also provide a platform to study the neuronal development of transgenic animals that carry a late embryonic or postnatal lethal gene mutation. The procedure is relatively straight forward, requires some experience in tissue culture technique and should not take longer than two to three hours if you are properly prepared. Careful separation of the cortical rind from the thalamo-cortical fiber tract will reduce the number of unwanted non-neuronal cells. To increase yields of neuronal cells triturate the pieces of the cortical tissue gently after the enzyme incubation step. This is imperative as it prevents unnecessary injury to cells and premature neuronal cell death. Since these cultures are maintained in the absence of glia feeder cells, they also offer an added advantage of growing cultures enriched in neurons.","URL":"http://www.ncbi.nlm.nih.gov/pmc/articles/PMC2557074/","DOI":"10.3791/562","ISSN":"1940-087X","journalAbbreviation":"J Vis Exp","author":[{"family":"Hilgenberg","given":"Lutz G. W."},{"family":"Smith","given":"Martin A."}],"issued":{"date-parts":[["2007",12,19]]},"accessed":{"date-parts":[["2017",4,24]]}}}],"schema":"https://github.com/citation-style-language/schema/raw/master/csl-citation.json"} </w:instrText>
      </w:r>
      <w:r w:rsidRPr="00C96930">
        <w:rPr>
          <w:lang w:val="en-US"/>
        </w:rPr>
        <w:fldChar w:fldCharType="separate"/>
      </w:r>
      <w:r w:rsidR="001220F9" w:rsidRPr="00C96930">
        <w:rPr>
          <w:rFonts w:ascii="Times New Roman" w:hAnsi="Times New Roman"/>
          <w:lang w:val="en-US"/>
        </w:rPr>
        <w:t>[3]</w:t>
      </w:r>
      <w:r w:rsidRPr="00C96930">
        <w:rPr>
          <w:lang w:val="en-US"/>
        </w:rPr>
        <w:fldChar w:fldCharType="end"/>
      </w:r>
      <w:r w:rsidRPr="00C96930">
        <w:rPr>
          <w:lang w:val="en-US"/>
        </w:rPr>
        <w:t>, with some modifications. Brain cells were suspended in DMEM/F-12 supplemented with penicillin-streptomycin and B27 supplement (Gibco-BRL), and then plated in 24-well plates (density, 1 × 10</w:t>
      </w:r>
      <w:r w:rsidRPr="00C96930">
        <w:rPr>
          <w:vertAlign w:val="superscript"/>
          <w:lang w:val="en-US"/>
        </w:rPr>
        <w:t>6</w:t>
      </w:r>
      <w:r w:rsidRPr="00C96930">
        <w:rPr>
          <w:lang w:val="en-US"/>
        </w:rPr>
        <w:t xml:space="preserve"> cells/well). Culture medium was changed every 3 days. Primary neurons </w:t>
      </w:r>
      <w:proofErr w:type="gramStart"/>
      <w:r w:rsidRPr="00C96930">
        <w:rPr>
          <w:lang w:val="en-US"/>
        </w:rPr>
        <w:t>were allowed to</w:t>
      </w:r>
      <w:proofErr w:type="gramEnd"/>
      <w:r w:rsidRPr="00C96930">
        <w:rPr>
          <w:lang w:val="en-US"/>
        </w:rPr>
        <w:t xml:space="preserve"> grow for 8 days before being infected.</w:t>
      </w:r>
    </w:p>
    <w:p w14:paraId="5048D31D" w14:textId="62CE5E6E" w:rsidR="00472A55" w:rsidRPr="00C96930" w:rsidRDefault="00472A55" w:rsidP="00F83434">
      <w:pPr>
        <w:pStyle w:val="2"/>
        <w:spacing w:before="360"/>
        <w:rPr>
          <w:lang w:val="en-US"/>
        </w:rPr>
      </w:pPr>
      <w:r w:rsidRPr="00C96930">
        <w:rPr>
          <w:lang w:val="en-US"/>
        </w:rPr>
        <w:t xml:space="preserve">Reverse transcription quantitative PCR (RT-qPCR) for brain tissue analysis </w:t>
      </w:r>
    </w:p>
    <w:p w14:paraId="15D4447D" w14:textId="6981D183" w:rsidR="00DF419D" w:rsidRPr="00C96930" w:rsidRDefault="00472A55" w:rsidP="00F83434">
      <w:pPr>
        <w:pStyle w:val="a6"/>
        <w:ind w:firstLine="600"/>
        <w:rPr>
          <w:lang w:val="en-US"/>
        </w:rPr>
      </w:pPr>
      <w:r w:rsidRPr="00C96930">
        <w:rPr>
          <w:lang w:val="en-US"/>
        </w:rPr>
        <w:t>Reactions were performed using the following parameters: 2 min at 50°C, 10 min at 95°C, 40 cycles of 15 s at 95°C, and 1 min at 60°C, followed by a dissociation step from 60°C to 95°C to check for gene-specific amplification. Amplification, data acquisi</w:t>
      </w:r>
      <w:r w:rsidRPr="00C96930">
        <w:rPr>
          <w:lang w:val="en-US"/>
        </w:rPr>
        <w:lastRenderedPageBreak/>
        <w:t>tion and data analysis were performed in an ABI Prism 7900HT Sequence Detection System (Applied Biosystems, Foster City, CA, USA). The calculated cycle threshold (C</w:t>
      </w:r>
      <w:r w:rsidRPr="00C96930">
        <w:rPr>
          <w:vertAlign w:val="subscript"/>
          <w:lang w:val="en-US"/>
        </w:rPr>
        <w:t>t</w:t>
      </w:r>
      <w:r w:rsidRPr="00C96930">
        <w:rPr>
          <w:lang w:val="en-US"/>
        </w:rPr>
        <w:t>) data were normalized to the expression level of the internal control gene (</w:t>
      </w:r>
      <w:proofErr w:type="spellStart"/>
      <w:r w:rsidR="00E02F6F" w:rsidRPr="00C96930">
        <w:rPr>
          <w:i/>
          <w:iCs/>
          <w:lang w:val="en-US"/>
        </w:rPr>
        <w:t>Actb</w:t>
      </w:r>
      <w:proofErr w:type="spellEnd"/>
      <w:r w:rsidRPr="00C96930">
        <w:rPr>
          <w:lang w:val="en-US"/>
        </w:rPr>
        <w:t xml:space="preserve">) and then </w:t>
      </w:r>
      <w:r w:rsidR="00687214" w:rsidRPr="00C96930">
        <w:rPr>
          <w:lang w:val="en-US"/>
        </w:rPr>
        <w:t>analy</w:t>
      </w:r>
      <w:r w:rsidR="00687214">
        <w:rPr>
          <w:lang w:val="en-US"/>
        </w:rPr>
        <w:t>z</w:t>
      </w:r>
      <w:r w:rsidR="00687214" w:rsidRPr="00C96930">
        <w:rPr>
          <w:lang w:val="en-US"/>
        </w:rPr>
        <w:t xml:space="preserve">ed </w:t>
      </w:r>
      <w:r w:rsidRPr="00C96930">
        <w:rPr>
          <w:lang w:val="en-US"/>
        </w:rPr>
        <w:t>using the 2</w:t>
      </w:r>
      <w:r w:rsidRPr="00C96930">
        <w:rPr>
          <w:vertAlign w:val="superscript"/>
          <w:lang w:val="en-US"/>
        </w:rPr>
        <w:t>-ΔΔCt</w:t>
      </w:r>
      <w:r w:rsidRPr="00C96930">
        <w:rPr>
          <w:lang w:val="en-US"/>
        </w:rPr>
        <w:t xml:space="preserve"> method</w:t>
      </w:r>
      <w:r w:rsidR="007215A5" w:rsidRPr="00C96930">
        <w:rPr>
          <w:lang w:val="en-US"/>
        </w:rPr>
        <w:t xml:space="preserve"> </w:t>
      </w:r>
      <w:r w:rsidR="00F83434" w:rsidRPr="00C96930">
        <w:rPr>
          <w:lang w:val="en-US"/>
        </w:rPr>
        <w:fldChar w:fldCharType="begin"/>
      </w:r>
      <w:r w:rsidR="00F83434" w:rsidRPr="00C96930">
        <w:rPr>
          <w:lang w:val="en-US"/>
        </w:rPr>
        <w:instrText xml:space="preserve"> ADDIN ZOTERO_ITEM CSL_CITATION {"citationID":"7NGFpKfM","properties":{"formattedCitation":"[4]","plainCitation":"[4]","noteIndex":0},"citationItems":[{"id":865,"uris":["http://zotero.org/users/3811490/items/URIXG5C4"],"uri":["http://zotero.org/users/3811490/items/URIXG5C4"],"itemData":{"id":865,"type":"article-journal","title":"CCR5 Controls Immune and Metabolic Functions during Toxoplasma gondii Infection","container-title":"PLoS ONE","volume":"9","issue":"8","source":"PubMed Central","abstract":"CCR5, an important receptor related to cell recruitment and inflammation, is expressed during experimental Toxoplasma gondii infection. However, its role in the immunopathology of toxoplasmosis is not clearly defined yet. Thus, we inoculated WT and CCR5-/- mice with a sub lethal dose of the parasite by oral route. CCR5-/- mice were extremely susceptible to infection, presenting higher parasite load and lower tissue expression of IL-12p40, IFN-γ, TNF, IL-6, iNOS, Foxp3, T-bet, GATA-3 and PPARα. Although both groups presented inflammation in the liver with prominent neutrophil infiltration, CCR5-/- mice had extensive tissue damage with hepatocyte vacuolization, steatosis, elevated serum triglycerides and transaminases. PPARα agonist Gemfibrozil improved the vacuolization but did not rescue CCR5-/- infected mice from high serum triglycerides levels and enhanced mortality. We also found intense inflammation in the ileum of CCR5-/- infected mice, with epithelial ulceration, augmented CD4 and decreased frequency of NK cells in the gut lamina propria. Most interestingly, these findings were accompanied by an outstanding accumulation of neutrophils in the ileum, which seemed to be involved in the gut immunopathology, once the depletion of these cells was accompanied by reduced local damage. Altogether, these data demonstrated that CCR5 is essential to the control of T. gondii infection and to maintain the metabolic, hepatic and intestinal integrity. These findings add novel information on the disease pathogenesis and may be relevant for directing future approaches to the treatment of multi-deregulated diseases.","URL":"https://www.ncbi.nlm.nih.gov/pmc/articles/PMC4132074/","DOI":"10.1371/journal.pone.0104736","ISSN":"1932-6203","note":"PMID: 25119429\nPMCID: PMC4132074","journalAbbreviation":"PLoS One","author":[{"family":"Bonfá","given":"Giuliano"},{"family":"Benevides","given":"Luciana"},{"family":"Souza","given":"Maria do Carmo"},{"family":"Fonseca","given":"Denise Morais"},{"family":"Mineo","given":"Tiago Wilson Patriarca"},{"family":"Rossi","given":"Marcos Antônio"},{"family":"Silva","given":"Neide Maria"},{"family":"Silva","given":"João Santana"},{"family":"Barros Cardoso","given":"Cristina Ribeiro","non-dropping-particle":"de"}],"issued":{"date-parts":[["2014",8,13]]},"accessed":{"date-parts":[["2019",8,22]]}}}],"schema":"https://github.com/citation-style-language/schema/raw/master/csl-citation.json"} </w:instrText>
      </w:r>
      <w:r w:rsidR="00F83434" w:rsidRPr="00C96930">
        <w:rPr>
          <w:lang w:val="en-US"/>
        </w:rPr>
        <w:fldChar w:fldCharType="separate"/>
      </w:r>
      <w:r w:rsidR="001220F9" w:rsidRPr="00C96930">
        <w:rPr>
          <w:rFonts w:ascii="Times New Roman" w:hAnsi="Times New Roman"/>
          <w:lang w:val="en-US"/>
        </w:rPr>
        <w:t>[4]</w:t>
      </w:r>
      <w:r w:rsidR="00F83434" w:rsidRPr="00C96930">
        <w:rPr>
          <w:lang w:val="en-US"/>
        </w:rPr>
        <w:fldChar w:fldCharType="end"/>
      </w:r>
      <w:r w:rsidRPr="00C96930">
        <w:rPr>
          <w:lang w:val="en-US"/>
        </w:rPr>
        <w:t xml:space="preserve"> where </w:t>
      </w:r>
      <w:proofErr w:type="spellStart"/>
      <w:r w:rsidRPr="00C96930">
        <w:rPr>
          <w:lang w:val="en-US"/>
        </w:rPr>
        <w:t>ΔΔC</w:t>
      </w:r>
      <w:r w:rsidRPr="00C96930">
        <w:rPr>
          <w:vertAlign w:val="subscript"/>
          <w:lang w:val="en-US"/>
        </w:rPr>
        <w:t>t</w:t>
      </w:r>
      <w:proofErr w:type="spellEnd"/>
      <w:r w:rsidRPr="00C96930">
        <w:rPr>
          <w:lang w:val="en-US"/>
        </w:rPr>
        <w:t xml:space="preserve">  =  </w:t>
      </w:r>
      <w:proofErr w:type="spellStart"/>
      <w:r w:rsidRPr="00C96930">
        <w:rPr>
          <w:lang w:val="en-US"/>
        </w:rPr>
        <w:t>ΔC</w:t>
      </w:r>
      <w:r w:rsidRPr="00C96930">
        <w:rPr>
          <w:vertAlign w:val="subscript"/>
          <w:lang w:val="en-US"/>
        </w:rPr>
        <w:t>t</w:t>
      </w:r>
      <w:proofErr w:type="spellEnd"/>
      <w:r w:rsidRPr="00C96930">
        <w:rPr>
          <w:lang w:val="en-US"/>
        </w:rPr>
        <w:t xml:space="preserve"> sample – </w:t>
      </w:r>
      <w:proofErr w:type="spellStart"/>
      <w:r w:rsidRPr="00C96930">
        <w:rPr>
          <w:lang w:val="en-US"/>
        </w:rPr>
        <w:t>ΔC</w:t>
      </w:r>
      <w:r w:rsidRPr="00C96930">
        <w:rPr>
          <w:vertAlign w:val="subscript"/>
          <w:lang w:val="en-US"/>
        </w:rPr>
        <w:t>t</w:t>
      </w:r>
      <w:proofErr w:type="spellEnd"/>
      <w:r w:rsidRPr="00C96930">
        <w:rPr>
          <w:lang w:val="en-US"/>
        </w:rPr>
        <w:t xml:space="preserve"> calibrator sample, in which </w:t>
      </w:r>
      <w:proofErr w:type="spellStart"/>
      <w:r w:rsidRPr="00C96930">
        <w:rPr>
          <w:lang w:val="en-US"/>
        </w:rPr>
        <w:t>ΔC</w:t>
      </w:r>
      <w:r w:rsidRPr="00C96930">
        <w:rPr>
          <w:vertAlign w:val="subscript"/>
          <w:lang w:val="en-US"/>
        </w:rPr>
        <w:t>t</w:t>
      </w:r>
      <w:proofErr w:type="spellEnd"/>
      <w:r w:rsidRPr="00C96930">
        <w:rPr>
          <w:lang w:val="en-US"/>
        </w:rPr>
        <w:t xml:space="preserve">  =  C</w:t>
      </w:r>
      <w:r w:rsidRPr="00C96930">
        <w:rPr>
          <w:vertAlign w:val="subscript"/>
          <w:lang w:val="en-US"/>
        </w:rPr>
        <w:t>t</w:t>
      </w:r>
      <w:r w:rsidRPr="00C96930">
        <w:rPr>
          <w:lang w:val="en-US"/>
        </w:rPr>
        <w:t xml:space="preserve"> (studied gene) – C</w:t>
      </w:r>
      <w:r w:rsidRPr="00C96930">
        <w:rPr>
          <w:vertAlign w:val="subscript"/>
          <w:lang w:val="en-US"/>
        </w:rPr>
        <w:t>t</w:t>
      </w:r>
      <w:r w:rsidRPr="00C96930">
        <w:rPr>
          <w:lang w:val="en-US"/>
        </w:rPr>
        <w:t xml:space="preserve"> (internal control gene). The internal control gene was selected from three genes (i.e., 18S rRNA, </w:t>
      </w:r>
      <w:proofErr w:type="spellStart"/>
      <w:r w:rsidRPr="00C96930">
        <w:rPr>
          <w:i/>
          <w:iCs/>
          <w:lang w:val="en-US"/>
        </w:rPr>
        <w:t>Gapdh</w:t>
      </w:r>
      <w:proofErr w:type="spellEnd"/>
      <w:r w:rsidRPr="00C96930">
        <w:rPr>
          <w:lang w:val="en-US"/>
        </w:rPr>
        <w:t xml:space="preserve">, </w:t>
      </w:r>
      <w:proofErr w:type="spellStart"/>
      <w:r w:rsidR="00E02F6F" w:rsidRPr="00C96930">
        <w:rPr>
          <w:i/>
          <w:iCs/>
          <w:lang w:val="en-US"/>
        </w:rPr>
        <w:t>Actb</w:t>
      </w:r>
      <w:proofErr w:type="spellEnd"/>
      <w:r w:rsidRPr="00C96930">
        <w:rPr>
          <w:lang w:val="en-US"/>
        </w:rPr>
        <w:t xml:space="preserve">) using </w:t>
      </w:r>
      <w:proofErr w:type="spellStart"/>
      <w:r w:rsidRPr="00C96930">
        <w:rPr>
          <w:lang w:val="en-US"/>
        </w:rPr>
        <w:t>RefFinder</w:t>
      </w:r>
      <w:proofErr w:type="spellEnd"/>
      <w:r w:rsidR="007215A5" w:rsidRPr="00C96930">
        <w:rPr>
          <w:lang w:val="en-US"/>
        </w:rPr>
        <w:t xml:space="preserve"> </w:t>
      </w:r>
      <w:r w:rsidR="00554E54" w:rsidRPr="00C96930">
        <w:rPr>
          <w:lang w:val="en-US"/>
        </w:rPr>
        <w:fldChar w:fldCharType="begin"/>
      </w:r>
      <w:r w:rsidR="00554E54" w:rsidRPr="00C96930">
        <w:rPr>
          <w:lang w:val="en-US"/>
        </w:rPr>
        <w:instrText xml:space="preserve"> ADDIN ZOTERO_ITEM CSL_CITATION {"citationID":"E3wdcfGc","properties":{"formattedCitation":"[5]","plainCitation":"[5]","noteIndex":0},"citationItems":[{"id":868,"uris":["http://zotero.org/users/3811490/items/4L8UKDS7"],"uri":["http://zotero.org/users/3811490/items/4L8UKDS7"],"itemData":{"id":868,"type":"article-journal","title":"miRDeepFinder: a miRNA analysis tool for deep sequencing of plant small RNAs","container-title":"Plant Molecular Biology","page":"75-84","volume":"80","issue":"1","source":"Springer Link","abstract":"miRDeepFinder is a software package developed to identify and functionally analyze plant microRNAs (miRNAs) and their targets from small RNA datasets obtained from deep sequencing. The functions available in miRDeepFinder include pre-processing of raw data, identifying conserved miRNAs, mining and classifying novel miRNAs, miRNA expression profiling, predicting miRNA targets, and gene pathway and gene network analysis involving miRNAs. The fundamental design of miRDeepFinder is based on miRNA biogenesis, miRNA-mediated gene regulation and target recognition, such as perfect or near perfect hairpin structures, different read abundances of miRNA and miRNA*, and targeting patterns of plant miRNAs. To test the accuracy and robustness of miRDeepFinder, we analyzed a small RNA deep sequencing dataset of Arabidopsis thaliana published in the GEO database of NCBI. Our test retrieved 128 of 131 (97.7%) known miRNAs that have a more than 3 read count in Arabidopsis. Because many known miRNAs are not associated with miRNA*s in small RNA datasets, miRDeepFinder was also designed to recover miRNA candidates without the presence of miRNA*. To mine as many miRNAs as possible, miRDeepFinder allows users to compare mature miRNAs and their miRNA*s with other small RNA datasets from the same species. Cleaveland software package was also incorporated into miRDeepFinder for miRNA target identification using degradome sequencing analysis. Using this new computational tool, we identified 13 novel miRNA candidates with miRNA*s from Arabidopsis and validated 12 of them experimentally. Interestingly, of the 12 verified novel miRNAs, a miRNA named AC1 spans the exons of two genes (UTG71C4 and UGT71C3). Both the mature AC1 miRNA and its miRNA* were also found in four other small RNA datasets. We also developed a tool, “miRNA primer designer” to design primers for any type of miRNAs. miRDeepFinder provides a powerful tool for analyzing small RNA datasets from all species, with or without the availability of genome information. miRDeepFinder and miRNA primer designer are freely available at http://www.leonxie.com/DeepFinder.php and at http://www.leonxie.com/miRNAprimerDesigner.php, respectively. A program (called RefFinder: http://www.leonxie.com/referencegene.php) was also developed for assessing the reliable reference genes for gene expression analysis, including miRNAs.","DOI":"10.1007/s11103-012-9885-2","ISSN":"1573-5028","title-short":"miRDeepFinder","journalAbbreviation":"Plant Mol Biol","language":"en","author":[{"family":"Xie","given":"Fuliang"},{"family":"Xiao","given":"Peng"},{"family":"Chen","given":"Dongliang"},{"family":"Xu","given":"Lei"},{"family":"Zhang","given":"Baohong"}],"issued":{"date-parts":[["2012",9,1]]}}}],"schema":"https://github.com/citation-style-language/schema/raw/master/csl-citation.json"} </w:instrText>
      </w:r>
      <w:r w:rsidR="00554E54" w:rsidRPr="00C96930">
        <w:rPr>
          <w:lang w:val="en-US"/>
        </w:rPr>
        <w:fldChar w:fldCharType="separate"/>
      </w:r>
      <w:r w:rsidR="001220F9" w:rsidRPr="00C96930">
        <w:rPr>
          <w:rFonts w:ascii="Times New Roman" w:hAnsi="Times New Roman"/>
          <w:lang w:val="en-US"/>
        </w:rPr>
        <w:t>[5]</w:t>
      </w:r>
      <w:r w:rsidR="00554E54" w:rsidRPr="00C96930">
        <w:rPr>
          <w:lang w:val="en-US"/>
        </w:rPr>
        <w:fldChar w:fldCharType="end"/>
      </w:r>
      <w:r w:rsidR="00F31F51" w:rsidRPr="00C96930">
        <w:rPr>
          <w:lang w:val="en-US"/>
        </w:rPr>
        <w:t>. T</w:t>
      </w:r>
      <w:r w:rsidRPr="00C96930">
        <w:rPr>
          <w:lang w:val="en-US"/>
        </w:rPr>
        <w:t>he calibrator</w:t>
      </w:r>
      <w:r w:rsidR="00F31F51" w:rsidRPr="00C96930">
        <w:rPr>
          <w:lang w:val="en-US"/>
        </w:rPr>
        <w:t xml:space="preserve"> sample was the uninfected WT group</w:t>
      </w:r>
      <w:r w:rsidRPr="00C96930">
        <w:rPr>
          <w:lang w:val="en-US"/>
        </w:rPr>
        <w:t xml:space="preserve">. </w:t>
      </w:r>
      <w:r w:rsidR="00B56F5C">
        <w:rPr>
          <w:lang w:val="en-US"/>
        </w:rPr>
        <w:t>W</w:t>
      </w:r>
      <w:r w:rsidRPr="00C96930">
        <w:rPr>
          <w:lang w:val="en-US"/>
        </w:rPr>
        <w:t>h</w:t>
      </w:r>
      <w:r w:rsidR="00F31F51" w:rsidRPr="00C96930">
        <w:rPr>
          <w:lang w:val="en-US"/>
        </w:rPr>
        <w:t>en</w:t>
      </w:r>
      <w:r w:rsidRPr="00C96930">
        <w:rPr>
          <w:lang w:val="en-US"/>
        </w:rPr>
        <w:t xml:space="preserve"> the expression of a target gene </w:t>
      </w:r>
      <w:r w:rsidR="00F31F51" w:rsidRPr="00C96930">
        <w:rPr>
          <w:lang w:val="en-US"/>
        </w:rPr>
        <w:t>(i.e.</w:t>
      </w:r>
      <w:r w:rsidR="00B56F5C">
        <w:rPr>
          <w:lang w:val="en-US"/>
        </w:rPr>
        <w:t>,</w:t>
      </w:r>
      <w:r w:rsidR="00F31F51" w:rsidRPr="00C96930">
        <w:rPr>
          <w:lang w:val="en-US"/>
        </w:rPr>
        <w:t xml:space="preserve"> </w:t>
      </w:r>
      <w:r w:rsidR="00F31F51" w:rsidRPr="00C96930">
        <w:rPr>
          <w:i/>
          <w:iCs/>
          <w:lang w:val="en-US"/>
        </w:rPr>
        <w:t>Csf3</w:t>
      </w:r>
      <w:r w:rsidR="00F31F51" w:rsidRPr="00C96930">
        <w:rPr>
          <w:lang w:val="en-US"/>
        </w:rPr>
        <w:t xml:space="preserve">, </w:t>
      </w:r>
      <w:proofErr w:type="spellStart"/>
      <w:r w:rsidR="00F31F51" w:rsidRPr="00C96930">
        <w:rPr>
          <w:i/>
          <w:iCs/>
          <w:lang w:val="en-US"/>
        </w:rPr>
        <w:t>Ifng</w:t>
      </w:r>
      <w:proofErr w:type="spellEnd"/>
      <w:r w:rsidR="00F31F51" w:rsidRPr="00C96930">
        <w:rPr>
          <w:lang w:val="en-US"/>
        </w:rPr>
        <w:t xml:space="preserve">) </w:t>
      </w:r>
      <w:r w:rsidRPr="00C96930">
        <w:rPr>
          <w:lang w:val="en-US"/>
        </w:rPr>
        <w:t>was not detected in the uninfected WT group</w:t>
      </w:r>
      <w:r w:rsidR="00B56F5C">
        <w:rPr>
          <w:lang w:val="en-US"/>
        </w:rPr>
        <w:t xml:space="preserve">, </w:t>
      </w:r>
      <w:r w:rsidRPr="00C96930">
        <w:rPr>
          <w:lang w:val="en-US"/>
        </w:rPr>
        <w:t xml:space="preserve">the infected WT group </w:t>
      </w:r>
      <w:r w:rsidR="00F31F51" w:rsidRPr="00C96930">
        <w:rPr>
          <w:lang w:val="en-US"/>
        </w:rPr>
        <w:t>was used as</w:t>
      </w:r>
      <w:r w:rsidRPr="00C96930">
        <w:rPr>
          <w:lang w:val="en-US"/>
        </w:rPr>
        <w:t xml:space="preserve"> the calibrator. A two-way analysis of variance (ANOVA) with post-hoc Tukey’s test was performed to examine the main effects and interaction of the two factors; specifically, the mouse genotype and infection status, and to compare the gene expression levels among the groups. </w:t>
      </w:r>
    </w:p>
    <w:p w14:paraId="09D7F269" w14:textId="611B966D" w:rsidR="00DF419D" w:rsidRPr="00C96930" w:rsidRDefault="00DF419D" w:rsidP="00F83434">
      <w:pPr>
        <w:pStyle w:val="2"/>
        <w:spacing w:before="360"/>
        <w:rPr>
          <w:lang w:val="en-US"/>
        </w:rPr>
      </w:pPr>
      <w:r w:rsidRPr="00C96930">
        <w:rPr>
          <w:lang w:val="en-US"/>
        </w:rPr>
        <w:t>DNA extraction, quantitative PCR and T. gondii detection</w:t>
      </w:r>
    </w:p>
    <w:p w14:paraId="3C7B5CFE" w14:textId="63C821E2" w:rsidR="00DF419D" w:rsidRPr="00C96930" w:rsidRDefault="00B56F5C" w:rsidP="00F83434">
      <w:pPr>
        <w:pStyle w:val="a6"/>
        <w:ind w:firstLine="600"/>
        <w:rPr>
          <w:lang w:val="en-US"/>
        </w:rPr>
      </w:pPr>
      <w:r>
        <w:rPr>
          <w:lang w:val="en-US"/>
        </w:rPr>
        <w:t xml:space="preserve">Following RNA extraction, </w:t>
      </w:r>
      <w:r w:rsidRPr="00C96930">
        <w:rPr>
          <w:lang w:val="en-US"/>
        </w:rPr>
        <w:t xml:space="preserve">DNA from the 7-dpi samples was extracted with TRI reagent according to the manufacturer’s protocol </w:t>
      </w:r>
      <w:r>
        <w:rPr>
          <w:lang w:val="en-US"/>
        </w:rPr>
        <w:t>t</w:t>
      </w:r>
      <w:r w:rsidR="00DF419D" w:rsidRPr="00C96930">
        <w:rPr>
          <w:lang w:val="en-US"/>
        </w:rPr>
        <w:t xml:space="preserve">o determine the parasite burden in the brain. </w:t>
      </w:r>
      <w:r>
        <w:rPr>
          <w:lang w:val="en-US"/>
        </w:rPr>
        <w:t>At</w:t>
      </w:r>
      <w:r w:rsidR="00DF419D" w:rsidRPr="00C96930">
        <w:rPr>
          <w:lang w:val="en-US"/>
        </w:rPr>
        <w:t xml:space="preserve"> 30 dpi, DNA was extracted from the other brain half with phenol–chloroform–isoamyl alcohol (ratio, 25:24:1; Sigma-Aldrich) according to the manufacturer’s protocol. The 25 µl PCR mixtures contained 6.25 µl of Power SYBR™ Green PCR Master Mix (Thermo Fisher Scientific Inc.</w:t>
      </w:r>
      <w:r w:rsidR="00DB2B03" w:rsidRPr="00C96930">
        <w:rPr>
          <w:lang w:val="en-US"/>
        </w:rPr>
        <w:t>, Waltham, MA, USA</w:t>
      </w:r>
      <w:r w:rsidR="00DF419D" w:rsidRPr="00C96930">
        <w:rPr>
          <w:lang w:val="en-US"/>
        </w:rPr>
        <w:t xml:space="preserve">), 800 </w:t>
      </w:r>
      <w:proofErr w:type="spellStart"/>
      <w:r w:rsidR="00DF419D" w:rsidRPr="00C96930">
        <w:rPr>
          <w:lang w:val="en-US"/>
        </w:rPr>
        <w:t>nM</w:t>
      </w:r>
      <w:proofErr w:type="spellEnd"/>
      <w:r w:rsidR="00DF419D" w:rsidRPr="00C96930">
        <w:rPr>
          <w:lang w:val="en-US"/>
        </w:rPr>
        <w:t xml:space="preserve"> of each forward and reverse primer and 50 ng of genomic DNA. The primers used were for the </w:t>
      </w:r>
      <w:r w:rsidR="00DF419D" w:rsidRPr="00C96930">
        <w:rPr>
          <w:i/>
          <w:iCs/>
          <w:lang w:val="en-US"/>
        </w:rPr>
        <w:t>T. gondii</w:t>
      </w:r>
      <w:r w:rsidR="00DF419D" w:rsidRPr="00C96930">
        <w:rPr>
          <w:lang w:val="en-US"/>
        </w:rPr>
        <w:t xml:space="preserve"> B1 gene (5′-AAC GGG CGA GTA GCA CCT GAG GAG-3′ and 5′-TGG GTC TAC GTC GAT GGC ATG ACA AC-3′ for forward and reverse, respectively), which is present in all known </w:t>
      </w:r>
      <w:r w:rsidR="00DF419D" w:rsidRPr="00C96930">
        <w:rPr>
          <w:lang w:val="en-US"/>
        </w:rPr>
        <w:lastRenderedPageBreak/>
        <w:t>parasite strains</w:t>
      </w:r>
      <w:r w:rsidR="00554E54" w:rsidRPr="00C96930">
        <w:rPr>
          <w:lang w:val="en-US"/>
        </w:rPr>
        <w:t xml:space="preserve"> </w:t>
      </w:r>
      <w:r w:rsidR="00554E54" w:rsidRPr="00C96930">
        <w:rPr>
          <w:lang w:val="en-US"/>
        </w:rPr>
        <w:fldChar w:fldCharType="begin"/>
      </w:r>
      <w:r w:rsidR="00554E54" w:rsidRPr="00C96930">
        <w:rPr>
          <w:lang w:val="en-US"/>
        </w:rPr>
        <w:instrText xml:space="preserve"> ADDIN ZOTERO_ITEM CSL_CITATION {"citationID":"zC7i3TQQ","properties":{"formattedCitation":"[6]","plainCitation":"[6]","noteIndex":0},"citationItems":[{"id":869,"uris":["http://zotero.org/users/3811490/items/5RT5UMVB"],"uri":["http://zotero.org/users/3811490/items/5RT5UMVB"],"itemData":{"id":869,"type":"article-journal","title":"Evaluation of a Real-time PCR-based assay using the lightcycler system for detection of Toxoplasma gondii bradyzoite genes in blood specimens from patients with toxoplasmic retinochoroiditis","container-title":"International Journal for Parasitology","page":"275-283","volume":"35","issue":"3","source":"ScienceDirect","abstract":"PCR based methods have advantages over traditional methods for the diagnosis of toxoplasmosis, especially when serology fails and clinical symptoms are not evident. However, current PCR-based assays are often labour-intensive and not readily quantifiable and have the potential for contamination due to a requirement for postamplification sample handling. Real-time PCR can address these limitations. We have developed and evaluated a highly sensitive Real-time PCR (Light-cycler, LC-PCR) to detect and quantify Toxoplasma gondii B1 and bradyzoite specific genes (SAG-4, MAG-1) in serum and peripheral blood mononuclear cells (PBMC) specimens, from five immunocompetent subjects with clinically suspected toxoplasmic retinochoroiditis (TRC) or without a suspected T. gondii infection. A standard curve for quantitation of parasitic load was generated using SYBR Green I fluorescent detection. The results were compared with those obtained with a nested PCR (n-PCR). In TRC patients, both PCR methods confirmed ophtalmoscopy and fluorangiographic findings. Among the TRC patients, the use of LC-PCR was more sensitive than n-PCR for detection and quantification of either B1 gene (P&lt;0.001) or SAG-4/MAG-1 gene (P&lt;0.05). LC-PCR has been shown particularly useful to accurately determine the parasite DNA load in follow-up specimens in whom the performance of either B1 or SAG-4 and MAG-1 in detecting T. gondii loads, varied with respect to specific antitoxoplasmic treatment.","DOI":"10.1016/j.ijpara.2004.11.016","ISSN":"0020-7519","journalAbbreviation":"International Journal for Parasitology","author":[{"family":"Contini","given":"Carlo"},{"family":"Seraceni","given":"Silva"},{"family":"Cultrera","given":"Rosario"},{"family":"Incorvaia","given":"Carlo"},{"family":"Sebastiani","given":"Adolfo"},{"family":"Picot","given":"Stephan"}],"issued":{"date-parts":[["2005",3]]}}}],"schema":"https://github.com/citation-style-language/schema/raw/master/csl-citation.json"} </w:instrText>
      </w:r>
      <w:r w:rsidR="00554E54" w:rsidRPr="00C96930">
        <w:rPr>
          <w:lang w:val="en-US"/>
        </w:rPr>
        <w:fldChar w:fldCharType="separate"/>
      </w:r>
      <w:r w:rsidR="001220F9" w:rsidRPr="00C96930">
        <w:rPr>
          <w:rFonts w:ascii="Times New Roman" w:hAnsi="Times New Roman"/>
          <w:lang w:val="en-US"/>
        </w:rPr>
        <w:t>[6]</w:t>
      </w:r>
      <w:r w:rsidR="00554E54" w:rsidRPr="00C96930">
        <w:rPr>
          <w:lang w:val="en-US"/>
        </w:rPr>
        <w:fldChar w:fldCharType="end"/>
      </w:r>
      <w:r w:rsidR="00DF419D" w:rsidRPr="00C96930">
        <w:rPr>
          <w:lang w:val="en-US"/>
        </w:rPr>
        <w:t xml:space="preserve">. The thermal cycling protocol was the same as that used for the expression analysis above. Samples were run in duplicate. Parasite numbers per 50 ng of tissue DNA were calculated from a standard curve, which was established from 1 µl of serially diluted </w:t>
      </w:r>
      <w:r w:rsidR="00DF419D" w:rsidRPr="00C96930">
        <w:rPr>
          <w:i/>
          <w:iCs/>
          <w:lang w:val="en-US"/>
        </w:rPr>
        <w:t>T. gondii</w:t>
      </w:r>
      <w:r w:rsidR="00DF419D" w:rsidRPr="00C96930">
        <w:rPr>
          <w:lang w:val="en-US"/>
        </w:rPr>
        <w:t xml:space="preserve"> DNA extracted from 1 × 10</w:t>
      </w:r>
      <w:r w:rsidR="00DF419D" w:rsidRPr="00C96930">
        <w:rPr>
          <w:vertAlign w:val="superscript"/>
          <w:lang w:val="en-US"/>
        </w:rPr>
        <w:t>5</w:t>
      </w:r>
      <w:r w:rsidR="00DF419D" w:rsidRPr="00C96930">
        <w:rPr>
          <w:lang w:val="en-US"/>
        </w:rPr>
        <w:t xml:space="preserve"> parasites, and corresponded to 0.01 to 10,000 parasites per reaction. </w:t>
      </w:r>
    </w:p>
    <w:p w14:paraId="7E155EF3" w14:textId="0D594920" w:rsidR="00A24E6E" w:rsidRPr="00C96930" w:rsidRDefault="00472A55" w:rsidP="004D180C">
      <w:pPr>
        <w:pStyle w:val="1"/>
        <w:spacing w:before="360"/>
        <w:rPr>
          <w:rFonts w:eastAsiaTheme="minorEastAsia"/>
        </w:rPr>
      </w:pPr>
      <w:bookmarkStart w:id="2" w:name="_Hlk522032128"/>
      <w:r w:rsidRPr="00C96930">
        <w:t>References</w:t>
      </w:r>
      <w:bookmarkEnd w:id="2"/>
    </w:p>
    <w:p w14:paraId="3F24288C" w14:textId="77777777" w:rsidR="001220F9" w:rsidRPr="00C96930" w:rsidRDefault="001220F9" w:rsidP="001220F9">
      <w:pPr>
        <w:pStyle w:val="ab"/>
        <w:ind w:left="240" w:hanging="240"/>
        <w:rPr>
          <w:rFonts w:ascii="Times New Roman" w:hAnsi="Times New Roman" w:cs="Times New Roman"/>
        </w:rPr>
      </w:pPr>
      <w:r w:rsidRPr="00C96930">
        <w:fldChar w:fldCharType="begin"/>
      </w:r>
      <w:r w:rsidRPr="00C96930">
        <w:instrText xml:space="preserve"> ADDIN ZOTERO_BIBL {"uncited":[],"omitted":[],"custom":[]} CSL_BIBLIOGRAPHY </w:instrText>
      </w:r>
      <w:r w:rsidRPr="00C96930">
        <w:fldChar w:fldCharType="separate"/>
      </w:r>
      <w:r w:rsidRPr="00C96930">
        <w:rPr>
          <w:rFonts w:ascii="Times New Roman" w:hAnsi="Times New Roman" w:cs="Times New Roman"/>
        </w:rPr>
        <w:t>1. Fischer HG, Nitzgen B, Germann T, Degitz K, Däubener W, Hadding U. Differentiation driven by granulocyte-macrophage colony-stimulating factor endows microglia with interferon-gamma-independent antigen presentation function. J Neuroimmunol. 1993;42:87–95.</w:t>
      </w:r>
    </w:p>
    <w:p w14:paraId="69345175" w14:textId="77777777" w:rsidR="001220F9" w:rsidRPr="00C96930" w:rsidRDefault="001220F9" w:rsidP="001220F9">
      <w:pPr>
        <w:pStyle w:val="ab"/>
        <w:ind w:left="240" w:hanging="240"/>
        <w:rPr>
          <w:rFonts w:ascii="Times New Roman" w:hAnsi="Times New Roman" w:cs="Times New Roman"/>
        </w:rPr>
      </w:pPr>
      <w:r w:rsidRPr="00C96930">
        <w:rPr>
          <w:rFonts w:ascii="Times New Roman" w:hAnsi="Times New Roman" w:cs="Times New Roman"/>
        </w:rPr>
        <w:t xml:space="preserve">2. Umeda K, Tanaka S, Ihara F, Yamagishi J, Suzuki Y, Nishikawa Y. Transcriptional profiling of Toll-like receptor 2-deficient primary murine brain cells during </w:t>
      </w:r>
      <w:r w:rsidRPr="00C96930">
        <w:rPr>
          <w:rFonts w:ascii="Times New Roman" w:hAnsi="Times New Roman" w:cs="Times New Roman"/>
          <w:i/>
          <w:iCs/>
        </w:rPr>
        <w:t>Toxoplasma gondii</w:t>
      </w:r>
      <w:r w:rsidRPr="00C96930">
        <w:rPr>
          <w:rFonts w:ascii="Times New Roman" w:hAnsi="Times New Roman" w:cs="Times New Roman"/>
        </w:rPr>
        <w:t xml:space="preserve"> infection. PLOS ONE. 2017;12:e0187703.</w:t>
      </w:r>
    </w:p>
    <w:p w14:paraId="1725E41A" w14:textId="77777777" w:rsidR="001220F9" w:rsidRPr="00C96930" w:rsidRDefault="001220F9" w:rsidP="001220F9">
      <w:pPr>
        <w:pStyle w:val="ab"/>
        <w:ind w:left="240" w:hanging="240"/>
        <w:rPr>
          <w:rFonts w:ascii="Times New Roman" w:hAnsi="Times New Roman" w:cs="Times New Roman"/>
        </w:rPr>
      </w:pPr>
      <w:r w:rsidRPr="00C96930">
        <w:rPr>
          <w:rFonts w:ascii="Times New Roman" w:hAnsi="Times New Roman" w:cs="Times New Roman"/>
        </w:rPr>
        <w:t>3. Hilgenberg LGW, Smith MA. Preparation of Dissociated Mouse Cortical Neuron Cultures. J Vis Exp JoVE. 2007. doi:10.3791/562.</w:t>
      </w:r>
    </w:p>
    <w:p w14:paraId="23AC70D2" w14:textId="77777777" w:rsidR="001220F9" w:rsidRPr="00C96930" w:rsidRDefault="001220F9" w:rsidP="001220F9">
      <w:pPr>
        <w:pStyle w:val="ab"/>
        <w:ind w:left="240" w:hanging="240"/>
        <w:rPr>
          <w:rFonts w:ascii="Times New Roman" w:hAnsi="Times New Roman" w:cs="Times New Roman"/>
        </w:rPr>
      </w:pPr>
      <w:r w:rsidRPr="00C96930">
        <w:rPr>
          <w:rFonts w:ascii="Times New Roman" w:hAnsi="Times New Roman" w:cs="Times New Roman"/>
        </w:rPr>
        <w:t xml:space="preserve">4. Bonfá G, Benevides L, Souza M do C, Fonseca DM, Mineo TWP, Rossi MA, et al. CCR5 Controls Immune and Metabolic Functions during </w:t>
      </w:r>
      <w:r w:rsidRPr="00C96930">
        <w:rPr>
          <w:rFonts w:ascii="Times New Roman" w:hAnsi="Times New Roman" w:cs="Times New Roman"/>
          <w:i/>
          <w:iCs/>
        </w:rPr>
        <w:t>Toxoplasma gondii</w:t>
      </w:r>
      <w:r w:rsidRPr="00C96930">
        <w:rPr>
          <w:rFonts w:ascii="Times New Roman" w:hAnsi="Times New Roman" w:cs="Times New Roman"/>
        </w:rPr>
        <w:t xml:space="preserve"> Infection. PLoS ONE. 2014;9. doi:10.1371/journal.pone.0104736.</w:t>
      </w:r>
    </w:p>
    <w:p w14:paraId="2970E4AF" w14:textId="77777777" w:rsidR="001220F9" w:rsidRPr="00C96930" w:rsidRDefault="001220F9" w:rsidP="001220F9">
      <w:pPr>
        <w:pStyle w:val="ab"/>
        <w:ind w:left="240" w:hanging="240"/>
        <w:rPr>
          <w:rFonts w:ascii="Times New Roman" w:hAnsi="Times New Roman" w:cs="Times New Roman"/>
        </w:rPr>
      </w:pPr>
      <w:r w:rsidRPr="00C96930">
        <w:rPr>
          <w:rFonts w:ascii="Times New Roman" w:hAnsi="Times New Roman" w:cs="Times New Roman"/>
        </w:rPr>
        <w:t>5. Xie F, Xiao P, Chen D, Xu L, Zhang B. miRDeepFinder: a miRNA analysis tool for deep sequencing of plant small RNAs. Plant Mol Biol. 2012;80:75–84.</w:t>
      </w:r>
    </w:p>
    <w:p w14:paraId="6B01D07C" w14:textId="77777777" w:rsidR="001220F9" w:rsidRPr="00C96930" w:rsidRDefault="001220F9" w:rsidP="001220F9">
      <w:pPr>
        <w:pStyle w:val="ab"/>
        <w:ind w:left="240" w:hanging="240"/>
        <w:rPr>
          <w:rFonts w:ascii="Times New Roman" w:hAnsi="Times New Roman" w:cs="Times New Roman"/>
        </w:rPr>
      </w:pPr>
      <w:r w:rsidRPr="00C96930">
        <w:rPr>
          <w:rFonts w:ascii="Times New Roman" w:hAnsi="Times New Roman" w:cs="Times New Roman"/>
        </w:rPr>
        <w:t xml:space="preserve">6. Contini C, Seraceni S, Cultrera R, Incorvaia C, Sebastiani A, Picot S. Evaluation of a Real-time PCR-based assay using the lightcycler system for detection of </w:t>
      </w:r>
      <w:r w:rsidRPr="00C96930">
        <w:rPr>
          <w:rFonts w:ascii="Times New Roman" w:hAnsi="Times New Roman" w:cs="Times New Roman"/>
          <w:i/>
          <w:iCs/>
        </w:rPr>
        <w:t>Toxoplasma gondii</w:t>
      </w:r>
      <w:r w:rsidRPr="00C96930">
        <w:rPr>
          <w:rFonts w:ascii="Times New Roman" w:hAnsi="Times New Roman" w:cs="Times New Roman"/>
        </w:rPr>
        <w:t xml:space="preserve"> bradyzoite genes in blood specimens from patients with toxoplasmic retinochoroiditis. Int J Parasitol. 2005;35:275–83.</w:t>
      </w:r>
    </w:p>
    <w:p w14:paraId="35570AB2" w14:textId="2C17EE8F" w:rsidR="001220F9" w:rsidRPr="00C96930" w:rsidRDefault="001220F9" w:rsidP="001220F9">
      <w:r w:rsidRPr="00C96930">
        <w:fldChar w:fldCharType="end"/>
      </w:r>
    </w:p>
    <w:sectPr w:rsidR="001220F9" w:rsidRPr="00C969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9F86" w14:textId="77777777" w:rsidR="005D7590" w:rsidRDefault="005D7590" w:rsidP="00DF6D57">
      <w:r>
        <w:separator/>
      </w:r>
    </w:p>
  </w:endnote>
  <w:endnote w:type="continuationSeparator" w:id="0">
    <w:p w14:paraId="69C5C050" w14:textId="77777777" w:rsidR="005D7590" w:rsidRDefault="005D7590" w:rsidP="00DF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F90C3" w14:textId="77777777" w:rsidR="005D7590" w:rsidRDefault="005D7590" w:rsidP="00DF6D57">
      <w:r>
        <w:separator/>
      </w:r>
    </w:p>
  </w:footnote>
  <w:footnote w:type="continuationSeparator" w:id="0">
    <w:p w14:paraId="54D5A64F" w14:textId="77777777" w:rsidR="005D7590" w:rsidRDefault="005D7590" w:rsidP="00DF6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D4ED2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autoHyphenation/>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TExsjAyMDE1MTRR0lEKTi0uzszPAykwrAUAWyzH8ywAAAA="/>
  </w:docVars>
  <w:rsids>
    <w:rsidRoot w:val="00C56803"/>
    <w:rsid w:val="00037691"/>
    <w:rsid w:val="000D589B"/>
    <w:rsid w:val="001220F9"/>
    <w:rsid w:val="0021508F"/>
    <w:rsid w:val="003B4069"/>
    <w:rsid w:val="004519CB"/>
    <w:rsid w:val="00472A55"/>
    <w:rsid w:val="004D14C1"/>
    <w:rsid w:val="004D180C"/>
    <w:rsid w:val="004E6830"/>
    <w:rsid w:val="00554E54"/>
    <w:rsid w:val="005D0AC2"/>
    <w:rsid w:val="005D7590"/>
    <w:rsid w:val="00633B14"/>
    <w:rsid w:val="00687214"/>
    <w:rsid w:val="00691398"/>
    <w:rsid w:val="006C26F7"/>
    <w:rsid w:val="007215A5"/>
    <w:rsid w:val="00994E84"/>
    <w:rsid w:val="009A02A1"/>
    <w:rsid w:val="009C6F16"/>
    <w:rsid w:val="00A24E6E"/>
    <w:rsid w:val="00B256AA"/>
    <w:rsid w:val="00B56F5C"/>
    <w:rsid w:val="00B85CA2"/>
    <w:rsid w:val="00B91781"/>
    <w:rsid w:val="00B93B42"/>
    <w:rsid w:val="00BA110F"/>
    <w:rsid w:val="00BC57D4"/>
    <w:rsid w:val="00C56803"/>
    <w:rsid w:val="00C96930"/>
    <w:rsid w:val="00DA025E"/>
    <w:rsid w:val="00DB2B03"/>
    <w:rsid w:val="00DB2D49"/>
    <w:rsid w:val="00DE1C92"/>
    <w:rsid w:val="00DF419D"/>
    <w:rsid w:val="00DF6D57"/>
    <w:rsid w:val="00E02F6F"/>
    <w:rsid w:val="00F101DF"/>
    <w:rsid w:val="00F31F51"/>
    <w:rsid w:val="00F83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4F41FB"/>
  <w15:chartTrackingRefBased/>
  <w15:docId w15:val="{436A0202-C3B8-436A-B924-9E98BC3F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20F9"/>
    <w:pPr>
      <w:widowControl w:val="0"/>
      <w:snapToGrid w:val="0"/>
      <w:spacing w:line="480" w:lineRule="auto"/>
      <w:jc w:val="both"/>
    </w:pPr>
    <w:rPr>
      <w:sz w:val="24"/>
    </w:rPr>
  </w:style>
  <w:style w:type="paragraph" w:styleId="1">
    <w:name w:val="heading 1"/>
    <w:basedOn w:val="a0"/>
    <w:next w:val="a0"/>
    <w:link w:val="10"/>
    <w:uiPriority w:val="9"/>
    <w:qFormat/>
    <w:rsid w:val="00B256AA"/>
    <w:pPr>
      <w:keepNext/>
      <w:spacing w:beforeLines="100" w:before="100"/>
      <w:outlineLvl w:val="0"/>
    </w:pPr>
    <w:rPr>
      <w:rFonts w:asciiTheme="majorHAnsi" w:eastAsia="Times New Roman" w:hAnsiTheme="majorHAnsi" w:cstheme="majorBidi"/>
      <w:b/>
      <w:szCs w:val="24"/>
    </w:rPr>
  </w:style>
  <w:style w:type="paragraph" w:styleId="2">
    <w:name w:val="heading 2"/>
    <w:basedOn w:val="a0"/>
    <w:next w:val="a0"/>
    <w:link w:val="20"/>
    <w:uiPriority w:val="9"/>
    <w:unhideWhenUsed/>
    <w:qFormat/>
    <w:rsid w:val="00F83434"/>
    <w:pPr>
      <w:keepNext/>
      <w:widowControl/>
      <w:spacing w:beforeLines="100" w:before="100"/>
      <w:jc w:val="left"/>
      <w:outlineLvl w:val="1"/>
    </w:pPr>
    <w:rPr>
      <w:rFonts w:asciiTheme="majorHAnsi" w:eastAsiaTheme="majorEastAsia" w:hAnsiTheme="majorHAnsi" w:cs="Times New Roman"/>
      <w:b/>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F83434"/>
    <w:rPr>
      <w:rFonts w:asciiTheme="majorHAnsi" w:eastAsiaTheme="majorEastAsia" w:hAnsiTheme="majorHAnsi" w:cs="Times New Roman"/>
      <w:b/>
      <w:sz w:val="24"/>
      <w:lang w:val="en-GB"/>
    </w:rPr>
  </w:style>
  <w:style w:type="paragraph" w:styleId="a4">
    <w:name w:val="annotation text"/>
    <w:basedOn w:val="a0"/>
    <w:link w:val="a5"/>
    <w:uiPriority w:val="99"/>
    <w:unhideWhenUsed/>
    <w:rsid w:val="00C56803"/>
    <w:pPr>
      <w:widowControl/>
      <w:spacing w:afterLines="100" w:line="360" w:lineRule="auto"/>
      <w:ind w:firstLineChars="250" w:firstLine="250"/>
      <w:jc w:val="left"/>
    </w:pPr>
    <w:rPr>
      <w:rFonts w:cs="Times New Roman"/>
      <w:lang w:val="en-GB"/>
    </w:rPr>
  </w:style>
  <w:style w:type="character" w:customStyle="1" w:styleId="a5">
    <w:name w:val="コメント文字列 (文字)"/>
    <w:basedOn w:val="a1"/>
    <w:link w:val="a4"/>
    <w:uiPriority w:val="99"/>
    <w:rsid w:val="00C56803"/>
    <w:rPr>
      <w:rFonts w:cs="Times New Roman"/>
      <w:sz w:val="24"/>
      <w:lang w:val="en-GB"/>
    </w:rPr>
  </w:style>
  <w:style w:type="paragraph" w:styleId="a6">
    <w:name w:val="Body Text"/>
    <w:basedOn w:val="a0"/>
    <w:link w:val="a7"/>
    <w:uiPriority w:val="99"/>
    <w:unhideWhenUsed/>
    <w:qFormat/>
    <w:rsid w:val="00F83434"/>
    <w:pPr>
      <w:widowControl/>
      <w:ind w:firstLineChars="250" w:firstLine="250"/>
    </w:pPr>
    <w:rPr>
      <w:rFonts w:cs="Times New Roman"/>
      <w:lang w:val="en-GB"/>
    </w:rPr>
  </w:style>
  <w:style w:type="character" w:customStyle="1" w:styleId="a7">
    <w:name w:val="本文 (文字)"/>
    <w:basedOn w:val="a1"/>
    <w:link w:val="a6"/>
    <w:uiPriority w:val="99"/>
    <w:rsid w:val="00F83434"/>
    <w:rPr>
      <w:rFonts w:cs="Times New Roman"/>
      <w:sz w:val="24"/>
      <w:lang w:val="en-GB"/>
    </w:rPr>
  </w:style>
  <w:style w:type="character" w:styleId="a8">
    <w:name w:val="annotation reference"/>
    <w:basedOn w:val="a1"/>
    <w:uiPriority w:val="99"/>
    <w:semiHidden/>
    <w:unhideWhenUsed/>
    <w:rsid w:val="00C56803"/>
    <w:rPr>
      <w:rFonts w:ascii="Times New Roman" w:hAnsi="Times New Roman" w:cs="Times New Roman" w:hint="default"/>
      <w:sz w:val="18"/>
      <w:szCs w:val="18"/>
    </w:rPr>
  </w:style>
  <w:style w:type="paragraph" w:styleId="a9">
    <w:name w:val="Balloon Text"/>
    <w:basedOn w:val="a0"/>
    <w:link w:val="aa"/>
    <w:uiPriority w:val="99"/>
    <w:semiHidden/>
    <w:unhideWhenUsed/>
    <w:rsid w:val="00C56803"/>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C56803"/>
    <w:rPr>
      <w:rFonts w:asciiTheme="majorHAnsi" w:eastAsiaTheme="majorEastAsia" w:hAnsiTheme="majorHAnsi" w:cstheme="majorBidi"/>
      <w:sz w:val="18"/>
      <w:szCs w:val="18"/>
    </w:rPr>
  </w:style>
  <w:style w:type="paragraph" w:styleId="ab">
    <w:name w:val="Bibliography"/>
    <w:basedOn w:val="a0"/>
    <w:next w:val="a0"/>
    <w:uiPriority w:val="37"/>
    <w:unhideWhenUsed/>
    <w:rsid w:val="00BA110F"/>
    <w:pPr>
      <w:spacing w:after="240" w:line="240" w:lineRule="auto"/>
      <w:ind w:hangingChars="100" w:hanging="100"/>
    </w:pPr>
  </w:style>
  <w:style w:type="character" w:customStyle="1" w:styleId="10">
    <w:name w:val="見出し 1 (文字)"/>
    <w:basedOn w:val="a1"/>
    <w:link w:val="1"/>
    <w:uiPriority w:val="9"/>
    <w:rsid w:val="00B256AA"/>
    <w:rPr>
      <w:rFonts w:asciiTheme="majorHAnsi" w:eastAsia="Times New Roman" w:hAnsiTheme="majorHAnsi" w:cstheme="majorBidi"/>
      <w:b/>
      <w:sz w:val="24"/>
      <w:szCs w:val="24"/>
    </w:rPr>
  </w:style>
  <w:style w:type="paragraph" w:styleId="ac">
    <w:name w:val="header"/>
    <w:basedOn w:val="a0"/>
    <w:link w:val="ad"/>
    <w:uiPriority w:val="99"/>
    <w:unhideWhenUsed/>
    <w:rsid w:val="00DF6D57"/>
    <w:pPr>
      <w:tabs>
        <w:tab w:val="center" w:pos="4252"/>
        <w:tab w:val="right" w:pos="8504"/>
      </w:tabs>
    </w:pPr>
  </w:style>
  <w:style w:type="character" w:customStyle="1" w:styleId="ad">
    <w:name w:val="ヘッダー (文字)"/>
    <w:basedOn w:val="a1"/>
    <w:link w:val="ac"/>
    <w:uiPriority w:val="99"/>
    <w:rsid w:val="00DF6D57"/>
  </w:style>
  <w:style w:type="paragraph" w:styleId="ae">
    <w:name w:val="footer"/>
    <w:basedOn w:val="a0"/>
    <w:link w:val="af"/>
    <w:uiPriority w:val="99"/>
    <w:unhideWhenUsed/>
    <w:rsid w:val="00DF6D57"/>
    <w:pPr>
      <w:tabs>
        <w:tab w:val="center" w:pos="4252"/>
        <w:tab w:val="right" w:pos="8504"/>
      </w:tabs>
    </w:pPr>
  </w:style>
  <w:style w:type="character" w:customStyle="1" w:styleId="af">
    <w:name w:val="フッター (文字)"/>
    <w:basedOn w:val="a1"/>
    <w:link w:val="ae"/>
    <w:uiPriority w:val="99"/>
    <w:rsid w:val="00DF6D57"/>
  </w:style>
  <w:style w:type="paragraph" w:styleId="af0">
    <w:name w:val="annotation subject"/>
    <w:basedOn w:val="a4"/>
    <w:next w:val="a4"/>
    <w:link w:val="af1"/>
    <w:uiPriority w:val="99"/>
    <w:semiHidden/>
    <w:unhideWhenUsed/>
    <w:rsid w:val="00DF6D57"/>
    <w:pPr>
      <w:widowControl w:val="0"/>
      <w:spacing w:afterLines="0" w:line="240" w:lineRule="auto"/>
      <w:ind w:firstLineChars="0" w:firstLine="0"/>
    </w:pPr>
    <w:rPr>
      <w:rFonts w:cstheme="minorBidi"/>
      <w:b/>
      <w:bCs/>
      <w:sz w:val="21"/>
      <w:lang w:val="en-US"/>
    </w:rPr>
  </w:style>
  <w:style w:type="character" w:customStyle="1" w:styleId="af1">
    <w:name w:val="コメント内容 (文字)"/>
    <w:basedOn w:val="a5"/>
    <w:link w:val="af0"/>
    <w:uiPriority w:val="99"/>
    <w:semiHidden/>
    <w:rsid w:val="00DF6D57"/>
    <w:rPr>
      <w:rFonts w:cs="Times New Roman"/>
      <w:b/>
      <w:bCs/>
      <w:sz w:val="24"/>
      <w:lang w:val="en-GB"/>
    </w:rPr>
  </w:style>
  <w:style w:type="paragraph" w:styleId="a">
    <w:name w:val="List Bullet"/>
    <w:basedOn w:val="a0"/>
    <w:uiPriority w:val="99"/>
    <w:unhideWhenUsed/>
    <w:rsid w:val="00554E5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0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ＭＳ Ｐ明朝"/>
        <a:cs typeface=""/>
      </a:majorFont>
      <a:minorFont>
        <a:latin typeface="Times New Roman"/>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3988</Words>
  <Characters>22736</Characters>
  <Application>Microsoft Office Word</Application>
  <DocSecurity>0</DocSecurity>
  <Lines>189</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s24017@st.obihiro.ac.jp</dc:creator>
  <cp:keywords/>
  <dc:description/>
  <cp:lastModifiedBy>Umeda Kousuke</cp:lastModifiedBy>
  <cp:revision>3</cp:revision>
  <dcterms:created xsi:type="dcterms:W3CDTF">2019-08-27T04:58:00Z</dcterms:created>
  <dcterms:modified xsi:type="dcterms:W3CDTF">2019-08-27T12:40:00Z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id="WQcVkzdZ"/&gt;&lt;style id="http://www.zotero.org/styles/bmc-genomics" hasBibliography="1" bibliographyStyleHasBeenSet="1"/&gt;&lt;prefs&gt;&lt;pref name="fieldType" value="Field"/&gt;&lt;pref name="automaticJournalAbbr</vt:lpwstr>
  </property>
  <property fmtid="{D5CDD505-2E9C-101B-9397-08002B2CF9AE}" pid="3" name="ZOTERO_PREF_2">
    <vt:lpwstr>eviations" value="true"/&gt;&lt;/prefs&gt;&lt;/data&gt;</vt:lpwstr>
  </property>
</Properties>
</file>