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60" w:rsidRPr="00945D96" w:rsidRDefault="00437B3A" w:rsidP="005B5C60">
      <w:pPr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0" w:name="OLE_LINK668"/>
      <w:bookmarkStart w:id="1" w:name="OLE_LINK669"/>
      <w:bookmarkStart w:id="2" w:name="OLE_LINK1121"/>
      <w:bookmarkStart w:id="3" w:name="OLE_LINK1122"/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Additional file </w:t>
      </w:r>
      <w:r w:rsidR="006C6209">
        <w:rPr>
          <w:rFonts w:ascii="Times New Roman" w:hAnsi="Times New Roman" w:cs="Times New Roman" w:hint="eastAsia"/>
          <w:b/>
          <w:kern w:val="0"/>
          <w:sz w:val="24"/>
          <w:szCs w:val="24"/>
        </w:rPr>
        <w:t>6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: Table S</w:t>
      </w:r>
      <w:r w:rsidR="006C6209">
        <w:rPr>
          <w:rFonts w:ascii="Times New Roman" w:hAnsi="Times New Roman" w:cs="Times New Roman" w:hint="eastAsia"/>
          <w:b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="00945D96">
        <w:rPr>
          <w:rFonts w:ascii="Times New Roman" w:hAnsi="Times New Roman" w:cs="Times New Roman"/>
          <w:kern w:val="0"/>
          <w:sz w:val="24"/>
          <w:szCs w:val="24"/>
        </w:rPr>
        <w:t>The common differential</w:t>
      </w:r>
      <w:r w:rsidR="00945D96" w:rsidRPr="00945D96">
        <w:rPr>
          <w:rFonts w:ascii="Times New Roman" w:hAnsi="Times New Roman" w:cs="Times New Roman"/>
          <w:kern w:val="0"/>
          <w:sz w:val="24"/>
          <w:szCs w:val="24"/>
        </w:rPr>
        <w:t xml:space="preserve"> metabolic pathways with </w:t>
      </w:r>
      <w:r w:rsidR="00945D96">
        <w:rPr>
          <w:rFonts w:ascii="Times New Roman" w:hAnsi="Times New Roman" w:cs="Times New Roman" w:hint="eastAsia"/>
          <w:kern w:val="0"/>
          <w:sz w:val="24"/>
          <w:szCs w:val="24"/>
        </w:rPr>
        <w:t>d</w:t>
      </w:r>
      <w:r w:rsidR="00945D96" w:rsidRPr="00945D96">
        <w:rPr>
          <w:rFonts w:ascii="Times New Roman" w:hAnsi="Times New Roman" w:cs="Times New Roman"/>
          <w:kern w:val="0"/>
          <w:sz w:val="24"/>
          <w:szCs w:val="24"/>
        </w:rPr>
        <w:t xml:space="preserve">ifferential metabolites </w:t>
      </w:r>
      <w:r w:rsidR="00945D96">
        <w:rPr>
          <w:rFonts w:ascii="Times New Roman" w:hAnsi="Times New Roman" w:cs="Times New Roman"/>
          <w:kern w:val="0"/>
          <w:sz w:val="24"/>
        </w:rPr>
        <w:t>≥</w:t>
      </w:r>
      <w:r w:rsidR="00945D96" w:rsidRPr="00945D96">
        <w:rPr>
          <w:rFonts w:ascii="Times New Roman" w:hAnsi="Times New Roman" w:cs="Times New Roman"/>
          <w:kern w:val="0"/>
          <w:sz w:val="24"/>
          <w:szCs w:val="24"/>
        </w:rPr>
        <w:t xml:space="preserve"> 2 in ESI+ or ESI− mode</w:t>
      </w:r>
      <w:r w:rsidR="00945D96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bookmarkEnd w:id="0"/>
      <w:bookmarkEnd w:id="1"/>
      <w:r w:rsidR="00C5409A" w:rsidRPr="00D728F4">
        <w:rPr>
          <w:rFonts w:ascii="Times New Roman" w:hAnsi="Times New Roman" w:cs="Times New Roman"/>
          <w:kern w:val="0"/>
          <w:sz w:val="24"/>
        </w:rPr>
        <w:t xml:space="preserve">during </w:t>
      </w:r>
      <w:r w:rsidR="00A651F5" w:rsidRPr="00D728F4">
        <w:rPr>
          <w:rFonts w:ascii="Times New Roman" w:hAnsi="Times New Roman" w:cs="Times New Roman"/>
          <w:i/>
          <w:kern w:val="0"/>
          <w:sz w:val="24"/>
        </w:rPr>
        <w:t>Toxocara canis</w:t>
      </w:r>
      <w:r w:rsidR="00C5409A" w:rsidRPr="00D728F4">
        <w:rPr>
          <w:rFonts w:ascii="Times New Roman" w:hAnsi="Times New Roman" w:cs="Times New Roman"/>
          <w:kern w:val="0"/>
          <w:sz w:val="24"/>
        </w:rPr>
        <w:t xml:space="preserve"> </w:t>
      </w:r>
      <w:r w:rsidR="00945D96" w:rsidRPr="00D728F4">
        <w:rPr>
          <w:rFonts w:ascii="Times New Roman" w:hAnsi="Times New Roman" w:cs="Times New Roman"/>
          <w:kern w:val="0"/>
          <w:sz w:val="24"/>
        </w:rPr>
        <w:t xml:space="preserve">infection </w:t>
      </w:r>
      <w:r w:rsidR="00945D96">
        <w:rPr>
          <w:rFonts w:ascii="Times New Roman" w:hAnsi="Times New Roman" w:cs="Times New Roman" w:hint="eastAsia"/>
          <w:kern w:val="0"/>
          <w:sz w:val="24"/>
        </w:rPr>
        <w:t xml:space="preserve">in </w:t>
      </w:r>
      <w:r w:rsidR="00945D96" w:rsidRPr="00945D96">
        <w:rPr>
          <w:rFonts w:ascii="Times New Roman" w:hAnsi="Times New Roman" w:cs="Times New Roman"/>
          <w:kern w:val="0"/>
          <w:sz w:val="24"/>
        </w:rPr>
        <w:t>Beagle dog</w:t>
      </w:r>
      <w:r w:rsidR="00945D96">
        <w:rPr>
          <w:rFonts w:ascii="Times New Roman" w:hAnsi="Times New Roman" w:cs="Times New Roman" w:hint="eastAsia"/>
          <w:kern w:val="0"/>
          <w:sz w:val="24"/>
        </w:rPr>
        <w:t>s</w:t>
      </w:r>
      <w:r w:rsidR="00945D96" w:rsidRPr="00945D96">
        <w:rPr>
          <w:rFonts w:ascii="Times New Roman" w:hAnsi="Times New Roman" w:cs="Times New Roman"/>
          <w:kern w:val="0"/>
          <w:sz w:val="24"/>
        </w:rPr>
        <w:t xml:space="preserve"> </w:t>
      </w:r>
      <w:r w:rsidR="00CD3AFE" w:rsidRPr="00D728F4">
        <w:rPr>
          <w:rFonts w:ascii="Times New Roman" w:hAnsi="Times New Roman" w:cs="Times New Roman"/>
          <w:kern w:val="0"/>
          <w:sz w:val="24"/>
        </w:rPr>
        <w:t xml:space="preserve">at </w:t>
      </w:r>
      <w:r w:rsidR="00CD3AFE" w:rsidRPr="00D728F4">
        <w:rPr>
          <w:rFonts w:ascii="Times New Roman" w:hAnsi="Times New Roman" w:cs="Times New Roman" w:hint="eastAsia"/>
          <w:kern w:val="0"/>
          <w:sz w:val="24"/>
        </w:rPr>
        <w:t>24 hpi</w:t>
      </w:r>
      <w:r w:rsidR="00CD3AFE" w:rsidRPr="00D728F4">
        <w:rPr>
          <w:rFonts w:ascii="Times New Roman" w:hAnsi="Times New Roman" w:cs="Times New Roman"/>
          <w:kern w:val="0"/>
          <w:sz w:val="24"/>
        </w:rPr>
        <w:t>,</w:t>
      </w:r>
      <w:r w:rsidR="00CD3AFE" w:rsidRPr="00D728F4">
        <w:rPr>
          <w:rFonts w:ascii="Times New Roman" w:hAnsi="Times New Roman" w:cs="Times New Roman" w:hint="eastAsia"/>
          <w:kern w:val="0"/>
          <w:sz w:val="24"/>
        </w:rPr>
        <w:t xml:space="preserve"> 10 dpi and 36 dpi</w:t>
      </w:r>
      <w:r w:rsidR="005B5C60" w:rsidRPr="00D728F4">
        <w:rPr>
          <w:rFonts w:ascii="Times New Roman" w:hAnsi="Times New Roman" w:cs="Times New Roman"/>
          <w:color w:val="000000" w:themeColor="text1"/>
          <w:kern w:val="0"/>
          <w:sz w:val="24"/>
        </w:rPr>
        <w:t>.</w:t>
      </w:r>
      <w:bookmarkEnd w:id="2"/>
      <w:bookmarkEnd w:id="3"/>
    </w:p>
    <w:p w:rsidR="005B5C60" w:rsidRPr="00FC1614" w:rsidRDefault="005B5C60" w:rsidP="005B5C6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1"/>
        <w:tblW w:w="8396" w:type="dxa"/>
        <w:jc w:val="center"/>
        <w:tblBorders>
          <w:insideH w:val="single" w:sz="8" w:space="0" w:color="000000" w:themeColor="text1"/>
        </w:tblBorders>
        <w:shd w:val="clear" w:color="auto" w:fill="FFFFFF" w:themeFill="background1"/>
        <w:tblLook w:val="04A0"/>
      </w:tblPr>
      <w:tblGrid>
        <w:gridCol w:w="1118"/>
        <w:gridCol w:w="4929"/>
        <w:gridCol w:w="850"/>
        <w:gridCol w:w="748"/>
        <w:gridCol w:w="751"/>
      </w:tblGrid>
      <w:tr w:rsidR="00010384" w:rsidRPr="006849E6" w:rsidTr="00372C70">
        <w:trPr>
          <w:cnfStyle w:val="100000000000"/>
          <w:trHeight w:val="192"/>
          <w:jc w:val="center"/>
        </w:trPr>
        <w:tc>
          <w:tcPr>
            <w:cnfStyle w:val="001000000000"/>
            <w:tcW w:w="1118" w:type="dxa"/>
            <w:vMerge w:val="restart"/>
            <w:shd w:val="clear" w:color="auto" w:fill="FFFFFF" w:themeFill="background1"/>
          </w:tcPr>
          <w:p w:rsidR="00010384" w:rsidRPr="006849E6" w:rsidRDefault="00010384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bookmarkStart w:id="4" w:name="OLE_LINK544"/>
            <w:bookmarkStart w:id="5" w:name="OLE_LINK545"/>
            <w:r w:rsidRPr="006849E6">
              <w:rPr>
                <w:rFonts w:ascii="Times New Roman" w:hAnsi="Times New Roman" w:cs="Times New Roman"/>
                <w:b w:val="0"/>
                <w:color w:val="auto"/>
                <w:kern w:val="0"/>
                <w:szCs w:val="21"/>
              </w:rPr>
              <w:t>Ion mode</w:t>
            </w:r>
          </w:p>
        </w:tc>
        <w:tc>
          <w:tcPr>
            <w:tcW w:w="4929" w:type="dxa"/>
            <w:vMerge w:val="restart"/>
            <w:shd w:val="clear" w:color="auto" w:fill="FFFFFF" w:themeFill="background1"/>
          </w:tcPr>
          <w:p w:rsidR="00010384" w:rsidRPr="006849E6" w:rsidRDefault="00010384" w:rsidP="00595BF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kern w:val="0"/>
                <w:szCs w:val="21"/>
              </w:rPr>
              <w:t>Metabolic pathways</w:t>
            </w:r>
          </w:p>
        </w:tc>
        <w:tc>
          <w:tcPr>
            <w:tcW w:w="2349" w:type="dxa"/>
            <w:gridSpan w:val="3"/>
            <w:shd w:val="clear" w:color="auto" w:fill="FFFFFF" w:themeFill="background1"/>
          </w:tcPr>
          <w:p w:rsidR="008D168F" w:rsidRDefault="0001038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Cs w:val="21"/>
              </w:rPr>
            </w:pPr>
            <w:bookmarkStart w:id="6" w:name="_GoBack"/>
            <w:r>
              <w:rPr>
                <w:rFonts w:ascii="Times New Roman" w:hAnsi="Times New Roman" w:cs="Times New Roman"/>
                <w:b w:val="0"/>
                <w:color w:val="auto"/>
                <w:szCs w:val="21"/>
              </w:rPr>
              <w:t>Number of enriched metabolites in a pathway</w:t>
            </w:r>
            <w:bookmarkEnd w:id="6"/>
          </w:p>
        </w:tc>
      </w:tr>
      <w:tr w:rsidR="00010384" w:rsidRPr="006849E6" w:rsidTr="002520FC">
        <w:trPr>
          <w:cnfStyle w:val="000000100000"/>
          <w:trHeight w:val="192"/>
          <w:jc w:val="center"/>
        </w:trPr>
        <w:tc>
          <w:tcPr>
            <w:cnfStyle w:val="001000000000"/>
            <w:tcW w:w="1118" w:type="dxa"/>
            <w:vMerge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010384" w:rsidRPr="006849E6" w:rsidRDefault="00010384" w:rsidP="00595BFA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929" w:type="dxa"/>
            <w:vMerge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010384" w:rsidRPr="006849E6" w:rsidRDefault="00010384" w:rsidP="00595BFA">
            <w:pPr>
              <w:cnfStyle w:val="00000010000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010384" w:rsidRPr="006849E6" w:rsidRDefault="00010384" w:rsidP="00595BFA">
            <w:pPr>
              <w:cnfStyle w:val="000000100000"/>
              <w:rPr>
                <w:rFonts w:ascii="Times New Roman" w:hAnsi="Times New Roman" w:cs="Times New Roman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24 hpi</w:t>
            </w:r>
          </w:p>
        </w:tc>
        <w:tc>
          <w:tcPr>
            <w:tcW w:w="748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010384" w:rsidRPr="006849E6" w:rsidRDefault="00010384" w:rsidP="00595BFA">
            <w:pPr>
              <w:cnfStyle w:val="000000100000"/>
              <w:rPr>
                <w:rFonts w:ascii="Times New Roman" w:hAnsi="Times New Roman" w:cs="Times New Roman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10 dpi</w:t>
            </w:r>
          </w:p>
        </w:tc>
        <w:tc>
          <w:tcPr>
            <w:tcW w:w="7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010384" w:rsidRPr="006849E6" w:rsidRDefault="00010384" w:rsidP="00595BFA">
            <w:pPr>
              <w:cnfStyle w:val="000000100000"/>
              <w:rPr>
                <w:rFonts w:ascii="Times New Roman" w:hAnsi="Times New Roman" w:cs="Times New Roman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36 dpi</w:t>
            </w:r>
          </w:p>
        </w:tc>
      </w:tr>
      <w:tr w:rsidR="005B5C60" w:rsidRPr="006849E6" w:rsidTr="006849E6">
        <w:trPr>
          <w:jc w:val="center"/>
        </w:trPr>
        <w:tc>
          <w:tcPr>
            <w:cnfStyle w:val="001000000000"/>
            <w:tcW w:w="1118" w:type="dxa"/>
            <w:shd w:val="clear" w:color="auto" w:fill="FFFFFF" w:themeFill="background1"/>
          </w:tcPr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ESI(+)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bookmarkStart w:id="7" w:name="OLE_LINK655"/>
            <w:bookmarkStart w:id="8" w:name="OLE_LINK656"/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</w:t>
            </w:r>
            <w:r w:rsidR="00990DC8" w:rsidRPr="00990DC8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−</w:t>
            </w: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)</w:t>
            </w:r>
          </w:p>
          <w:bookmarkEnd w:id="7"/>
          <w:bookmarkEnd w:id="8"/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</w:t>
            </w:r>
            <w:r w:rsidR="00990DC8" w:rsidRPr="00990DC8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−</w:t>
            </w: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</w:t>
            </w:r>
            <w:r w:rsidR="00990DC8" w:rsidRPr="00990DC8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−</w:t>
            </w: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</w:t>
            </w:r>
            <w:r w:rsidR="00990DC8" w:rsidRPr="00990DC8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−</w:t>
            </w: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</w:t>
            </w:r>
            <w:r w:rsidR="00990DC8" w:rsidRPr="00990DC8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−</w:t>
            </w: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</w:t>
            </w:r>
            <w:r w:rsidR="00990DC8" w:rsidRPr="00990DC8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−</w:t>
            </w: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</w:t>
            </w:r>
            <w:r w:rsidR="00990DC8" w:rsidRPr="00990DC8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−</w:t>
            </w: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</w:t>
            </w:r>
            <w:r w:rsidR="00990DC8" w:rsidRPr="00990DC8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−</w:t>
            </w: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</w:t>
            </w:r>
            <w:r w:rsidR="00990DC8" w:rsidRPr="00990DC8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−</w:t>
            </w: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</w:t>
            </w:r>
            <w:r w:rsidR="00990DC8" w:rsidRPr="00990DC8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−</w:t>
            </w: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</w:t>
            </w:r>
            <w:r w:rsidR="00990DC8" w:rsidRPr="00990DC8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−</w:t>
            </w: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</w:t>
            </w:r>
            <w:r w:rsidR="00990DC8" w:rsidRPr="00990DC8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−</w:t>
            </w: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</w:t>
            </w:r>
            <w:r w:rsidR="00990DC8" w:rsidRPr="00990DC8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−</w:t>
            </w: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lastRenderedPageBreak/>
              <w:t>ESI(</w:t>
            </w:r>
            <w:r w:rsidR="00990DC8" w:rsidRPr="00990DC8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−</w:t>
            </w: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)</w:t>
            </w:r>
          </w:p>
          <w:p w:rsidR="005B5C60" w:rsidRPr="006849E6" w:rsidRDefault="005B5C60" w:rsidP="00595BFA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ESI(</w:t>
            </w:r>
            <w:r w:rsidR="00990DC8" w:rsidRPr="00990DC8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−</w:t>
            </w:r>
            <w:r w:rsidRPr="006849E6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)</w:t>
            </w:r>
          </w:p>
        </w:tc>
        <w:tc>
          <w:tcPr>
            <w:tcW w:w="4929" w:type="dxa"/>
            <w:shd w:val="clear" w:color="auto" w:fill="FFFFFF" w:themeFill="background1"/>
          </w:tcPr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bookmarkStart w:id="9" w:name="OLE_LINK63"/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lastRenderedPageBreak/>
              <w:t>Metabolic pathways</w:t>
            </w:r>
          </w:p>
          <w:bookmarkEnd w:id="9"/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Steroid hormone biosynthesis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Primary bile acid biosynthesis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Serotonergic synapse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Bile secretion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2-Oxocarboxylic acid metabolism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Biosynthesis of unsaturated fatty acids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proofErr w:type="spellStart"/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Ferroptosis</w:t>
            </w:r>
            <w:proofErr w:type="spellEnd"/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Arginine and proline metabolism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proofErr w:type="spellStart"/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Ubiquinone</w:t>
            </w:r>
            <w:proofErr w:type="spellEnd"/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 xml:space="preserve"> and other </w:t>
            </w:r>
            <w:proofErr w:type="spellStart"/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terpenoid-quinone</w:t>
            </w:r>
            <w:proofErr w:type="spellEnd"/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 xml:space="preserve"> biosynthesis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Porphyrin and chlorophyll metabolism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Biosynthesis of amino acids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Inflammatory mediator regulation of TRP channels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proofErr w:type="spellStart"/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Terpenoid</w:t>
            </w:r>
            <w:proofErr w:type="spellEnd"/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 xml:space="preserve"> backbone biosynthesis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Neomycin, kanamycin and gentamicin biosynthesis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Neuroactive ligand-receptor interaction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bookmarkStart w:id="10" w:name="OLE_LINK601"/>
            <w:bookmarkStart w:id="11" w:name="OLE_LINK602"/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Purine</w:t>
            </w:r>
            <w:bookmarkEnd w:id="10"/>
            <w:bookmarkEnd w:id="11"/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 xml:space="preserve"> metabolism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Protein digestion and absorption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Retrograde endocannabinoid signaling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Prolactin signaling pathway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Taste transduction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Histidine metabolism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Thiamine metabolism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Central carbon metabolism in cancer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Metabolic pathways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Arachidonic acid metabolism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Serotonergic synapse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 xml:space="preserve">Pentose and </w:t>
            </w:r>
            <w:proofErr w:type="spellStart"/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glucuronate</w:t>
            </w:r>
            <w:proofErr w:type="spellEnd"/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 xml:space="preserve"> </w:t>
            </w:r>
            <w:proofErr w:type="spellStart"/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interconversions</w:t>
            </w:r>
            <w:proofErr w:type="spellEnd"/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Bile secretion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Carbon metabolism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Galactose metabolism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proofErr w:type="spellStart"/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Ascorbate</w:t>
            </w:r>
            <w:proofErr w:type="spellEnd"/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 xml:space="preserve"> and </w:t>
            </w:r>
            <w:proofErr w:type="spellStart"/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aldarate</w:t>
            </w:r>
            <w:proofErr w:type="spellEnd"/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 xml:space="preserve"> metabolism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Fructose and mannose metabolism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Biosynthesis of amino acids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Pentose phosphate pathway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Glucagon signaling pathway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Primary bile acid biosynthesis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  <w:shd w:val="clear" w:color="auto" w:fill="FFFFFF"/>
              </w:rPr>
              <w:lastRenderedPageBreak/>
              <w:t xml:space="preserve">Purine metabolism </w:t>
            </w:r>
          </w:p>
          <w:p w:rsidR="005B5C60" w:rsidRPr="006849E6" w:rsidRDefault="005B5C60" w:rsidP="00595BFA">
            <w:pPr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Phenylalanine, tyrosine and tryptophan biosynthesis</w:t>
            </w:r>
          </w:p>
        </w:tc>
        <w:tc>
          <w:tcPr>
            <w:tcW w:w="850" w:type="dxa"/>
            <w:shd w:val="clear" w:color="auto" w:fill="FFFFFF" w:themeFill="background1"/>
          </w:tcPr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lastRenderedPageBreak/>
              <w:t>35</w:t>
            </w:r>
            <w:r w:rsidR="00A16D2A" w:rsidRPr="00A16D2A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*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9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14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7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6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27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15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10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6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8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lastRenderedPageBreak/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748" w:type="dxa"/>
            <w:shd w:val="clear" w:color="auto" w:fill="FFFFFF" w:themeFill="background1"/>
          </w:tcPr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lastRenderedPageBreak/>
              <w:t>98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35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10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18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8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6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113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24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17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16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6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7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7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lastRenderedPageBreak/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751" w:type="dxa"/>
            <w:shd w:val="clear" w:color="auto" w:fill="FFFFFF" w:themeFill="background1"/>
          </w:tcPr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lastRenderedPageBreak/>
              <w:t>46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6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9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6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29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4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3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5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1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lastRenderedPageBreak/>
              <w:t>2</w:t>
            </w:r>
          </w:p>
          <w:p w:rsidR="005B5C60" w:rsidRPr="006849E6" w:rsidRDefault="005B5C60" w:rsidP="00595BFA">
            <w:pPr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6849E6">
              <w:rPr>
                <w:rFonts w:ascii="Times New Roman" w:hAnsi="Times New Roman" w:cs="Times New Roman"/>
                <w:color w:val="auto"/>
                <w:szCs w:val="21"/>
              </w:rPr>
              <w:t>2</w:t>
            </w:r>
          </w:p>
        </w:tc>
      </w:tr>
    </w:tbl>
    <w:bookmarkEnd w:id="4"/>
    <w:bookmarkEnd w:id="5"/>
    <w:p w:rsidR="00B00294" w:rsidRPr="00F1562C" w:rsidRDefault="00A16D2A">
      <w:pPr>
        <w:rPr>
          <w:sz w:val="18"/>
          <w:szCs w:val="18"/>
        </w:rPr>
      </w:pP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lastRenderedPageBreak/>
        <w:t>*</w:t>
      </w:r>
      <w:r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 xml:space="preserve"> </w:t>
      </w:r>
      <w:r w:rsidR="00F1562C" w:rsidRPr="00F1562C">
        <w:rPr>
          <w:rFonts w:ascii="Times New Roman" w:hAnsi="Times New Roman" w:cs="Times New Roman"/>
          <w:kern w:val="0"/>
          <w:sz w:val="18"/>
          <w:szCs w:val="18"/>
        </w:rPr>
        <w:t>Number of</w:t>
      </w:r>
      <w:r w:rsidR="00F1562C" w:rsidRPr="00F1562C">
        <w:t xml:space="preserve"> </w:t>
      </w:r>
      <w:r w:rsidR="006421FB">
        <w:rPr>
          <w:rFonts w:ascii="Times New Roman" w:hAnsi="Times New Roman" w:cs="Times New Roman" w:hint="eastAsia"/>
          <w:kern w:val="0"/>
          <w:sz w:val="18"/>
          <w:szCs w:val="18"/>
        </w:rPr>
        <w:t>d</w:t>
      </w:r>
      <w:r w:rsidR="006421FB" w:rsidRPr="00F1562C">
        <w:rPr>
          <w:rFonts w:ascii="Times New Roman" w:hAnsi="Times New Roman" w:cs="Times New Roman"/>
          <w:kern w:val="0"/>
          <w:sz w:val="18"/>
          <w:szCs w:val="18"/>
        </w:rPr>
        <w:t>ifferential</w:t>
      </w:r>
      <w:r w:rsidR="006421FB">
        <w:rPr>
          <w:rFonts w:ascii="Times New Roman" w:hAnsi="Times New Roman" w:cs="Times New Roman"/>
          <w:kern w:val="0"/>
          <w:sz w:val="18"/>
          <w:szCs w:val="18"/>
        </w:rPr>
        <w:t>ly abundant</w:t>
      </w:r>
      <w:r w:rsidR="006421FB" w:rsidRPr="00F1562C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="00F1562C" w:rsidRPr="00F1562C">
        <w:rPr>
          <w:rFonts w:ascii="Times New Roman" w:hAnsi="Times New Roman" w:cs="Times New Roman"/>
          <w:kern w:val="0"/>
          <w:sz w:val="18"/>
          <w:szCs w:val="18"/>
        </w:rPr>
        <w:t>metabolites involved in metabolic pathways</w:t>
      </w:r>
      <w:r w:rsidR="00F1562C" w:rsidRPr="00F1562C">
        <w:rPr>
          <w:rFonts w:ascii="Times New Roman" w:hAnsi="Times New Roman" w:cs="Times New Roman" w:hint="eastAsia"/>
          <w:kern w:val="0"/>
          <w:sz w:val="18"/>
          <w:szCs w:val="18"/>
        </w:rPr>
        <w:t>.</w:t>
      </w:r>
    </w:p>
    <w:sectPr w:rsidR="00B00294" w:rsidRPr="00F1562C" w:rsidSect="005B5C6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B02" w:rsidRDefault="00BA3B02" w:rsidP="005B5C60">
      <w:r>
        <w:separator/>
      </w:r>
    </w:p>
  </w:endnote>
  <w:endnote w:type="continuationSeparator" w:id="0">
    <w:p w:rsidR="00BA3B02" w:rsidRDefault="00BA3B02" w:rsidP="005B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B02" w:rsidRDefault="00BA3B02" w:rsidP="005B5C60">
      <w:r>
        <w:separator/>
      </w:r>
    </w:p>
  </w:footnote>
  <w:footnote w:type="continuationSeparator" w:id="0">
    <w:p w:rsidR="00BA3B02" w:rsidRDefault="00BA3B02" w:rsidP="005B5C60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C60"/>
    <w:rsid w:val="00010384"/>
    <w:rsid w:val="000236ED"/>
    <w:rsid w:val="000455FB"/>
    <w:rsid w:val="00060C91"/>
    <w:rsid w:val="000771D4"/>
    <w:rsid w:val="000837C1"/>
    <w:rsid w:val="0008680A"/>
    <w:rsid w:val="000A1934"/>
    <w:rsid w:val="000A1CCB"/>
    <w:rsid w:val="000C6E43"/>
    <w:rsid w:val="000F0C45"/>
    <w:rsid w:val="00115AC7"/>
    <w:rsid w:val="00122DF0"/>
    <w:rsid w:val="00143FC8"/>
    <w:rsid w:val="00174831"/>
    <w:rsid w:val="00175C36"/>
    <w:rsid w:val="001936C2"/>
    <w:rsid w:val="001A5E47"/>
    <w:rsid w:val="001B044E"/>
    <w:rsid w:val="001C5033"/>
    <w:rsid w:val="001D03ED"/>
    <w:rsid w:val="0021410E"/>
    <w:rsid w:val="00223D7F"/>
    <w:rsid w:val="00286B41"/>
    <w:rsid w:val="002B26C8"/>
    <w:rsid w:val="002B348E"/>
    <w:rsid w:val="002C43DC"/>
    <w:rsid w:val="00302B98"/>
    <w:rsid w:val="00302DB8"/>
    <w:rsid w:val="00310171"/>
    <w:rsid w:val="00337756"/>
    <w:rsid w:val="003405AC"/>
    <w:rsid w:val="0034138B"/>
    <w:rsid w:val="00344F9E"/>
    <w:rsid w:val="00397ACC"/>
    <w:rsid w:val="00422D34"/>
    <w:rsid w:val="00437B3A"/>
    <w:rsid w:val="00445189"/>
    <w:rsid w:val="004466E0"/>
    <w:rsid w:val="004569C8"/>
    <w:rsid w:val="00494F62"/>
    <w:rsid w:val="004C2524"/>
    <w:rsid w:val="004F549F"/>
    <w:rsid w:val="00503583"/>
    <w:rsid w:val="0050444E"/>
    <w:rsid w:val="00511EAC"/>
    <w:rsid w:val="00520DBD"/>
    <w:rsid w:val="00526CA5"/>
    <w:rsid w:val="00540E01"/>
    <w:rsid w:val="00553D42"/>
    <w:rsid w:val="0055538F"/>
    <w:rsid w:val="00556392"/>
    <w:rsid w:val="005777EB"/>
    <w:rsid w:val="005837F2"/>
    <w:rsid w:val="005A3D06"/>
    <w:rsid w:val="005A4B9C"/>
    <w:rsid w:val="005B5AA1"/>
    <w:rsid w:val="005B5C60"/>
    <w:rsid w:val="005C3E7E"/>
    <w:rsid w:val="005C5532"/>
    <w:rsid w:val="005E4A06"/>
    <w:rsid w:val="005F2D7E"/>
    <w:rsid w:val="005F2E35"/>
    <w:rsid w:val="005F3FD9"/>
    <w:rsid w:val="006056FA"/>
    <w:rsid w:val="006219A8"/>
    <w:rsid w:val="006421FB"/>
    <w:rsid w:val="00653F47"/>
    <w:rsid w:val="006543FC"/>
    <w:rsid w:val="00655447"/>
    <w:rsid w:val="006849E6"/>
    <w:rsid w:val="00695A93"/>
    <w:rsid w:val="006A2F8A"/>
    <w:rsid w:val="006A4BDC"/>
    <w:rsid w:val="006C6209"/>
    <w:rsid w:val="006E7F0F"/>
    <w:rsid w:val="0071357D"/>
    <w:rsid w:val="00751389"/>
    <w:rsid w:val="00752EB9"/>
    <w:rsid w:val="00762952"/>
    <w:rsid w:val="00763533"/>
    <w:rsid w:val="00781BBF"/>
    <w:rsid w:val="00796FFA"/>
    <w:rsid w:val="007A6A7B"/>
    <w:rsid w:val="007B09C8"/>
    <w:rsid w:val="007B2153"/>
    <w:rsid w:val="007B40B7"/>
    <w:rsid w:val="008132DD"/>
    <w:rsid w:val="00826251"/>
    <w:rsid w:val="00831528"/>
    <w:rsid w:val="00831D0B"/>
    <w:rsid w:val="008371B5"/>
    <w:rsid w:val="00844A5C"/>
    <w:rsid w:val="0087534F"/>
    <w:rsid w:val="00885DD2"/>
    <w:rsid w:val="008D168F"/>
    <w:rsid w:val="008D4B63"/>
    <w:rsid w:val="008F26AD"/>
    <w:rsid w:val="009056EB"/>
    <w:rsid w:val="00945D96"/>
    <w:rsid w:val="009565C6"/>
    <w:rsid w:val="00972E91"/>
    <w:rsid w:val="00982BA6"/>
    <w:rsid w:val="009879E3"/>
    <w:rsid w:val="00990DC8"/>
    <w:rsid w:val="009B4D23"/>
    <w:rsid w:val="009C5F78"/>
    <w:rsid w:val="009D24DA"/>
    <w:rsid w:val="00A00135"/>
    <w:rsid w:val="00A15C25"/>
    <w:rsid w:val="00A16D2A"/>
    <w:rsid w:val="00A25D90"/>
    <w:rsid w:val="00A3382C"/>
    <w:rsid w:val="00A40F41"/>
    <w:rsid w:val="00A651F5"/>
    <w:rsid w:val="00A652FA"/>
    <w:rsid w:val="00AC02DF"/>
    <w:rsid w:val="00AC25B6"/>
    <w:rsid w:val="00AC5492"/>
    <w:rsid w:val="00AE2DDD"/>
    <w:rsid w:val="00AF5E0F"/>
    <w:rsid w:val="00B00294"/>
    <w:rsid w:val="00B05413"/>
    <w:rsid w:val="00B46368"/>
    <w:rsid w:val="00B56C8D"/>
    <w:rsid w:val="00B653E7"/>
    <w:rsid w:val="00B727B7"/>
    <w:rsid w:val="00B90AF1"/>
    <w:rsid w:val="00BA3B02"/>
    <w:rsid w:val="00BC1B48"/>
    <w:rsid w:val="00BF17AD"/>
    <w:rsid w:val="00BF639C"/>
    <w:rsid w:val="00C30270"/>
    <w:rsid w:val="00C34440"/>
    <w:rsid w:val="00C5409A"/>
    <w:rsid w:val="00C724C9"/>
    <w:rsid w:val="00CB1660"/>
    <w:rsid w:val="00CB6D96"/>
    <w:rsid w:val="00CC2405"/>
    <w:rsid w:val="00CD15E2"/>
    <w:rsid w:val="00CD3AFE"/>
    <w:rsid w:val="00CD7A9E"/>
    <w:rsid w:val="00CF07F8"/>
    <w:rsid w:val="00CF0924"/>
    <w:rsid w:val="00CF76E2"/>
    <w:rsid w:val="00D36542"/>
    <w:rsid w:val="00D728F4"/>
    <w:rsid w:val="00D83C64"/>
    <w:rsid w:val="00D91424"/>
    <w:rsid w:val="00D975E6"/>
    <w:rsid w:val="00D97D6B"/>
    <w:rsid w:val="00DE06F7"/>
    <w:rsid w:val="00E12ED2"/>
    <w:rsid w:val="00E12FF2"/>
    <w:rsid w:val="00E47C34"/>
    <w:rsid w:val="00E83037"/>
    <w:rsid w:val="00E83C64"/>
    <w:rsid w:val="00E97C80"/>
    <w:rsid w:val="00F051D4"/>
    <w:rsid w:val="00F1562C"/>
    <w:rsid w:val="00F2516D"/>
    <w:rsid w:val="00F506BB"/>
    <w:rsid w:val="00F65C03"/>
    <w:rsid w:val="00F8352F"/>
    <w:rsid w:val="00F841ED"/>
    <w:rsid w:val="00F8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5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5C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5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5C60"/>
    <w:rPr>
      <w:sz w:val="18"/>
      <w:szCs w:val="18"/>
    </w:rPr>
  </w:style>
  <w:style w:type="table" w:customStyle="1" w:styleId="1">
    <w:name w:val="浅色底纹1"/>
    <w:basedOn w:val="a1"/>
    <w:uiPriority w:val="60"/>
    <w:rsid w:val="005B5C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Char1"/>
    <w:uiPriority w:val="99"/>
    <w:semiHidden/>
    <w:unhideWhenUsed/>
    <w:rsid w:val="006421FB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21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Zheng Wenbin</cp:lastModifiedBy>
  <cp:revision>19</cp:revision>
  <dcterms:created xsi:type="dcterms:W3CDTF">2019-03-05T11:59:00Z</dcterms:created>
  <dcterms:modified xsi:type="dcterms:W3CDTF">2019-08-27T07:32:00Z</dcterms:modified>
</cp:coreProperties>
</file>