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78" w:rsidRPr="00D06278" w:rsidRDefault="00D06278" w:rsidP="00A95653">
      <w:pPr>
        <w:pStyle w:val="Heading1"/>
        <w:spacing w:line="360" w:lineRule="auto"/>
      </w:pPr>
      <w:r>
        <w:rPr>
          <w:rFonts w:cs="Times New Roman"/>
          <w:sz w:val="24"/>
          <w:szCs w:val="24"/>
        </w:rPr>
        <w:t xml:space="preserve">Additional file 1. Text S1. </w:t>
      </w:r>
      <w:r w:rsidR="0072472F">
        <w:rPr>
          <w:rFonts w:cs="Times New Roman"/>
          <w:b w:val="0"/>
          <w:bCs/>
          <w:sz w:val="24"/>
          <w:szCs w:val="24"/>
        </w:rPr>
        <w:t>Additional</w:t>
      </w:r>
      <w:r w:rsidR="0046083F" w:rsidRPr="00D07CA3">
        <w:rPr>
          <w:rFonts w:cs="Times New Roman"/>
          <w:b w:val="0"/>
          <w:bCs/>
          <w:sz w:val="24"/>
          <w:szCs w:val="24"/>
        </w:rPr>
        <w:t xml:space="preserve"> Methods</w:t>
      </w:r>
    </w:p>
    <w:p w:rsidR="00A95653" w:rsidRDefault="00A95653" w:rsidP="00D2545B">
      <w:pPr>
        <w:pStyle w:val="RegularText"/>
        <w:spacing w:line="360" w:lineRule="auto"/>
        <w:ind w:left="0" w:firstLine="0"/>
        <w:rPr>
          <w:rFonts w:cs="Times New Roman"/>
          <w:b/>
          <w:bCs/>
          <w:szCs w:val="24"/>
        </w:rPr>
      </w:pPr>
    </w:p>
    <w:p w:rsidR="00D2545B" w:rsidRPr="001A42FA" w:rsidRDefault="00D2545B" w:rsidP="00D2545B">
      <w:pPr>
        <w:pStyle w:val="RegularText"/>
        <w:spacing w:line="360" w:lineRule="auto"/>
        <w:ind w:left="0" w:firstLine="0"/>
        <w:rPr>
          <w:rFonts w:cs="Times New Roman"/>
          <w:b/>
          <w:bCs/>
          <w:szCs w:val="24"/>
        </w:rPr>
      </w:pPr>
      <w:r w:rsidRPr="001A42FA">
        <w:rPr>
          <w:rFonts w:cs="Times New Roman"/>
          <w:b/>
          <w:bCs/>
          <w:szCs w:val="24"/>
        </w:rPr>
        <w:t>Regarding PK analysis in Study 1:</w:t>
      </w:r>
    </w:p>
    <w:p w:rsidR="00D2545B" w:rsidRPr="006B06B9" w:rsidRDefault="00D2545B" w:rsidP="00D2545B">
      <w:pPr>
        <w:pStyle w:val="RegularText"/>
        <w:spacing w:line="360" w:lineRule="auto"/>
        <w:ind w:left="0" w:firstLine="0"/>
        <w:rPr>
          <w:rFonts w:cs="Times New Roman"/>
          <w:szCs w:val="24"/>
        </w:rPr>
      </w:pPr>
      <w:r w:rsidRPr="006B06B9">
        <w:rPr>
          <w:rFonts w:cs="Times New Roman"/>
          <w:szCs w:val="24"/>
        </w:rPr>
        <w:t xml:space="preserve">A Waters Acuity UPLC C8 1.7μm, 2.1 x 50 mm column, heated to 50°C, was used (Waters, Milford, MA) in conjunction with a gradient using 0.3% ammonium hydroxide in water and acetonitrile as the 2 mobile phases. Methanol was used as a strong wash and a 0.3% ammonium hydroxide in water:acetonitrile mixture (70:30) as the weak wash. Mass spectrometry was carried out using moxidectin-d3 as an internal standard and an API 5500 LC-MS/MS system (Sciex Applied Biosystems, Foster City, CA). </w:t>
      </w:r>
    </w:p>
    <w:p w:rsidR="00D2545B" w:rsidRPr="006B06B9" w:rsidRDefault="00D2545B" w:rsidP="00D2545B">
      <w:pPr>
        <w:pStyle w:val="RegularText"/>
        <w:keepNext/>
        <w:spacing w:line="360" w:lineRule="auto"/>
        <w:ind w:left="0" w:firstLine="0"/>
        <w:rPr>
          <w:rFonts w:cs="Times New Roman"/>
          <w:szCs w:val="24"/>
        </w:rPr>
      </w:pPr>
    </w:p>
    <w:p w:rsidR="0046083F" w:rsidRPr="00D07CA3" w:rsidRDefault="0046083F" w:rsidP="0046083F">
      <w:pPr>
        <w:pStyle w:val="RegularText"/>
        <w:spacing w:line="360" w:lineRule="auto"/>
        <w:ind w:left="0" w:firstLine="0"/>
        <w:rPr>
          <w:rFonts w:cs="Times New Roman"/>
          <w:b/>
          <w:bCs/>
          <w:szCs w:val="24"/>
        </w:rPr>
      </w:pPr>
      <w:r w:rsidRPr="00D07CA3">
        <w:rPr>
          <w:rFonts w:cs="Times New Roman"/>
          <w:b/>
          <w:bCs/>
          <w:szCs w:val="24"/>
        </w:rPr>
        <w:t>Regarding dose site analysis in Study 1:</w:t>
      </w:r>
    </w:p>
    <w:p w:rsidR="0046083F" w:rsidRDefault="0046083F" w:rsidP="0046083F">
      <w:pPr>
        <w:pStyle w:val="RegularText"/>
        <w:spacing w:line="360" w:lineRule="auto"/>
        <w:ind w:left="0" w:firstLine="0"/>
        <w:rPr>
          <w:rFonts w:cs="Times New Roman"/>
          <w:szCs w:val="24"/>
        </w:rPr>
      </w:pPr>
      <w:r w:rsidRPr="006B06B9">
        <w:rPr>
          <w:rFonts w:cs="Times New Roman"/>
          <w:szCs w:val="24"/>
        </w:rPr>
        <w:t>A Waters Acuity BEH C8 100 x 2.1 mm column, heated to 55°C, was used (Waters, Milford, MA) in conjunction with a gradient using 0.1% ammonium hydroxide in water and acetonitrile as the 2 mobile phases. An acetonitrile:methanol:water:isopropanol mix (3:3:2:2) was used as a strong wash and an acetonitrile:water mixture (60:40 + 0.1% formic acid) as the weak wash. Mass spectrometry was carried out using moxidectin-d3 as an internal standard and an API 4000 LC-MS/MS system (Sciex Applied Biosystems, Foster City, CA).</w:t>
      </w:r>
    </w:p>
    <w:p w:rsidR="00D06278" w:rsidRPr="006B06B9" w:rsidRDefault="00D06278" w:rsidP="0046083F">
      <w:pPr>
        <w:pStyle w:val="RegularText"/>
        <w:spacing w:line="360" w:lineRule="auto"/>
        <w:ind w:left="0" w:firstLine="0"/>
        <w:rPr>
          <w:rFonts w:cs="Times New Roman"/>
          <w:szCs w:val="24"/>
        </w:rPr>
      </w:pPr>
    </w:p>
    <w:p w:rsidR="0046083F" w:rsidRPr="00D07CA3" w:rsidRDefault="0046083F" w:rsidP="0046083F">
      <w:pPr>
        <w:pStyle w:val="RegularText"/>
        <w:keepNext/>
        <w:spacing w:line="360" w:lineRule="auto"/>
        <w:ind w:left="0" w:firstLine="0"/>
        <w:rPr>
          <w:rFonts w:cs="Times New Roman"/>
          <w:b/>
          <w:bCs/>
          <w:szCs w:val="24"/>
        </w:rPr>
      </w:pPr>
      <w:r w:rsidRPr="00D07CA3">
        <w:rPr>
          <w:rFonts w:cs="Times New Roman"/>
          <w:b/>
          <w:bCs/>
          <w:szCs w:val="24"/>
        </w:rPr>
        <w:t>Regarding collection of tissues in Study 1:</w:t>
      </w:r>
    </w:p>
    <w:p w:rsidR="0046083F" w:rsidRPr="006B06B9" w:rsidRDefault="0046083F" w:rsidP="0046083F">
      <w:pPr>
        <w:pStyle w:val="RegularText"/>
        <w:spacing w:line="360" w:lineRule="auto"/>
        <w:ind w:left="0" w:firstLine="0"/>
        <w:rPr>
          <w:rFonts w:cs="Times New Roman"/>
          <w:szCs w:val="24"/>
        </w:rPr>
      </w:pPr>
      <w:r w:rsidRPr="006B06B9">
        <w:rPr>
          <w:rFonts w:cs="Times New Roman"/>
          <w:szCs w:val="24"/>
        </w:rPr>
        <w:t>The following tissues were collected: adrenal glands; aorta; brain; large intestine (cecum, colon, rectum); small intestine (duodenum, jejunum, ileum); dose sites; epididymis; esophagus; eyes and optic nerves; femur and sternum with bone marrow; gall bladder; Peyer’s patch; heart; kidney; lesions; liver; lungs and large bronchi; auxillary, mandibular, mesenteric, and superficial cervical lymph nodes; mammary glands, cervix, uterus, ovaries, and vagina, or prostate and testes; biceps muscle; pancreas; pituitary gland; salivary gland; sciatic nerve; skin and subcutis; spinal cord; spleen; stomach, including the cardia, fundus, and pylorus; thymus; thyroid and parathyroid; tongue; trachea; and urinary bladder. Adrenal glands, brain, heart, kidneys, liver pituitary gland, spleen and either ovaries or testes were weighed. Dose sites were measured for length, width, and depth and photographed by masked necropsy personnel.</w:t>
      </w:r>
    </w:p>
    <w:p w:rsidR="0046083F" w:rsidRPr="006B06B9" w:rsidRDefault="0046083F" w:rsidP="0046083F">
      <w:pPr>
        <w:pStyle w:val="RegularText"/>
        <w:spacing w:line="360" w:lineRule="auto"/>
        <w:ind w:left="0" w:firstLine="0"/>
        <w:rPr>
          <w:rFonts w:cs="Times New Roman"/>
          <w:szCs w:val="24"/>
        </w:rPr>
      </w:pPr>
    </w:p>
    <w:p w:rsidR="0046083F" w:rsidRPr="00D07CA3" w:rsidRDefault="0046083F" w:rsidP="0046083F">
      <w:pPr>
        <w:pStyle w:val="RegularText"/>
        <w:spacing w:line="360" w:lineRule="auto"/>
        <w:ind w:left="0" w:firstLine="0"/>
        <w:rPr>
          <w:rFonts w:cs="Times New Roman"/>
          <w:b/>
          <w:bCs/>
          <w:szCs w:val="24"/>
        </w:rPr>
      </w:pPr>
      <w:r w:rsidRPr="00D07CA3">
        <w:rPr>
          <w:rFonts w:cs="Times New Roman"/>
          <w:b/>
          <w:bCs/>
          <w:szCs w:val="24"/>
        </w:rPr>
        <w:t>Regarding collection of tissues</w:t>
      </w:r>
      <w:r w:rsidR="00D2545B">
        <w:rPr>
          <w:rFonts w:cs="Times New Roman"/>
          <w:b/>
          <w:bCs/>
          <w:szCs w:val="24"/>
        </w:rPr>
        <w:t xml:space="preserve"> in </w:t>
      </w:r>
      <w:r w:rsidR="00D2545B" w:rsidRPr="001A42FA">
        <w:rPr>
          <w:rFonts w:cs="Times New Roman"/>
          <w:b/>
          <w:bCs/>
          <w:szCs w:val="24"/>
        </w:rPr>
        <w:t>Study 3</w:t>
      </w:r>
      <w:r w:rsidRPr="00D07CA3">
        <w:rPr>
          <w:rFonts w:cs="Times New Roman"/>
          <w:b/>
          <w:bCs/>
          <w:szCs w:val="24"/>
        </w:rPr>
        <w:t>:</w:t>
      </w:r>
    </w:p>
    <w:p w:rsidR="0046083F" w:rsidRPr="006B06B9" w:rsidRDefault="0046083F" w:rsidP="0046083F">
      <w:pPr>
        <w:pStyle w:val="RegularText"/>
        <w:spacing w:line="360" w:lineRule="auto"/>
        <w:ind w:left="0" w:firstLine="0"/>
        <w:rPr>
          <w:rFonts w:cs="Times New Roman"/>
          <w:szCs w:val="24"/>
        </w:rPr>
      </w:pPr>
      <w:r w:rsidRPr="006B06B9">
        <w:rPr>
          <w:rFonts w:cs="Times New Roman"/>
          <w:szCs w:val="24"/>
        </w:rPr>
        <w:lastRenderedPageBreak/>
        <w:t>In Study 3, the same organs listed for Study 1 were collected except for minor modifications: dose sites, Peyer’s patches, and the auxiliary and superficial cervical lymph nodes, and ribs with bone marrow, and the tracheobronchial and regional lymph nodes were also included.</w:t>
      </w:r>
    </w:p>
    <w:p w:rsidR="0046083F" w:rsidRPr="006B06B9" w:rsidRDefault="0046083F" w:rsidP="0046083F">
      <w:pPr>
        <w:pStyle w:val="RegularText"/>
        <w:spacing w:line="360" w:lineRule="auto"/>
        <w:ind w:left="0" w:firstLine="0"/>
        <w:rPr>
          <w:rFonts w:cs="Times New Roman"/>
          <w:szCs w:val="24"/>
        </w:rPr>
      </w:pPr>
    </w:p>
    <w:p w:rsidR="0046083F" w:rsidRPr="00D07CA3" w:rsidRDefault="0046083F" w:rsidP="0046083F">
      <w:pPr>
        <w:pStyle w:val="RegularText"/>
        <w:spacing w:line="360" w:lineRule="auto"/>
        <w:ind w:left="0" w:firstLine="0"/>
        <w:rPr>
          <w:rFonts w:cs="Times New Roman"/>
          <w:b/>
          <w:bCs/>
          <w:szCs w:val="24"/>
        </w:rPr>
      </w:pPr>
      <w:bookmarkStart w:id="0" w:name="_Hlk15542950"/>
      <w:r w:rsidRPr="00D07CA3">
        <w:rPr>
          <w:rFonts w:cs="Times New Roman"/>
          <w:b/>
          <w:bCs/>
          <w:szCs w:val="24"/>
        </w:rPr>
        <w:t>Regarding data analysis</w:t>
      </w:r>
      <w:r w:rsidR="00D2545B">
        <w:rPr>
          <w:rFonts w:cs="Times New Roman"/>
          <w:b/>
          <w:bCs/>
          <w:szCs w:val="24"/>
        </w:rPr>
        <w:t xml:space="preserve"> in Study 1</w:t>
      </w:r>
      <w:r w:rsidRPr="00D07CA3">
        <w:rPr>
          <w:rFonts w:cs="Times New Roman"/>
          <w:b/>
          <w:bCs/>
          <w:szCs w:val="24"/>
        </w:rPr>
        <w:t>:</w:t>
      </w:r>
    </w:p>
    <w:p w:rsidR="0046083F" w:rsidRPr="006B06B9" w:rsidRDefault="0046083F" w:rsidP="00D07CA3">
      <w:pPr>
        <w:pStyle w:val="RegularText"/>
        <w:spacing w:line="360" w:lineRule="auto"/>
        <w:ind w:firstLine="0"/>
        <w:rPr>
          <w:rFonts w:cs="Times New Roman"/>
          <w:szCs w:val="24"/>
        </w:rPr>
      </w:pPr>
      <w:bookmarkStart w:id="1" w:name="_GoBack"/>
      <w:bookmarkEnd w:id="0"/>
      <w:r w:rsidRPr="006B06B9">
        <w:rPr>
          <w:rFonts w:cs="Times New Roman"/>
          <w:szCs w:val="24"/>
        </w:rPr>
        <w:t xml:space="preserve">Regarding </w:t>
      </w:r>
      <w:r w:rsidR="00D2545B">
        <w:rPr>
          <w:rFonts w:cs="Times New Roman"/>
          <w:szCs w:val="24"/>
        </w:rPr>
        <w:t xml:space="preserve">the </w:t>
      </w:r>
      <w:r w:rsidRPr="006B06B9">
        <w:rPr>
          <w:rFonts w:cs="Times New Roman"/>
          <w:szCs w:val="24"/>
        </w:rPr>
        <w:t>general linear mixed model for body weight, feed consumption, and quantitative clin pharm parameters</w:t>
      </w:r>
      <w:r w:rsidR="00D2545B">
        <w:rPr>
          <w:rFonts w:cs="Times New Roman"/>
          <w:szCs w:val="24"/>
        </w:rPr>
        <w:t>, t</w:t>
      </w:r>
      <w:r w:rsidRPr="006B06B9">
        <w:rPr>
          <w:rFonts w:cs="Times New Roman"/>
          <w:szCs w:val="24"/>
        </w:rPr>
        <w:t xml:space="preserve">he model included treatment, time, sex, and interactions between those effects as fixed effects. Random effects included block within sex, room, a between block interaction, treatment within sex and room, and error. Baseline covariates were included as appropriate. If there was a statistically significant 3-way interaction (e.g., treatment by sex by time), appropriate alternative comparisons by sex to control or at each time point were made or the data were summarized by descriptive statistics only. Least-squares means, 90% confidence intervals, standard errors, minimums, and maximums were calculated. Change across time was graphically displayed. </w:t>
      </w:r>
    </w:p>
    <w:bookmarkEnd w:id="1"/>
    <w:p w:rsidR="0046083F" w:rsidRPr="006B06B9" w:rsidRDefault="00D2545B" w:rsidP="0046083F">
      <w:pPr>
        <w:pStyle w:val="RegularText"/>
        <w:spacing w:line="360" w:lineRule="auto"/>
        <w:ind w:left="0" w:firstLine="0"/>
        <w:rPr>
          <w:rFonts w:cs="Times New Roman"/>
          <w:szCs w:val="24"/>
        </w:rPr>
      </w:pPr>
      <w:r>
        <w:rPr>
          <w:rFonts w:cs="Times New Roman"/>
          <w:szCs w:val="24"/>
        </w:rPr>
        <w:t>Regarding the o</w:t>
      </w:r>
      <w:r w:rsidR="0046083F" w:rsidRPr="006B06B9">
        <w:rPr>
          <w:rFonts w:cs="Times New Roman"/>
          <w:szCs w:val="24"/>
        </w:rPr>
        <w:t>rgan weights linear model</w:t>
      </w:r>
      <w:r>
        <w:rPr>
          <w:rFonts w:cs="Times New Roman"/>
          <w:szCs w:val="24"/>
        </w:rPr>
        <w:t>, o</w:t>
      </w:r>
      <w:r w:rsidR="0046083F" w:rsidRPr="006B06B9">
        <w:rPr>
          <w:rFonts w:cs="Times New Roman"/>
          <w:szCs w:val="24"/>
        </w:rPr>
        <w:t xml:space="preserve">rgan weights and organ weights relative to final body weight or brain were analyzed using a mixed linear model. Fixed effects included sex, treatment, and a sex by treatment interaction. Random effects included room, block within sex and room, and error. </w:t>
      </w:r>
    </w:p>
    <w:p w:rsidR="0046083F" w:rsidRPr="006B06B9" w:rsidRDefault="0046083F" w:rsidP="0046083F">
      <w:pPr>
        <w:pStyle w:val="RegularText"/>
        <w:spacing w:line="360" w:lineRule="auto"/>
        <w:ind w:left="0" w:firstLine="0"/>
        <w:rPr>
          <w:rFonts w:cs="Times New Roman"/>
          <w:szCs w:val="24"/>
        </w:rPr>
      </w:pPr>
    </w:p>
    <w:p w:rsidR="0046083F" w:rsidRPr="006B06B9" w:rsidRDefault="00D2545B" w:rsidP="0046083F">
      <w:pPr>
        <w:pStyle w:val="RegularText"/>
        <w:spacing w:line="360" w:lineRule="auto"/>
        <w:ind w:left="0" w:firstLine="0"/>
        <w:rPr>
          <w:rFonts w:cs="Times New Roman"/>
          <w:szCs w:val="24"/>
        </w:rPr>
      </w:pPr>
      <w:r w:rsidRPr="006B06B9">
        <w:rPr>
          <w:rFonts w:cs="Times New Roman"/>
          <w:szCs w:val="24"/>
        </w:rPr>
        <w:t>P</w:t>
      </w:r>
      <w:r>
        <w:rPr>
          <w:rFonts w:cs="Times New Roman"/>
          <w:szCs w:val="24"/>
        </w:rPr>
        <w:t>harmacokinetic</w:t>
      </w:r>
      <w:r w:rsidRPr="006B06B9">
        <w:rPr>
          <w:rFonts w:cs="Times New Roman"/>
          <w:szCs w:val="24"/>
        </w:rPr>
        <w:t xml:space="preserve"> </w:t>
      </w:r>
      <w:r w:rsidR="0046083F" w:rsidRPr="006B06B9">
        <w:rPr>
          <w:rFonts w:cs="Times New Roman"/>
          <w:szCs w:val="24"/>
        </w:rPr>
        <w:t>model</w:t>
      </w:r>
      <w:r>
        <w:rPr>
          <w:rFonts w:cs="Times New Roman"/>
          <w:szCs w:val="24"/>
        </w:rPr>
        <w:t>s</w:t>
      </w:r>
      <w:r w:rsidR="0046083F" w:rsidRPr="006B06B9">
        <w:rPr>
          <w:rFonts w:cs="Times New Roman"/>
          <w:szCs w:val="24"/>
        </w:rPr>
        <w:t xml:space="preserve">: </w:t>
      </w:r>
    </w:p>
    <w:p w:rsidR="0046083F" w:rsidRPr="006B06B9" w:rsidRDefault="0046083F" w:rsidP="0046083F">
      <w:pPr>
        <w:pStyle w:val="RegularText"/>
        <w:spacing w:line="360" w:lineRule="auto"/>
        <w:ind w:left="0" w:firstLine="0"/>
        <w:rPr>
          <w:rFonts w:cs="Times New Roman"/>
          <w:szCs w:val="24"/>
        </w:rPr>
      </w:pPr>
      <w:r w:rsidRPr="006B06B9">
        <w:rPr>
          <w:rFonts w:cs="Times New Roman"/>
          <w:szCs w:val="24"/>
        </w:rPr>
        <w:t>The models included the fixed effects of sex, treatment, study day, and all interactions, with random effects of room, block within sex and room, block by treatment interaction within sex and room, and error. The correlation structure was chosen among repeated measures with the smallest Akaikie information criterion. To test for dose</w:t>
      </w:r>
      <w:r w:rsidRPr="006B06B9">
        <w:rPr>
          <w:rFonts w:cs="Times New Roman"/>
          <w:szCs w:val="24"/>
        </w:rPr>
        <w:noBreakHyphen/>
        <w:t>proportionality, it was assumed that the logarithms of the PK parameters (AUC</w:t>
      </w:r>
      <w:r w:rsidRPr="006B06B9">
        <w:rPr>
          <w:rFonts w:cs="Times New Roman"/>
          <w:szCs w:val="24"/>
          <w:vertAlign w:val="subscript"/>
        </w:rPr>
        <w:t xml:space="preserve">0-t </w:t>
      </w:r>
      <w:r w:rsidRPr="006B06B9">
        <w:rPr>
          <w:rFonts w:cs="Times New Roman"/>
          <w:szCs w:val="24"/>
        </w:rPr>
        <w:t>or C</w:t>
      </w:r>
      <w:r w:rsidRPr="006B06B9">
        <w:rPr>
          <w:rFonts w:cs="Times New Roman"/>
          <w:szCs w:val="24"/>
          <w:vertAlign w:val="subscript"/>
        </w:rPr>
        <w:t>max</w:t>
      </w:r>
      <w:r w:rsidRPr="006B06B9">
        <w:rPr>
          <w:rFonts w:cs="Times New Roman"/>
          <w:szCs w:val="24"/>
        </w:rPr>
        <w:t xml:space="preserve">) </w:t>
      </w:r>
      <w:r w:rsidR="00D2545B">
        <w:rPr>
          <w:rFonts w:cs="Times New Roman"/>
          <w:szCs w:val="24"/>
        </w:rPr>
        <w:t>we</w:t>
      </w:r>
      <w:r w:rsidR="00D2545B" w:rsidRPr="006B06B9">
        <w:rPr>
          <w:rFonts w:cs="Times New Roman"/>
          <w:szCs w:val="24"/>
        </w:rPr>
        <w:t xml:space="preserve">re </w:t>
      </w:r>
      <w:r w:rsidRPr="006B06B9">
        <w:rPr>
          <w:rFonts w:cs="Times New Roman"/>
          <w:szCs w:val="24"/>
        </w:rPr>
        <w:t>linearly-related to the logarithm of the dose. Thus, C</w:t>
      </w:r>
      <w:r w:rsidRPr="006B06B9">
        <w:rPr>
          <w:rFonts w:cs="Times New Roman"/>
          <w:szCs w:val="24"/>
          <w:vertAlign w:val="subscript"/>
        </w:rPr>
        <w:t>max</w:t>
      </w:r>
      <w:r w:rsidRPr="006B06B9">
        <w:rPr>
          <w:rFonts w:cs="Times New Roman"/>
          <w:szCs w:val="24"/>
        </w:rPr>
        <w:t xml:space="preserve"> and AUC</w:t>
      </w:r>
      <w:r w:rsidRPr="006B06B9">
        <w:rPr>
          <w:rFonts w:cs="Times New Roman"/>
          <w:szCs w:val="24"/>
          <w:vertAlign w:val="subscript"/>
        </w:rPr>
        <w:t xml:space="preserve">0-t </w:t>
      </w:r>
      <w:r w:rsidRPr="006B06B9">
        <w:rPr>
          <w:rFonts w:cs="Times New Roman"/>
          <w:szCs w:val="24"/>
        </w:rPr>
        <w:t>was fit to the model: Log(Y) = log(α) + β•Log(dose), where Y equal</w:t>
      </w:r>
      <w:r w:rsidR="00D2545B">
        <w:rPr>
          <w:rFonts w:cs="Times New Roman"/>
          <w:szCs w:val="24"/>
        </w:rPr>
        <w:t>s</w:t>
      </w:r>
      <w:r w:rsidRPr="006B06B9">
        <w:rPr>
          <w:rFonts w:cs="Times New Roman"/>
          <w:szCs w:val="24"/>
        </w:rPr>
        <w:t xml:space="preserve"> C</w:t>
      </w:r>
      <w:r w:rsidRPr="006B06B9">
        <w:rPr>
          <w:rFonts w:cs="Times New Roman"/>
          <w:szCs w:val="24"/>
          <w:vertAlign w:val="subscript"/>
        </w:rPr>
        <w:t xml:space="preserve">max </w:t>
      </w:r>
      <w:r w:rsidRPr="006B06B9">
        <w:rPr>
          <w:rFonts w:cs="Times New Roman"/>
          <w:szCs w:val="24"/>
        </w:rPr>
        <w:t>or AUC</w:t>
      </w:r>
      <w:r w:rsidRPr="006B06B9">
        <w:rPr>
          <w:rFonts w:cs="Times New Roman"/>
          <w:szCs w:val="24"/>
          <w:vertAlign w:val="subscript"/>
        </w:rPr>
        <w:t>0-t</w:t>
      </w:r>
      <w:r w:rsidRPr="006B06B9">
        <w:rPr>
          <w:rFonts w:cs="Times New Roman"/>
          <w:szCs w:val="24"/>
        </w:rPr>
        <w:t xml:space="preserve">, α </w:t>
      </w:r>
      <w:r w:rsidR="00D2545B">
        <w:rPr>
          <w:rFonts w:cs="Times New Roman"/>
          <w:szCs w:val="24"/>
        </w:rPr>
        <w:t>wa</w:t>
      </w:r>
      <w:r w:rsidR="00D2545B" w:rsidRPr="006B06B9">
        <w:rPr>
          <w:rFonts w:cs="Times New Roman"/>
          <w:szCs w:val="24"/>
        </w:rPr>
        <w:t xml:space="preserve">s </w:t>
      </w:r>
      <w:r w:rsidRPr="006B06B9">
        <w:rPr>
          <w:rFonts w:cs="Times New Roman"/>
          <w:szCs w:val="24"/>
        </w:rPr>
        <w:t xml:space="preserve">dependent upon other terms in the model, and β </w:t>
      </w:r>
      <w:r w:rsidR="00D2545B" w:rsidRPr="006B06B9">
        <w:rPr>
          <w:rFonts w:cs="Times New Roman"/>
          <w:szCs w:val="24"/>
        </w:rPr>
        <w:t>equal</w:t>
      </w:r>
      <w:r w:rsidR="00D2545B">
        <w:rPr>
          <w:rFonts w:cs="Times New Roman"/>
          <w:szCs w:val="24"/>
        </w:rPr>
        <w:t>led</w:t>
      </w:r>
      <w:r w:rsidR="00D2545B" w:rsidRPr="006B06B9">
        <w:rPr>
          <w:rFonts w:cs="Times New Roman"/>
          <w:szCs w:val="24"/>
        </w:rPr>
        <w:t xml:space="preserve"> </w:t>
      </w:r>
      <w:r w:rsidRPr="006B06B9">
        <w:rPr>
          <w:rFonts w:cs="Times New Roman"/>
          <w:szCs w:val="24"/>
        </w:rPr>
        <w:t xml:space="preserve">1 if dose-proportionality </w:t>
      </w:r>
      <w:r w:rsidR="00D2545B" w:rsidRPr="006B06B9">
        <w:rPr>
          <w:rFonts w:cs="Times New Roman"/>
          <w:szCs w:val="24"/>
        </w:rPr>
        <w:t>h</w:t>
      </w:r>
      <w:r w:rsidR="00D2545B">
        <w:rPr>
          <w:rFonts w:cs="Times New Roman"/>
          <w:szCs w:val="24"/>
        </w:rPr>
        <w:t>e</w:t>
      </w:r>
      <w:r w:rsidR="00D2545B" w:rsidRPr="006B06B9">
        <w:rPr>
          <w:rFonts w:cs="Times New Roman"/>
          <w:szCs w:val="24"/>
        </w:rPr>
        <w:t>ld</w:t>
      </w:r>
      <w:r w:rsidRPr="006B06B9">
        <w:rPr>
          <w:rFonts w:cs="Times New Roman"/>
          <w:szCs w:val="24"/>
        </w:rPr>
        <w:t xml:space="preserve">. Thus, β was estimated using a model with the fixed effects of sex and log (dose) and random effects of room, block within sex and room, and error. Dose proportionality was concluded if the 95% confidence interval on the estimate of β </w:t>
      </w:r>
      <w:r w:rsidR="00D2545B" w:rsidRPr="006B06B9">
        <w:rPr>
          <w:rFonts w:cs="Times New Roman"/>
          <w:szCs w:val="24"/>
        </w:rPr>
        <w:t>include</w:t>
      </w:r>
      <w:r w:rsidR="00D2545B">
        <w:rPr>
          <w:rFonts w:cs="Times New Roman"/>
          <w:szCs w:val="24"/>
        </w:rPr>
        <w:t>d</w:t>
      </w:r>
      <w:r w:rsidR="00D2545B" w:rsidRPr="006B06B9">
        <w:rPr>
          <w:rFonts w:cs="Times New Roman"/>
          <w:szCs w:val="24"/>
        </w:rPr>
        <w:t xml:space="preserve"> </w:t>
      </w:r>
      <w:r w:rsidRPr="006B06B9">
        <w:rPr>
          <w:rFonts w:cs="Times New Roman"/>
          <w:szCs w:val="24"/>
        </w:rPr>
        <w:t xml:space="preserve">1 and the test for lack of fit </w:t>
      </w:r>
      <w:r w:rsidR="00D2545B">
        <w:rPr>
          <w:rFonts w:cs="Times New Roman"/>
          <w:szCs w:val="24"/>
        </w:rPr>
        <w:t>wa</w:t>
      </w:r>
      <w:r w:rsidR="00D2545B" w:rsidRPr="006B06B9">
        <w:rPr>
          <w:rFonts w:cs="Times New Roman"/>
          <w:szCs w:val="24"/>
        </w:rPr>
        <w:t xml:space="preserve">s </w:t>
      </w:r>
      <w:r w:rsidRPr="006B06B9">
        <w:rPr>
          <w:rFonts w:cs="Times New Roman"/>
          <w:szCs w:val="24"/>
        </w:rPr>
        <w:t>not significant.</w:t>
      </w:r>
    </w:p>
    <w:p w:rsidR="0046083F" w:rsidRPr="006B06B9" w:rsidRDefault="0046083F" w:rsidP="0046083F">
      <w:pPr>
        <w:pStyle w:val="RegularText"/>
        <w:spacing w:line="360" w:lineRule="auto"/>
        <w:ind w:left="0" w:firstLine="0"/>
        <w:rPr>
          <w:rFonts w:cs="Times New Roman"/>
          <w:szCs w:val="24"/>
        </w:rPr>
      </w:pPr>
    </w:p>
    <w:p w:rsidR="00D2545B" w:rsidRPr="001A42FA" w:rsidRDefault="00D2545B" w:rsidP="00D2545B">
      <w:pPr>
        <w:pStyle w:val="RegularText"/>
        <w:spacing w:line="360" w:lineRule="auto"/>
        <w:ind w:left="0" w:firstLine="0"/>
        <w:rPr>
          <w:rFonts w:cs="Times New Roman"/>
          <w:b/>
          <w:bCs/>
          <w:szCs w:val="24"/>
        </w:rPr>
      </w:pPr>
      <w:r w:rsidRPr="001A42FA">
        <w:rPr>
          <w:rFonts w:cs="Times New Roman"/>
          <w:b/>
          <w:bCs/>
          <w:szCs w:val="24"/>
        </w:rPr>
        <w:t>Regarding data analysis</w:t>
      </w:r>
      <w:r>
        <w:rPr>
          <w:rFonts w:cs="Times New Roman"/>
          <w:b/>
          <w:bCs/>
          <w:szCs w:val="24"/>
        </w:rPr>
        <w:t xml:space="preserve"> in Study 2</w:t>
      </w:r>
      <w:r w:rsidRPr="001A42FA">
        <w:rPr>
          <w:rFonts w:cs="Times New Roman"/>
          <w:b/>
          <w:bCs/>
          <w:szCs w:val="24"/>
        </w:rPr>
        <w:t>:</w:t>
      </w:r>
    </w:p>
    <w:p w:rsidR="0046083F" w:rsidRPr="006B06B9" w:rsidRDefault="0046083F" w:rsidP="0046083F">
      <w:pPr>
        <w:pStyle w:val="RegularText"/>
        <w:spacing w:line="360" w:lineRule="auto"/>
        <w:ind w:left="0" w:firstLine="0"/>
        <w:rPr>
          <w:rFonts w:cs="Times New Roman"/>
          <w:szCs w:val="24"/>
        </w:rPr>
      </w:pPr>
      <w:r w:rsidRPr="006B06B9">
        <w:rPr>
          <w:rFonts w:cs="Times New Roman"/>
          <w:szCs w:val="24"/>
        </w:rPr>
        <w:t xml:space="preserve">The </w:t>
      </w:r>
      <w:r w:rsidR="00D2545B" w:rsidRPr="006B06B9">
        <w:rPr>
          <w:rFonts w:cs="Times New Roman"/>
          <w:szCs w:val="24"/>
        </w:rPr>
        <w:t xml:space="preserve">mixed model </w:t>
      </w:r>
      <w:r w:rsidRPr="006B06B9">
        <w:rPr>
          <w:rFonts w:cs="Times New Roman"/>
          <w:szCs w:val="24"/>
        </w:rPr>
        <w:t>repeated measures analysis included the average pretreatment measurement as a covariate in the model, tested at the 5% level</w:t>
      </w:r>
      <w:r w:rsidR="00D2545B">
        <w:rPr>
          <w:rFonts w:cs="Times New Roman"/>
          <w:szCs w:val="24"/>
        </w:rPr>
        <w:t xml:space="preserve"> of significance</w:t>
      </w:r>
      <w:r w:rsidRPr="006B06B9">
        <w:rPr>
          <w:rFonts w:cs="Times New Roman"/>
          <w:szCs w:val="24"/>
        </w:rPr>
        <w:t>, and contained treatment, block, treatment by block interaction, day, and treatment by day interaction as fixed effects</w:t>
      </w:r>
      <w:r w:rsidR="00D2545B">
        <w:rPr>
          <w:rFonts w:cs="Times New Roman"/>
          <w:szCs w:val="24"/>
        </w:rPr>
        <w:t>,</w:t>
      </w:r>
      <w:r w:rsidRPr="006B06B9">
        <w:rPr>
          <w:rFonts w:cs="Times New Roman"/>
          <w:szCs w:val="24"/>
        </w:rPr>
        <w:t xml:space="preserve"> with block and block by treatment interaction considered random effects.</w:t>
      </w:r>
    </w:p>
    <w:p w:rsidR="0046083F" w:rsidRPr="006B06B9" w:rsidRDefault="0046083F" w:rsidP="0046083F">
      <w:pPr>
        <w:pStyle w:val="RegularText"/>
        <w:spacing w:line="360" w:lineRule="auto"/>
        <w:ind w:left="0" w:firstLine="0"/>
        <w:rPr>
          <w:rFonts w:cs="Times New Roman"/>
          <w:szCs w:val="24"/>
        </w:rPr>
      </w:pPr>
    </w:p>
    <w:p w:rsidR="0046083F" w:rsidRPr="006B06B9" w:rsidRDefault="00D2545B" w:rsidP="0046083F">
      <w:pPr>
        <w:pStyle w:val="RegularText"/>
        <w:spacing w:line="360" w:lineRule="auto"/>
        <w:ind w:left="0" w:firstLine="0"/>
        <w:rPr>
          <w:rFonts w:cs="Times New Roman"/>
          <w:szCs w:val="24"/>
        </w:rPr>
      </w:pPr>
      <w:r w:rsidRPr="001A42FA">
        <w:rPr>
          <w:rFonts w:cs="Times New Roman"/>
          <w:b/>
          <w:bCs/>
          <w:szCs w:val="24"/>
        </w:rPr>
        <w:t>Regarding data analysis</w:t>
      </w:r>
      <w:r>
        <w:rPr>
          <w:rFonts w:cs="Times New Roman"/>
          <w:b/>
          <w:bCs/>
          <w:szCs w:val="24"/>
        </w:rPr>
        <w:t xml:space="preserve"> in Study 3</w:t>
      </w:r>
      <w:r w:rsidRPr="001A42FA">
        <w:rPr>
          <w:rFonts w:cs="Times New Roman"/>
          <w:b/>
          <w:bCs/>
          <w:szCs w:val="24"/>
        </w:rPr>
        <w:t>:</w:t>
      </w:r>
    </w:p>
    <w:p w:rsidR="0046083F" w:rsidRPr="006B06B9" w:rsidRDefault="0046083F" w:rsidP="0046083F">
      <w:pPr>
        <w:pStyle w:val="RegularText"/>
        <w:spacing w:line="360" w:lineRule="auto"/>
        <w:ind w:left="0" w:firstLine="0"/>
        <w:rPr>
          <w:rFonts w:cs="Times New Roman"/>
          <w:szCs w:val="24"/>
        </w:rPr>
      </w:pPr>
      <w:r w:rsidRPr="006B06B9">
        <w:rPr>
          <w:rFonts w:cs="Times New Roman"/>
          <w:szCs w:val="24"/>
        </w:rPr>
        <w:t>For each endpoint, a Leven</w:t>
      </w:r>
      <w:r w:rsidR="00D2545B">
        <w:rPr>
          <w:rFonts w:cs="Times New Roman"/>
          <w:szCs w:val="24"/>
        </w:rPr>
        <w:t>e</w:t>
      </w:r>
      <w:r w:rsidRPr="006B06B9">
        <w:rPr>
          <w:rFonts w:cs="Times New Roman"/>
          <w:szCs w:val="24"/>
        </w:rPr>
        <w:t xml:space="preserve">’s test assessed homogeneity of group variance. If Levene’s test was not significant, </w:t>
      </w:r>
      <w:r w:rsidR="00AD3541">
        <w:rPr>
          <w:rFonts w:cs="Times New Roman"/>
          <w:szCs w:val="24"/>
        </w:rPr>
        <w:t xml:space="preserve">then </w:t>
      </w:r>
      <w:r w:rsidRPr="006B06B9">
        <w:rPr>
          <w:rFonts w:cs="Times New Roman"/>
          <w:szCs w:val="24"/>
        </w:rPr>
        <w:t xml:space="preserve">a Dunnett’s test compared each group to control. If Levene’s test was significant, </w:t>
      </w:r>
      <w:r w:rsidR="00AD3541">
        <w:rPr>
          <w:rFonts w:cs="Times New Roman"/>
          <w:szCs w:val="24"/>
        </w:rPr>
        <w:t xml:space="preserve">then </w:t>
      </w:r>
      <w:r w:rsidRPr="006B06B9">
        <w:rPr>
          <w:rFonts w:cs="Times New Roman"/>
          <w:szCs w:val="24"/>
        </w:rPr>
        <w:t>comparisons to control were made using Welch’s test with a Bonferroni correction.</w:t>
      </w:r>
    </w:p>
    <w:p w:rsidR="00801591" w:rsidRDefault="0072472F"/>
    <w:sectPr w:rsidR="00801591" w:rsidSect="002630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DisplayPageBoundaries/>
  <w:revisionView w:markup="0"/>
  <w:defaultTabStop w:val="720"/>
  <w:characterSpacingControl w:val="doNotCompress"/>
  <w:compat/>
  <w:rsids>
    <w:rsidRoot w:val="0046083F"/>
    <w:rsid w:val="00071C7B"/>
    <w:rsid w:val="001A211B"/>
    <w:rsid w:val="0026306E"/>
    <w:rsid w:val="00380C1D"/>
    <w:rsid w:val="0046083F"/>
    <w:rsid w:val="00666E84"/>
    <w:rsid w:val="0072472F"/>
    <w:rsid w:val="00811422"/>
    <w:rsid w:val="00A95653"/>
    <w:rsid w:val="00AD3541"/>
    <w:rsid w:val="00CA3A70"/>
    <w:rsid w:val="00CF223B"/>
    <w:rsid w:val="00D06278"/>
    <w:rsid w:val="00D07CA3"/>
    <w:rsid w:val="00D2545B"/>
    <w:rsid w:val="00D33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6E"/>
  </w:style>
  <w:style w:type="paragraph" w:styleId="Heading1">
    <w:name w:val="heading 1"/>
    <w:basedOn w:val="Normal"/>
    <w:next w:val="RegularText"/>
    <w:link w:val="Heading1Char"/>
    <w:uiPriority w:val="9"/>
    <w:qFormat/>
    <w:rsid w:val="0046083F"/>
    <w:pPr>
      <w:keepNext/>
      <w:keepLines/>
      <w:spacing w:before="120" w:after="0" w:line="480" w:lineRule="auto"/>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83F"/>
    <w:rPr>
      <w:rFonts w:ascii="Times New Roman" w:eastAsiaTheme="majorEastAsia" w:hAnsi="Times New Roman" w:cstheme="majorBidi"/>
      <w:b/>
      <w:sz w:val="28"/>
      <w:szCs w:val="32"/>
    </w:rPr>
  </w:style>
  <w:style w:type="paragraph" w:customStyle="1" w:styleId="RegularText">
    <w:name w:val="Regular Text"/>
    <w:basedOn w:val="Normal"/>
    <w:link w:val="RegularTextChar"/>
    <w:qFormat/>
    <w:rsid w:val="0046083F"/>
    <w:pPr>
      <w:spacing w:after="0" w:line="480" w:lineRule="auto"/>
      <w:ind w:left="101" w:firstLine="202"/>
    </w:pPr>
    <w:rPr>
      <w:rFonts w:ascii="Times New Roman" w:hAnsi="Times New Roman"/>
      <w:sz w:val="24"/>
    </w:rPr>
  </w:style>
  <w:style w:type="character" w:customStyle="1" w:styleId="RegularTextChar">
    <w:name w:val="Regular Text Char"/>
    <w:basedOn w:val="DefaultParagraphFont"/>
    <w:link w:val="RegularText"/>
    <w:rsid w:val="0046083F"/>
    <w:rPr>
      <w:rFonts w:ascii="Times New Roman" w:hAnsi="Times New Roman"/>
      <w:sz w:val="24"/>
    </w:rPr>
  </w:style>
  <w:style w:type="paragraph" w:styleId="BalloonText">
    <w:name w:val="Balloon Text"/>
    <w:basedOn w:val="Normal"/>
    <w:link w:val="BalloonTextChar"/>
    <w:uiPriority w:val="99"/>
    <w:semiHidden/>
    <w:unhideWhenUsed/>
    <w:rsid w:val="00D06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278"/>
    <w:rPr>
      <w:rFonts w:ascii="Segoe UI" w:hAnsi="Segoe UI" w:cs="Segoe UI"/>
      <w:sz w:val="18"/>
      <w:szCs w:val="18"/>
    </w:rPr>
  </w:style>
  <w:style w:type="character" w:styleId="CommentReference">
    <w:name w:val="annotation reference"/>
    <w:basedOn w:val="DefaultParagraphFont"/>
    <w:uiPriority w:val="99"/>
    <w:semiHidden/>
    <w:unhideWhenUsed/>
    <w:rsid w:val="00D06278"/>
    <w:rPr>
      <w:sz w:val="16"/>
      <w:szCs w:val="16"/>
    </w:rPr>
  </w:style>
  <w:style w:type="paragraph" w:styleId="CommentText">
    <w:name w:val="annotation text"/>
    <w:basedOn w:val="Normal"/>
    <w:link w:val="CommentTextChar"/>
    <w:uiPriority w:val="99"/>
    <w:semiHidden/>
    <w:unhideWhenUsed/>
    <w:rsid w:val="00D06278"/>
    <w:pPr>
      <w:spacing w:line="240" w:lineRule="auto"/>
    </w:pPr>
    <w:rPr>
      <w:sz w:val="20"/>
      <w:szCs w:val="20"/>
    </w:rPr>
  </w:style>
  <w:style w:type="character" w:customStyle="1" w:styleId="CommentTextChar">
    <w:name w:val="Comment Text Char"/>
    <w:basedOn w:val="DefaultParagraphFont"/>
    <w:link w:val="CommentText"/>
    <w:uiPriority w:val="99"/>
    <w:semiHidden/>
    <w:rsid w:val="00D06278"/>
    <w:rPr>
      <w:sz w:val="20"/>
      <w:szCs w:val="20"/>
    </w:rPr>
  </w:style>
  <w:style w:type="paragraph" w:styleId="CommentSubject">
    <w:name w:val="annotation subject"/>
    <w:basedOn w:val="CommentText"/>
    <w:next w:val="CommentText"/>
    <w:link w:val="CommentSubjectChar"/>
    <w:uiPriority w:val="99"/>
    <w:semiHidden/>
    <w:unhideWhenUsed/>
    <w:rsid w:val="00D06278"/>
    <w:rPr>
      <w:b/>
      <w:bCs/>
    </w:rPr>
  </w:style>
  <w:style w:type="character" w:customStyle="1" w:styleId="CommentSubjectChar">
    <w:name w:val="Comment Subject Char"/>
    <w:basedOn w:val="CommentTextChar"/>
    <w:link w:val="CommentSubject"/>
    <w:uiPriority w:val="99"/>
    <w:semiHidden/>
    <w:rsid w:val="00D06278"/>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2019-08-01T19:12:00Z</dcterms:created>
  <dcterms:modified xsi:type="dcterms:W3CDTF">2019-08-29T13:31:00Z</dcterms:modified>
</cp:coreProperties>
</file>