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736" w:rsidRDefault="00294729" w:rsidP="00977736">
      <w:pPr>
        <w:rPr>
          <w:rFonts w:ascii="Arial" w:hAnsi="Arial" w:cs="Arial"/>
        </w:rPr>
      </w:pPr>
      <w:r w:rsidRPr="00062B0F">
        <w:rPr>
          <w:rFonts w:ascii="Arial" w:hAnsi="Arial" w:cs="Arial"/>
        </w:rPr>
        <w:t>Additional</w:t>
      </w:r>
      <w:r w:rsidR="00977736" w:rsidRPr="00062B0F">
        <w:rPr>
          <w:rFonts w:ascii="Arial" w:hAnsi="Arial" w:cs="Arial"/>
        </w:rPr>
        <w:t xml:space="preserve"> file </w:t>
      </w:r>
      <w:r w:rsidR="00394A42">
        <w:rPr>
          <w:rFonts w:ascii="Arial" w:hAnsi="Arial" w:cs="Arial"/>
        </w:rPr>
        <w:t>2</w:t>
      </w:r>
      <w:r w:rsidR="00977736" w:rsidRPr="00062B0F">
        <w:rPr>
          <w:rFonts w:ascii="Arial" w:hAnsi="Arial" w:cs="Arial"/>
        </w:rPr>
        <w:t>.</w:t>
      </w:r>
      <w:r w:rsidR="00977736" w:rsidRPr="00220057">
        <w:rPr>
          <w:rFonts w:ascii="Arial" w:hAnsi="Arial" w:cs="Arial"/>
        </w:rPr>
        <w:t xml:space="preserve"> Risk of bias and</w:t>
      </w:r>
      <w:r>
        <w:rPr>
          <w:rFonts w:ascii="Arial" w:hAnsi="Arial" w:cs="Arial"/>
        </w:rPr>
        <w:t xml:space="preserve"> applicability concerns summary</w:t>
      </w:r>
      <w:r w:rsidR="00977736" w:rsidRPr="00220057">
        <w:rPr>
          <w:rFonts w:ascii="Arial" w:hAnsi="Arial" w:cs="Arial"/>
        </w:rPr>
        <w:t xml:space="preserve"> </w:t>
      </w:r>
    </w:p>
    <w:tbl>
      <w:tblPr>
        <w:tblStyle w:val="TableGrid"/>
        <w:tblW w:w="0" w:type="auto"/>
        <w:tblInd w:w="-147" w:type="dxa"/>
        <w:tblLayout w:type="fixed"/>
        <w:tblLook w:val="04A0" w:firstRow="1" w:lastRow="0" w:firstColumn="1" w:lastColumn="0" w:noHBand="0" w:noVBand="1"/>
      </w:tblPr>
      <w:tblGrid>
        <w:gridCol w:w="2410"/>
        <w:gridCol w:w="741"/>
        <w:gridCol w:w="535"/>
        <w:gridCol w:w="142"/>
        <w:gridCol w:w="567"/>
        <w:gridCol w:w="142"/>
        <w:gridCol w:w="708"/>
        <w:gridCol w:w="709"/>
      </w:tblGrid>
      <w:tr w:rsidR="00977736" w:rsidRPr="00977736" w:rsidTr="009C41DE">
        <w:tc>
          <w:tcPr>
            <w:tcW w:w="2410" w:type="dxa"/>
            <w:vMerge w:val="restart"/>
          </w:tcPr>
          <w:p w:rsidR="00977736" w:rsidRPr="00977736" w:rsidRDefault="00977736" w:rsidP="009C41DE">
            <w:pPr>
              <w:rPr>
                <w:rFonts w:ascii="Arial" w:hAnsi="Arial" w:cs="Arial"/>
                <w:sz w:val="18"/>
                <w:szCs w:val="18"/>
              </w:rPr>
            </w:pPr>
          </w:p>
        </w:tc>
        <w:tc>
          <w:tcPr>
            <w:tcW w:w="2127" w:type="dxa"/>
            <w:gridSpan w:val="5"/>
          </w:tcPr>
          <w:p w:rsidR="00977736" w:rsidRPr="00977736" w:rsidRDefault="00977736" w:rsidP="009C41DE">
            <w:pPr>
              <w:jc w:val="center"/>
              <w:rPr>
                <w:rFonts w:ascii="Arial" w:hAnsi="Arial" w:cs="Arial"/>
                <w:b/>
                <w:sz w:val="18"/>
                <w:szCs w:val="18"/>
              </w:rPr>
            </w:pPr>
            <w:r w:rsidRPr="00977736">
              <w:rPr>
                <w:rFonts w:ascii="Arial" w:hAnsi="Arial" w:cs="Arial"/>
                <w:b/>
                <w:sz w:val="18"/>
                <w:szCs w:val="18"/>
              </w:rPr>
              <w:t>Risk of bias</w:t>
            </w:r>
          </w:p>
        </w:tc>
        <w:tc>
          <w:tcPr>
            <w:tcW w:w="1417" w:type="dxa"/>
            <w:gridSpan w:val="2"/>
          </w:tcPr>
          <w:p w:rsidR="00977736" w:rsidRPr="00977736" w:rsidRDefault="00977736" w:rsidP="009C41DE">
            <w:pPr>
              <w:jc w:val="center"/>
              <w:rPr>
                <w:rFonts w:ascii="Arial" w:hAnsi="Arial" w:cs="Arial"/>
                <w:b/>
                <w:sz w:val="18"/>
                <w:szCs w:val="18"/>
              </w:rPr>
            </w:pPr>
            <w:r w:rsidRPr="00977736">
              <w:rPr>
                <w:rFonts w:ascii="Arial" w:hAnsi="Arial" w:cs="Arial"/>
                <w:b/>
                <w:sz w:val="18"/>
                <w:szCs w:val="18"/>
              </w:rPr>
              <w:t>Applicability concerns</w:t>
            </w:r>
          </w:p>
        </w:tc>
      </w:tr>
      <w:tr w:rsidR="00977736" w:rsidRPr="00977736" w:rsidTr="009C41DE">
        <w:trPr>
          <w:cantSplit/>
          <w:trHeight w:val="1134"/>
        </w:trPr>
        <w:tc>
          <w:tcPr>
            <w:tcW w:w="2410" w:type="dxa"/>
            <w:vMerge/>
          </w:tcPr>
          <w:p w:rsidR="00977736" w:rsidRPr="00977736" w:rsidRDefault="00977736" w:rsidP="009C41DE">
            <w:pPr>
              <w:rPr>
                <w:rFonts w:ascii="Arial" w:hAnsi="Arial" w:cs="Arial"/>
                <w:sz w:val="18"/>
                <w:szCs w:val="18"/>
              </w:rPr>
            </w:pPr>
          </w:p>
        </w:tc>
        <w:tc>
          <w:tcPr>
            <w:tcW w:w="741" w:type="dxa"/>
            <w:textDirection w:val="btLr"/>
            <w:vAlign w:val="center"/>
          </w:tcPr>
          <w:p w:rsidR="00977736" w:rsidRPr="00977736" w:rsidRDefault="00977736" w:rsidP="009C41DE">
            <w:pPr>
              <w:ind w:left="113" w:right="113"/>
              <w:jc w:val="center"/>
              <w:rPr>
                <w:rFonts w:ascii="Arial" w:hAnsi="Arial" w:cs="Arial"/>
                <w:b/>
                <w:sz w:val="18"/>
                <w:szCs w:val="18"/>
              </w:rPr>
            </w:pPr>
            <w:r w:rsidRPr="00977736">
              <w:rPr>
                <w:rFonts w:ascii="Arial" w:hAnsi="Arial" w:cs="Arial"/>
                <w:b/>
                <w:sz w:val="18"/>
                <w:szCs w:val="18"/>
              </w:rPr>
              <w:t>Patient selection</w:t>
            </w:r>
          </w:p>
          <w:p w:rsidR="00977736" w:rsidRPr="00977736" w:rsidRDefault="00977736" w:rsidP="009C41DE">
            <w:pPr>
              <w:ind w:left="113" w:right="113"/>
              <w:jc w:val="center"/>
              <w:rPr>
                <w:rFonts w:ascii="Arial" w:hAnsi="Arial" w:cs="Arial"/>
                <w:b/>
                <w:sz w:val="18"/>
                <w:szCs w:val="18"/>
              </w:rPr>
            </w:pPr>
          </w:p>
          <w:p w:rsidR="00977736" w:rsidRPr="00977736" w:rsidRDefault="00977736" w:rsidP="009C41DE">
            <w:pPr>
              <w:ind w:left="113" w:right="113"/>
              <w:jc w:val="center"/>
              <w:rPr>
                <w:rFonts w:ascii="Arial" w:hAnsi="Arial" w:cs="Arial"/>
                <w:b/>
                <w:sz w:val="18"/>
                <w:szCs w:val="18"/>
              </w:rPr>
            </w:pPr>
          </w:p>
        </w:tc>
        <w:tc>
          <w:tcPr>
            <w:tcW w:w="677" w:type="dxa"/>
            <w:gridSpan w:val="2"/>
            <w:textDirection w:val="btLr"/>
            <w:vAlign w:val="center"/>
          </w:tcPr>
          <w:p w:rsidR="00977736" w:rsidRPr="00977736" w:rsidRDefault="00977736" w:rsidP="009C41DE">
            <w:pPr>
              <w:ind w:left="113" w:right="113"/>
              <w:jc w:val="center"/>
              <w:rPr>
                <w:rFonts w:ascii="Arial" w:hAnsi="Arial" w:cs="Arial"/>
                <w:b/>
                <w:sz w:val="18"/>
                <w:szCs w:val="18"/>
              </w:rPr>
            </w:pPr>
            <w:r w:rsidRPr="00977736">
              <w:rPr>
                <w:rFonts w:ascii="Arial" w:hAnsi="Arial" w:cs="Arial"/>
                <w:b/>
                <w:sz w:val="18"/>
                <w:szCs w:val="18"/>
              </w:rPr>
              <w:t>Index test</w:t>
            </w:r>
          </w:p>
        </w:tc>
        <w:tc>
          <w:tcPr>
            <w:tcW w:w="709" w:type="dxa"/>
            <w:gridSpan w:val="2"/>
            <w:textDirection w:val="btLr"/>
            <w:vAlign w:val="center"/>
          </w:tcPr>
          <w:p w:rsidR="00977736" w:rsidRPr="00977736" w:rsidRDefault="00977736" w:rsidP="009C41DE">
            <w:pPr>
              <w:ind w:left="113" w:right="113"/>
              <w:jc w:val="center"/>
              <w:rPr>
                <w:rFonts w:ascii="Arial" w:hAnsi="Arial" w:cs="Arial"/>
                <w:b/>
                <w:sz w:val="18"/>
                <w:szCs w:val="18"/>
              </w:rPr>
            </w:pPr>
            <w:r w:rsidRPr="00977736">
              <w:rPr>
                <w:rFonts w:ascii="Arial" w:hAnsi="Arial" w:cs="Arial"/>
                <w:b/>
                <w:sz w:val="18"/>
                <w:szCs w:val="18"/>
              </w:rPr>
              <w:t>Flow and timing</w:t>
            </w:r>
          </w:p>
        </w:tc>
        <w:tc>
          <w:tcPr>
            <w:tcW w:w="708" w:type="dxa"/>
            <w:textDirection w:val="btLr"/>
            <w:vAlign w:val="center"/>
          </w:tcPr>
          <w:p w:rsidR="00977736" w:rsidRPr="00977736" w:rsidRDefault="00977736" w:rsidP="009C41DE">
            <w:pPr>
              <w:ind w:left="113" w:right="113"/>
              <w:jc w:val="center"/>
              <w:rPr>
                <w:rFonts w:ascii="Arial" w:hAnsi="Arial" w:cs="Arial"/>
                <w:b/>
                <w:sz w:val="18"/>
                <w:szCs w:val="18"/>
              </w:rPr>
            </w:pPr>
            <w:r w:rsidRPr="00977736">
              <w:rPr>
                <w:rFonts w:ascii="Arial" w:hAnsi="Arial" w:cs="Arial"/>
                <w:b/>
                <w:sz w:val="18"/>
                <w:szCs w:val="18"/>
              </w:rPr>
              <w:t>Patient selection</w:t>
            </w:r>
          </w:p>
        </w:tc>
        <w:tc>
          <w:tcPr>
            <w:tcW w:w="709" w:type="dxa"/>
            <w:textDirection w:val="btLr"/>
            <w:vAlign w:val="center"/>
          </w:tcPr>
          <w:p w:rsidR="00977736" w:rsidRPr="00977736" w:rsidRDefault="00977736" w:rsidP="009C41DE">
            <w:pPr>
              <w:ind w:left="113" w:right="113"/>
              <w:jc w:val="center"/>
              <w:rPr>
                <w:rFonts w:ascii="Arial" w:hAnsi="Arial" w:cs="Arial"/>
                <w:b/>
                <w:sz w:val="18"/>
                <w:szCs w:val="18"/>
              </w:rPr>
            </w:pPr>
            <w:r w:rsidRPr="00977736">
              <w:rPr>
                <w:rFonts w:ascii="Arial" w:hAnsi="Arial" w:cs="Arial"/>
                <w:b/>
                <w:sz w:val="18"/>
                <w:szCs w:val="18"/>
              </w:rPr>
              <w:t>Index test</w:t>
            </w:r>
          </w:p>
        </w:tc>
      </w:tr>
      <w:tr w:rsidR="00867802" w:rsidRPr="00977736" w:rsidTr="00351FEF">
        <w:tc>
          <w:tcPr>
            <w:tcW w:w="2410" w:type="dxa"/>
          </w:tcPr>
          <w:p w:rsidR="00867802" w:rsidRPr="00CF6F45" w:rsidRDefault="00867802" w:rsidP="00867802">
            <w:pPr>
              <w:rPr>
                <w:rFonts w:ascii="Arial" w:hAnsi="Arial" w:cs="Arial"/>
                <w:sz w:val="18"/>
                <w:szCs w:val="18"/>
              </w:rPr>
            </w:pPr>
            <w:proofErr w:type="spellStart"/>
            <w:r w:rsidRPr="00CF6F45">
              <w:rPr>
                <w:rFonts w:ascii="Arial" w:hAnsi="Arial" w:cs="Arial"/>
                <w:sz w:val="18"/>
                <w:szCs w:val="18"/>
              </w:rPr>
              <w:t>Beume</w:t>
            </w:r>
            <w:proofErr w:type="spellEnd"/>
            <w:r w:rsidRPr="00CF6F45">
              <w:rPr>
                <w:rFonts w:ascii="Arial" w:hAnsi="Arial" w:cs="Arial"/>
                <w:sz w:val="18"/>
                <w:szCs w:val="18"/>
              </w:rPr>
              <w:t xml:space="preserve"> 2018</w:t>
            </w:r>
            <w:r>
              <w:rPr>
                <w:rFonts w:ascii="Arial" w:hAnsi="Arial" w:cs="Arial"/>
                <w:sz w:val="18"/>
                <w:szCs w:val="18"/>
              </w:rPr>
              <w:t xml:space="preserve"> </w:t>
            </w:r>
            <w:r w:rsidRPr="00CF6F45">
              <w:rPr>
                <w:rFonts w:ascii="Arial" w:hAnsi="Arial" w:cs="Arial"/>
                <w:sz w:val="18"/>
                <w:szCs w:val="18"/>
              </w:rPr>
              <w:fldChar w:fldCharType="begin" w:fldLock="1"/>
            </w:r>
            <w:r>
              <w:rPr>
                <w:rFonts w:ascii="Arial" w:hAnsi="Arial" w:cs="Arial"/>
                <w:sz w:val="18"/>
                <w:szCs w:val="18"/>
              </w:rPr>
              <w:instrText>ADDIN CSL_CITATION {"citationItems":[{"id":"ITEM-1","itemData":{"DOI":"10.1161/STROKEAHA.118.022253","ISSN":"1524-4628 (Electronic)","PMID":"30355088","abstract":"Background and Purpose- To date, no clinical score has become widely accepted as  an eligible prehospital marker for large vessel occlusion (LVO) and the need of mechanical thrombectomy (MT) in ischemic stroke. On the basis of pathophysiological considerations, we propose that cortical symptoms such as aphasia and neglect are more sensitive indicators for LVO and MT than motor deficits. Methods- We, thus, retrospectively evaluated a consecutive cohort of 543 acute stroke patients including patients with ischemia in the posterior circulation, hemorrhagic stroke, transient ischemic attack, and stroke mimics to best represent the prehospital setting. Results- Cortical symptoms alone showed to be a reliable indicator for LVO (sensitivity: 0.91; specificity: 0.70) and MT (sensitivity: 0.90; specificity: 0.60) in acute stroke patients, whereas motor deficits showed a sensitivity of 0.85 for LVO (specificity: 0.53) and 0.87 for MT (specificity: 0.48). Conclusions- We propose that in the prehospital setting, the presence of cortical symptoms is a reliable indicator for LVO and its presence justifies transportation to an MT-capable center.","author":[{"dropping-particle":"","family":"Beume","given":"Lena-Alexandra","non-dropping-particle":"","parse-names":false,"suffix":""},{"dropping-particle":"","family":"Hieber","given":"Maren","non-dropping-particle":"","parse-names":false,"suffix":""},{"dropping-particle":"","family":"Kaller","given":"Christoph P","non-dropping-particle":"","parse-names":false,"suffix":""},{"dropping-particle":"","family":"Nitschke","given":"Kai","non-dropping-particle":"","parse-names":false,"suffix":""},{"dropping-particle":"","family":"Bardutzky","given":"Juergen","non-dropping-particle":"","parse-names":false,"suffix":""},{"dropping-particle":"","family":"Urbach","given":"Horst","non-dropping-particle":"","parse-names":false,"suffix":""},{"dropping-particle":"","family":"Weiller","given":"Cornelius","non-dropping-particle":"","parse-names":false,"suffix":""},{"dropping-particle":"","family":"Rijntjes","given":"Michel","non-dropping-particle":"","parse-names":false,"suffix":""}],"container-title":"Stroke","id":"ITEM-1","issue":"10","issued":{"date-parts":[["2018","10"]]},"language":"eng","page":"2323-2329","publisher-place":"United States","title":"Large Vessel Occlusion in Acute Stroke.","type":"article-journal","volume":"49"},"uris":["http://www.mendeley.com/documents/?uuid=9be96e2e-0ed1-43e8-ae66-9fcf72a77b40"]}],"mendeley":{"formattedCitation":"[19]","manualFormatting":"[19]","plainTextFormattedCitation":"[19]","previouslyFormattedCitation":"[6]"},"properties":{"noteIndex":0},"schema":"https://github.com/citation-style-language/schema/raw/master/csl-citation.json"}</w:instrText>
            </w:r>
            <w:r w:rsidRPr="00CF6F45">
              <w:rPr>
                <w:rFonts w:ascii="Arial" w:hAnsi="Arial" w:cs="Arial"/>
                <w:sz w:val="18"/>
                <w:szCs w:val="18"/>
              </w:rPr>
              <w:fldChar w:fldCharType="separate"/>
            </w:r>
            <w:r>
              <w:rPr>
                <w:rFonts w:ascii="Arial" w:hAnsi="Arial" w:cs="Arial"/>
                <w:noProof/>
                <w:sz w:val="18"/>
                <w:szCs w:val="18"/>
              </w:rPr>
              <w:t>[19</w:t>
            </w:r>
            <w:r w:rsidRPr="00CF6F45">
              <w:rPr>
                <w:rFonts w:ascii="Arial" w:hAnsi="Arial" w:cs="Arial"/>
                <w:noProof/>
                <w:sz w:val="18"/>
                <w:szCs w:val="18"/>
              </w:rPr>
              <w:t>]</w:t>
            </w:r>
            <w:r w:rsidRPr="00CF6F45">
              <w:rPr>
                <w:rFonts w:ascii="Arial" w:hAnsi="Arial" w:cs="Arial"/>
                <w:sz w:val="18"/>
                <w:szCs w:val="18"/>
              </w:rPr>
              <w:fldChar w:fldCharType="end"/>
            </w:r>
          </w:p>
        </w:tc>
        <w:tc>
          <w:tcPr>
            <w:tcW w:w="741" w:type="dxa"/>
            <w:shd w:val="clear" w:color="auto" w:fill="70AD47" w:themeFill="accent6"/>
          </w:tcPr>
          <w:p w:rsidR="00867802" w:rsidRPr="00977736" w:rsidRDefault="00867802" w:rsidP="00867802">
            <w:pPr>
              <w:rPr>
                <w:rFonts w:ascii="Arial" w:hAnsi="Arial" w:cs="Arial"/>
                <w:sz w:val="18"/>
                <w:szCs w:val="18"/>
              </w:rPr>
            </w:pPr>
          </w:p>
        </w:tc>
        <w:tc>
          <w:tcPr>
            <w:tcW w:w="677" w:type="dxa"/>
            <w:gridSpan w:val="2"/>
            <w:shd w:val="clear" w:color="auto" w:fill="FFC000"/>
          </w:tcPr>
          <w:p w:rsidR="00867802" w:rsidRPr="00977736" w:rsidRDefault="00867802" w:rsidP="00867802">
            <w:pPr>
              <w:rPr>
                <w:rFonts w:ascii="Arial" w:hAnsi="Arial" w:cs="Arial"/>
                <w:sz w:val="18"/>
                <w:szCs w:val="18"/>
              </w:rPr>
            </w:pPr>
          </w:p>
        </w:tc>
        <w:tc>
          <w:tcPr>
            <w:tcW w:w="709" w:type="dxa"/>
            <w:gridSpan w:val="2"/>
            <w:shd w:val="clear" w:color="auto" w:fill="70AD47" w:themeFill="accent6"/>
          </w:tcPr>
          <w:p w:rsidR="00867802" w:rsidRPr="00977736" w:rsidRDefault="00867802" w:rsidP="00867802">
            <w:pPr>
              <w:rPr>
                <w:rFonts w:ascii="Arial" w:hAnsi="Arial" w:cs="Arial"/>
                <w:sz w:val="18"/>
                <w:szCs w:val="18"/>
              </w:rPr>
            </w:pPr>
          </w:p>
        </w:tc>
        <w:tc>
          <w:tcPr>
            <w:tcW w:w="708" w:type="dxa"/>
            <w:shd w:val="clear" w:color="auto" w:fill="70AD47" w:themeFill="accent6"/>
          </w:tcPr>
          <w:p w:rsidR="00867802" w:rsidRPr="00977736" w:rsidRDefault="00867802" w:rsidP="00867802">
            <w:pPr>
              <w:rPr>
                <w:rFonts w:ascii="Arial" w:hAnsi="Arial" w:cs="Arial"/>
                <w:sz w:val="18"/>
                <w:szCs w:val="18"/>
              </w:rPr>
            </w:pPr>
          </w:p>
        </w:tc>
        <w:tc>
          <w:tcPr>
            <w:tcW w:w="709" w:type="dxa"/>
            <w:shd w:val="clear" w:color="auto" w:fill="70AD47" w:themeFill="accent6"/>
          </w:tcPr>
          <w:p w:rsidR="00867802" w:rsidRPr="00977736" w:rsidRDefault="00867802" w:rsidP="00867802">
            <w:pPr>
              <w:rPr>
                <w:rFonts w:ascii="Arial" w:hAnsi="Arial" w:cs="Arial"/>
                <w:sz w:val="18"/>
                <w:szCs w:val="18"/>
              </w:rPr>
            </w:pPr>
          </w:p>
        </w:tc>
      </w:tr>
      <w:tr w:rsidR="00867802" w:rsidRPr="00977736" w:rsidTr="00351FEF">
        <w:tc>
          <w:tcPr>
            <w:tcW w:w="2410" w:type="dxa"/>
          </w:tcPr>
          <w:p w:rsidR="00867802" w:rsidRPr="00CF6F45" w:rsidRDefault="00867802" w:rsidP="00867802">
            <w:pPr>
              <w:rPr>
                <w:rFonts w:ascii="Arial" w:hAnsi="Arial" w:cs="Arial"/>
                <w:sz w:val="18"/>
                <w:szCs w:val="18"/>
              </w:rPr>
            </w:pPr>
            <w:r w:rsidRPr="00CF6F45">
              <w:rPr>
                <w:rFonts w:ascii="Arial" w:hAnsi="Arial" w:cs="Arial"/>
                <w:sz w:val="18"/>
                <w:szCs w:val="18"/>
              </w:rPr>
              <w:t xml:space="preserve">Carrera 2017 </w:t>
            </w:r>
            <w:r w:rsidRPr="00CF6F45">
              <w:rPr>
                <w:rFonts w:ascii="Arial" w:hAnsi="Arial" w:cs="Arial"/>
                <w:sz w:val="18"/>
                <w:szCs w:val="18"/>
              </w:rPr>
              <w:fldChar w:fldCharType="begin" w:fldLock="1"/>
            </w:r>
            <w:r>
              <w:rPr>
                <w:rFonts w:ascii="Arial" w:hAnsi="Arial" w:cs="Arial"/>
                <w:sz w:val="18"/>
                <w:szCs w:val="18"/>
              </w:rPr>
              <w:instrText>ADDIN CSL_CITATION {"citationItems":[{"id":"ITEM-1","itemData":{"DOI":"10.1016/j.jstrokecerebrovasdis.2016.08.032","ISSN":"1532-8511 (Electronic)","PMID":"27720525","abstract":"BACKGROUND: Prehospital clinical scales to identify patients with acute stroke with a large vessel occlusion (LVO) and direct them to an endovascular-capable stroke center are needed. We evaluated whether simplification of the Rapid Arterial oCclusion Evaluation (RACE) scale, a 5-item scale previously validated in the field, could maintain its high performance to identify patients with LVO. METHODS: Using the original prospective validation cohort of the RACE scale, 7 simpler versions of the RACE scale were designed and retrospectively recalculated for each patient. National Institutes of Health Stroke Scale score and proximal LVO were evaluated in hospital. Receiver operating characteristic analysis was performed to test performance of the simplified versions to identify LVO. For each version, the threshold with sensitivity closest to the original scale (85%) was used, and the variation in specificity and correct classification were assessed. RESULTS: The study included 341 patients with suspected stroke; 20% had LVO. The 7 simpler versions of the RACE scale had slightly lower area under the curve for detecting LVO because of lower specificity at the chosen sensitivity level. Correct classification rate decreased 9% if facial palsy was simplified or if eye or gaze deviation was removed, and decreased 4.5% if the aphasia or agnosia cortical sign was removed. CONCLUSIONS: We recommend the original RACE scale for prehospital assessment of patients with suspected stroke for its ease of use and its high performance to predict the presence of a LVO. The use of simplified versions would reduce its predictive value.","author":[{"dropping-particle":"","family":"Carrera","given":"David","non-dropping-particle":"","parse-names":false,"suffix":""},{"dropping-particle":"V","family":"Campbell","given":"Bruce C","non-dropping-particle":"","parse-names":false,"suffix":""},{"dropping-particle":"","family":"Cortes","given":"Jordi","non-dropping-particle":"","parse-names":false,"suffix":""},{"dropping-particle":"","family":"Gorchs","given":"Montse","non-dropping-particle":"","parse-names":false,"suffix":""},{"dropping-particle":"","family":"Querol","given":"Marisol","non-dropping-particle":"","parse-names":false,"suffix":""},{"dropping-particle":"","family":"Jimenez","given":"Xavier","non-dropping-particle":"","parse-names":false,"suffix":""},{"dropping-particle":"","family":"Millan","given":"Monica","non-dropping-particle":"","parse-names":false,"suffix":""},{"dropping-particle":"","family":"Davalos","given":"Antoni","non-dropping-particle":"","parse-names":false,"suffix":""},{"dropping-particle":"","family":"Perez de la Ossa","given":"Natalia","non-dropping-particle":"","parse-names":false,"suffix":""}],"container-title":"Journal of stroke and cerebrovascular diseases : the official journal of National Stroke Association","id":"ITEM-1","issue":"1","issued":{"date-parts":[["2017","1"]]},"language":"eng","page":"74-77","publisher-place":"United States","title":"Predictive Value of Modifications of the Prehospital Rapid Arterial Occlusion Evaluation Scale for Large Vessel Occlusion in Patients with Acute Stroke.","type":"article-journal","volume":"26"},"uris":["http://www.mendeley.com/documents/?uuid=e6b3b254-ccb4-4479-a1bd-39759ceac44e"]}],"mendeley":{"formattedCitation":"[28]","manualFormatting":"[27]","plainTextFormattedCitation":"[28]","previouslyFormattedCitation":"[7]"},"properties":{"noteIndex":0},"schema":"https://github.com/citation-style-language/schema/raw/master/csl-citation.json"}</w:instrText>
            </w:r>
            <w:r w:rsidRPr="00CF6F45">
              <w:rPr>
                <w:rFonts w:ascii="Arial" w:hAnsi="Arial" w:cs="Arial"/>
                <w:sz w:val="18"/>
                <w:szCs w:val="18"/>
              </w:rPr>
              <w:fldChar w:fldCharType="separate"/>
            </w:r>
            <w:r w:rsidRPr="00CF6F45">
              <w:rPr>
                <w:rFonts w:ascii="Arial" w:hAnsi="Arial" w:cs="Arial"/>
                <w:noProof/>
                <w:sz w:val="18"/>
                <w:szCs w:val="18"/>
              </w:rPr>
              <w:t>[</w:t>
            </w:r>
            <w:r>
              <w:rPr>
                <w:rFonts w:ascii="Arial" w:hAnsi="Arial" w:cs="Arial"/>
                <w:noProof/>
                <w:sz w:val="18"/>
                <w:szCs w:val="18"/>
              </w:rPr>
              <w:t>27</w:t>
            </w:r>
            <w:r w:rsidRPr="00CF6F45">
              <w:rPr>
                <w:rFonts w:ascii="Arial" w:hAnsi="Arial" w:cs="Arial"/>
                <w:noProof/>
                <w:sz w:val="18"/>
                <w:szCs w:val="18"/>
              </w:rPr>
              <w:t>]</w:t>
            </w:r>
            <w:r w:rsidRPr="00CF6F45">
              <w:rPr>
                <w:rFonts w:ascii="Arial" w:hAnsi="Arial" w:cs="Arial"/>
                <w:sz w:val="18"/>
                <w:szCs w:val="18"/>
              </w:rPr>
              <w:fldChar w:fldCharType="end"/>
            </w:r>
          </w:p>
        </w:tc>
        <w:tc>
          <w:tcPr>
            <w:tcW w:w="741" w:type="dxa"/>
            <w:shd w:val="clear" w:color="auto" w:fill="70AD47" w:themeFill="accent6"/>
          </w:tcPr>
          <w:p w:rsidR="00867802" w:rsidRPr="00977736" w:rsidRDefault="00867802" w:rsidP="00867802">
            <w:pPr>
              <w:rPr>
                <w:rFonts w:ascii="Arial" w:hAnsi="Arial" w:cs="Arial"/>
                <w:sz w:val="18"/>
                <w:szCs w:val="18"/>
              </w:rPr>
            </w:pPr>
          </w:p>
        </w:tc>
        <w:tc>
          <w:tcPr>
            <w:tcW w:w="677" w:type="dxa"/>
            <w:gridSpan w:val="2"/>
            <w:shd w:val="clear" w:color="auto" w:fill="70AD47" w:themeFill="accent6"/>
          </w:tcPr>
          <w:p w:rsidR="00867802" w:rsidRPr="00977736" w:rsidRDefault="00867802" w:rsidP="00867802">
            <w:pPr>
              <w:rPr>
                <w:rFonts w:ascii="Arial" w:hAnsi="Arial" w:cs="Arial"/>
                <w:sz w:val="18"/>
                <w:szCs w:val="18"/>
              </w:rPr>
            </w:pPr>
          </w:p>
        </w:tc>
        <w:tc>
          <w:tcPr>
            <w:tcW w:w="709" w:type="dxa"/>
            <w:gridSpan w:val="2"/>
            <w:shd w:val="clear" w:color="auto" w:fill="70AD47" w:themeFill="accent6"/>
          </w:tcPr>
          <w:p w:rsidR="00867802" w:rsidRPr="00977736" w:rsidRDefault="00867802" w:rsidP="00867802">
            <w:pPr>
              <w:rPr>
                <w:rFonts w:ascii="Arial" w:hAnsi="Arial" w:cs="Arial"/>
                <w:sz w:val="18"/>
                <w:szCs w:val="18"/>
              </w:rPr>
            </w:pPr>
          </w:p>
        </w:tc>
        <w:tc>
          <w:tcPr>
            <w:tcW w:w="708" w:type="dxa"/>
            <w:shd w:val="clear" w:color="auto" w:fill="70AD47" w:themeFill="accent6"/>
          </w:tcPr>
          <w:p w:rsidR="00867802" w:rsidRPr="00977736" w:rsidRDefault="00867802" w:rsidP="00867802">
            <w:pPr>
              <w:rPr>
                <w:rFonts w:ascii="Arial" w:hAnsi="Arial" w:cs="Arial"/>
                <w:sz w:val="18"/>
                <w:szCs w:val="18"/>
              </w:rPr>
            </w:pPr>
          </w:p>
        </w:tc>
        <w:tc>
          <w:tcPr>
            <w:tcW w:w="709" w:type="dxa"/>
            <w:shd w:val="clear" w:color="auto" w:fill="70AD47" w:themeFill="accent6"/>
          </w:tcPr>
          <w:p w:rsidR="00867802" w:rsidRPr="00977736" w:rsidRDefault="00867802" w:rsidP="00867802">
            <w:pPr>
              <w:rPr>
                <w:rFonts w:ascii="Arial" w:hAnsi="Arial" w:cs="Arial"/>
                <w:sz w:val="18"/>
                <w:szCs w:val="18"/>
              </w:rPr>
            </w:pPr>
          </w:p>
        </w:tc>
      </w:tr>
      <w:tr w:rsidR="00867802" w:rsidRPr="00977736" w:rsidTr="00351FEF">
        <w:tc>
          <w:tcPr>
            <w:tcW w:w="2410" w:type="dxa"/>
          </w:tcPr>
          <w:p w:rsidR="00867802" w:rsidRPr="00CF6F45" w:rsidRDefault="00867802" w:rsidP="00867802">
            <w:pPr>
              <w:rPr>
                <w:rFonts w:ascii="Arial" w:hAnsi="Arial" w:cs="Arial"/>
                <w:sz w:val="18"/>
                <w:szCs w:val="18"/>
              </w:rPr>
            </w:pPr>
            <w:r w:rsidRPr="00CF6F45">
              <w:rPr>
                <w:rFonts w:ascii="Arial" w:hAnsi="Arial" w:cs="Arial"/>
                <w:sz w:val="18"/>
                <w:szCs w:val="18"/>
              </w:rPr>
              <w:t xml:space="preserve">Chen 2016 </w:t>
            </w:r>
            <w:r w:rsidRPr="00CF6F45">
              <w:rPr>
                <w:rFonts w:ascii="Arial" w:hAnsi="Arial" w:cs="Arial"/>
                <w:sz w:val="18"/>
                <w:szCs w:val="18"/>
              </w:rPr>
              <w:fldChar w:fldCharType="begin" w:fldLock="1"/>
            </w:r>
            <w:r>
              <w:rPr>
                <w:rFonts w:ascii="Arial" w:hAnsi="Arial" w:cs="Arial"/>
                <w:sz w:val="18"/>
                <w:szCs w:val="18"/>
              </w:rPr>
              <w:instrText>ADDIN CSL_CITATION {"citationItems":[{"id":"ITEM-1","itemData":{"DOI":"10.1186/s12873-016-0101-6","ISSN":"1471-227X (Electronic)","PMID":"27619651","abstract":"BACKGROUND: Dizziness is a common chief complaint of patients presenting to the Emergency Department (ED). Physicians must quickly and accurately identify patients whose etiology is most likely ischemia. Additional tools are available, but often require further training (vestibular testing) or are costly and not always readily available (magnetic resonance imaging (MRI)). This study evaluates the ability of a routine history and simple physical examination to correctly identify dizzy patients with posterior circulation ischemia, and the added utility of CT angiography (CTA). METHODS: We performed a retrospective analysis of all individuals presenting to the ED with a reported chief complaint of dizziness. Neurology was consulted and CTA ordered at the discretion of the ED provider. Demographic, medical, and radiographic variables were evaluated along with final diagnosis. Multivariable logistic regression and ROC analysis were used to determine factors associated with ischemia, the sensitivity of vascular risk factors and focal exam findings in predicting ischemia, and the additional benefit, if any, of CTA. RESULTS: One thousand two-hundred sixteen individuals meeting inclusion criteria presented to the ED over a 2 year period and were included in analysis. One hundred (8.2 %) were diagnosed with posterior circulation ischemia. For the entire cohort, age (OR 1.4 per 10 years, p &lt; 0.0001), systolic blood pressure (OR 1.3 per 10 mmHg, p &lt; 0.0001), and focal exam findings (OR 28.69, p &lt; 0.0001) were most significantly associated with ischemia in multivariable modeling. When age, race, sex, presence of vascular risk factors, and focal neurologic findings were entered into ROC analysis, the AUC for correctly identifying posterior circulation ischemia was 0.90. In the subset of patients who underwent CTA (n = 87), the AUC did not improve (0.78 with and without CTA in ROC analysis, p = 0.52). CONCLUSIONS: A vascular risk assessment and neurological examination are adequate for risk stratification of ischemia in the dizzy patient and should remain the standard evaluation.","author":[{"dropping-particle":"","family":"Chen","given":"Karen","non-dropping-particle":"","parse-names":false,"suffix":""},{"dropping-particle":"","family":"Schneider","given":"Andrea L C","non-dropping-particle":"","parse-names":false,"suffix":""},{"dropping-particle":"","family":"Llinas","given":"Rafael H","non-dropping-particle":"","parse-names":false,"suffix":""},{"dropping-particle":"","family":"Marsh","given":"Elisabeth B","non-dropping-particle":"","parse-names":false,"suffix":""}],"container-title":"BMC emergency medicine","id":"ITEM-1","issue":"1","issued":{"date-parts":[["2016","9"]]},"language":"eng","page":"37","publisher-place":"England","title":"Keep it simple: vascular risk factors and focal exam findings correctly identify  posterior circulation ischemia in \"dizzy\" patients.","type":"article-journal","volume":"16"},"uris":["http://www.mendeley.com/documents/?uuid=5fa58404-9097-4ce7-8cfd-0f53268bdae6"]}],"mendeley":{"formattedCitation":"[40]","plainTextFormattedCitation":"[40]","previouslyFormattedCitation":"[8]"},"properties":{"noteIndex":0},"schema":"https://github.com/citation-style-language/schema/raw/master/csl-citation.json"}</w:instrText>
            </w:r>
            <w:r w:rsidRPr="00CF6F45">
              <w:rPr>
                <w:rFonts w:ascii="Arial" w:hAnsi="Arial" w:cs="Arial"/>
                <w:sz w:val="18"/>
                <w:szCs w:val="18"/>
              </w:rPr>
              <w:fldChar w:fldCharType="separate"/>
            </w:r>
            <w:r w:rsidRPr="0024326E">
              <w:rPr>
                <w:rFonts w:ascii="Arial" w:hAnsi="Arial" w:cs="Arial"/>
                <w:noProof/>
                <w:sz w:val="18"/>
                <w:szCs w:val="18"/>
              </w:rPr>
              <w:t>[40]</w:t>
            </w:r>
            <w:r w:rsidRPr="00CF6F45">
              <w:rPr>
                <w:rFonts w:ascii="Arial" w:hAnsi="Arial" w:cs="Arial"/>
                <w:sz w:val="18"/>
                <w:szCs w:val="18"/>
              </w:rPr>
              <w:fldChar w:fldCharType="end"/>
            </w:r>
          </w:p>
        </w:tc>
        <w:tc>
          <w:tcPr>
            <w:tcW w:w="741" w:type="dxa"/>
            <w:shd w:val="clear" w:color="auto" w:fill="70AD47" w:themeFill="accent6"/>
          </w:tcPr>
          <w:p w:rsidR="00867802" w:rsidRPr="00977736" w:rsidRDefault="00867802" w:rsidP="00867802">
            <w:pPr>
              <w:rPr>
                <w:rFonts w:ascii="Arial" w:hAnsi="Arial" w:cs="Arial"/>
                <w:sz w:val="18"/>
                <w:szCs w:val="18"/>
              </w:rPr>
            </w:pPr>
          </w:p>
        </w:tc>
        <w:tc>
          <w:tcPr>
            <w:tcW w:w="677" w:type="dxa"/>
            <w:gridSpan w:val="2"/>
            <w:shd w:val="clear" w:color="auto" w:fill="FFC000"/>
          </w:tcPr>
          <w:p w:rsidR="00867802" w:rsidRPr="00977736" w:rsidRDefault="00867802" w:rsidP="00867802">
            <w:pPr>
              <w:rPr>
                <w:rFonts w:ascii="Arial" w:hAnsi="Arial" w:cs="Arial"/>
                <w:sz w:val="18"/>
                <w:szCs w:val="18"/>
              </w:rPr>
            </w:pPr>
          </w:p>
        </w:tc>
        <w:tc>
          <w:tcPr>
            <w:tcW w:w="709" w:type="dxa"/>
            <w:gridSpan w:val="2"/>
            <w:shd w:val="clear" w:color="auto" w:fill="70AD47" w:themeFill="accent6"/>
          </w:tcPr>
          <w:p w:rsidR="00867802" w:rsidRPr="00977736" w:rsidRDefault="00867802" w:rsidP="00867802">
            <w:pPr>
              <w:rPr>
                <w:rFonts w:ascii="Arial" w:hAnsi="Arial" w:cs="Arial"/>
                <w:sz w:val="18"/>
                <w:szCs w:val="18"/>
              </w:rPr>
            </w:pPr>
          </w:p>
        </w:tc>
        <w:tc>
          <w:tcPr>
            <w:tcW w:w="708" w:type="dxa"/>
            <w:shd w:val="clear" w:color="auto" w:fill="70AD47" w:themeFill="accent6"/>
          </w:tcPr>
          <w:p w:rsidR="00867802" w:rsidRPr="00977736" w:rsidRDefault="00867802" w:rsidP="00867802">
            <w:pPr>
              <w:rPr>
                <w:rFonts w:ascii="Arial" w:hAnsi="Arial" w:cs="Arial"/>
                <w:sz w:val="18"/>
                <w:szCs w:val="18"/>
              </w:rPr>
            </w:pPr>
          </w:p>
        </w:tc>
        <w:tc>
          <w:tcPr>
            <w:tcW w:w="709" w:type="dxa"/>
            <w:shd w:val="clear" w:color="auto" w:fill="70AD47" w:themeFill="accent6"/>
          </w:tcPr>
          <w:p w:rsidR="00867802" w:rsidRPr="00977736" w:rsidRDefault="00867802" w:rsidP="00867802">
            <w:pPr>
              <w:rPr>
                <w:rFonts w:ascii="Arial" w:hAnsi="Arial" w:cs="Arial"/>
                <w:sz w:val="18"/>
                <w:szCs w:val="18"/>
              </w:rPr>
            </w:pPr>
          </w:p>
        </w:tc>
      </w:tr>
      <w:tr w:rsidR="00867802" w:rsidRPr="00977736" w:rsidTr="00351FEF">
        <w:tc>
          <w:tcPr>
            <w:tcW w:w="2410" w:type="dxa"/>
          </w:tcPr>
          <w:p w:rsidR="00867802" w:rsidRPr="00CF6F45" w:rsidRDefault="00867802" w:rsidP="00867802">
            <w:pPr>
              <w:rPr>
                <w:rFonts w:ascii="Arial" w:hAnsi="Arial" w:cs="Arial"/>
                <w:sz w:val="18"/>
                <w:szCs w:val="18"/>
              </w:rPr>
            </w:pPr>
            <w:r w:rsidRPr="00CF6F45">
              <w:rPr>
                <w:rFonts w:ascii="Arial" w:hAnsi="Arial" w:cs="Arial"/>
                <w:sz w:val="18"/>
                <w:szCs w:val="18"/>
              </w:rPr>
              <w:t xml:space="preserve">Clawson 2016 </w:t>
            </w:r>
            <w:r w:rsidRPr="00CF6F45">
              <w:rPr>
                <w:rFonts w:ascii="Arial" w:hAnsi="Arial" w:cs="Arial"/>
                <w:sz w:val="18"/>
                <w:szCs w:val="18"/>
              </w:rPr>
              <w:fldChar w:fldCharType="begin" w:fldLock="1"/>
            </w:r>
            <w:r>
              <w:rPr>
                <w:rFonts w:ascii="Arial" w:hAnsi="Arial" w:cs="Arial"/>
                <w:sz w:val="18"/>
                <w:szCs w:val="18"/>
              </w:rPr>
              <w:instrText>ADDIN CSL_CITATION {"citationItems":[{"id":"ITEM-1","itemData":{"DOI":"10.1016/j.jstrokecerebrovasdis.2016.04.021","author":[{"dropping-particle":"","family":"Clawson","given":"J J","non-dropping-particle":"","parse-names":false,"suffix":""},{"dropping-particle":"","family":"Scott","given":"G","non-dropping-particle":"","parse-names":false,"suffix":""},{"dropping-particle":"","family":"Gardett","given":"I","non-dropping-particle":"","parse-names":false,"suffix":""},{"dropping-particle":"","family":"Youngquist","given":"S","non-dropping-particle":"","parse-names":false,"suffix":""},{"dropping-particle":"","family":"Taillac","given":"P","non-dropping-particle":"","parse-names":false,"suffix":""},{"dropping-particle":"","family":"Fivaz","given":"C","non-dropping-particle":"","parse-names":false,"suffix":""},{"dropping-particle":"","family":"Olola","given":"C","non-dropping-particle":"","parse-names":false,"suffix":""}],"container-title":"Journal of Stroke and Cerebrovascular Diseases","id":"ITEM-1","issue":"8","issued":{"date-parts":[["2016"]]},"note":"Cited By :3\n\nExport Date: 6 October 2018","page":"2031-2042","title":"Predictive Ability of an Emergency Medical Dispatch Stroke Diagnostic Tool in Identifying Hospital-Confirmed Strokes","type":"article-journal","volume":"25"},"uris":["http://www.mendeley.com/documents/?uuid=c3679e10-be2f-4f0c-9b8f-52da10679904"]}],"mendeley":{"formattedCitation":"[23]","plainTextFormattedCitation":"[23]","previouslyFormattedCitation":"[9]"},"properties":{"noteIndex":0},"schema":"https://github.com/citation-style-language/schema/raw/master/csl-citation.json"}</w:instrText>
            </w:r>
            <w:r w:rsidRPr="00CF6F45">
              <w:rPr>
                <w:rFonts w:ascii="Arial" w:hAnsi="Arial" w:cs="Arial"/>
                <w:sz w:val="18"/>
                <w:szCs w:val="18"/>
              </w:rPr>
              <w:fldChar w:fldCharType="separate"/>
            </w:r>
            <w:r w:rsidRPr="0024326E">
              <w:rPr>
                <w:rFonts w:ascii="Arial" w:hAnsi="Arial" w:cs="Arial"/>
                <w:noProof/>
                <w:sz w:val="18"/>
                <w:szCs w:val="18"/>
              </w:rPr>
              <w:t>[23]</w:t>
            </w:r>
            <w:r w:rsidRPr="00CF6F45">
              <w:rPr>
                <w:rFonts w:ascii="Arial" w:hAnsi="Arial" w:cs="Arial"/>
                <w:sz w:val="18"/>
                <w:szCs w:val="18"/>
              </w:rPr>
              <w:fldChar w:fldCharType="end"/>
            </w:r>
          </w:p>
        </w:tc>
        <w:tc>
          <w:tcPr>
            <w:tcW w:w="741" w:type="dxa"/>
            <w:shd w:val="clear" w:color="auto" w:fill="70AD47" w:themeFill="accent6"/>
          </w:tcPr>
          <w:p w:rsidR="00867802" w:rsidRPr="00977736" w:rsidRDefault="00867802" w:rsidP="00867802">
            <w:pPr>
              <w:rPr>
                <w:rFonts w:ascii="Arial" w:hAnsi="Arial" w:cs="Arial"/>
                <w:sz w:val="18"/>
                <w:szCs w:val="18"/>
              </w:rPr>
            </w:pPr>
          </w:p>
        </w:tc>
        <w:tc>
          <w:tcPr>
            <w:tcW w:w="677" w:type="dxa"/>
            <w:gridSpan w:val="2"/>
            <w:shd w:val="clear" w:color="auto" w:fill="70AD47" w:themeFill="accent6"/>
          </w:tcPr>
          <w:p w:rsidR="00867802" w:rsidRPr="00977736" w:rsidRDefault="00867802" w:rsidP="00867802">
            <w:pPr>
              <w:rPr>
                <w:rFonts w:ascii="Arial" w:hAnsi="Arial" w:cs="Arial"/>
                <w:sz w:val="18"/>
                <w:szCs w:val="18"/>
              </w:rPr>
            </w:pPr>
          </w:p>
        </w:tc>
        <w:tc>
          <w:tcPr>
            <w:tcW w:w="709" w:type="dxa"/>
            <w:gridSpan w:val="2"/>
            <w:shd w:val="clear" w:color="auto" w:fill="FFC000"/>
          </w:tcPr>
          <w:p w:rsidR="00867802" w:rsidRPr="00977736" w:rsidRDefault="00867802" w:rsidP="00867802">
            <w:pPr>
              <w:rPr>
                <w:rFonts w:ascii="Arial" w:hAnsi="Arial" w:cs="Arial"/>
                <w:sz w:val="18"/>
                <w:szCs w:val="18"/>
              </w:rPr>
            </w:pPr>
          </w:p>
        </w:tc>
        <w:tc>
          <w:tcPr>
            <w:tcW w:w="708" w:type="dxa"/>
            <w:shd w:val="clear" w:color="auto" w:fill="70AD47" w:themeFill="accent6"/>
          </w:tcPr>
          <w:p w:rsidR="00867802" w:rsidRPr="00977736" w:rsidRDefault="00867802" w:rsidP="00867802">
            <w:pPr>
              <w:rPr>
                <w:rFonts w:ascii="Arial" w:hAnsi="Arial" w:cs="Arial"/>
                <w:sz w:val="18"/>
                <w:szCs w:val="18"/>
              </w:rPr>
            </w:pPr>
          </w:p>
        </w:tc>
        <w:tc>
          <w:tcPr>
            <w:tcW w:w="709" w:type="dxa"/>
            <w:shd w:val="clear" w:color="auto" w:fill="70AD47" w:themeFill="accent6"/>
          </w:tcPr>
          <w:p w:rsidR="00867802" w:rsidRPr="00977736" w:rsidRDefault="00867802" w:rsidP="00867802">
            <w:pPr>
              <w:rPr>
                <w:rFonts w:ascii="Arial" w:hAnsi="Arial" w:cs="Arial"/>
                <w:sz w:val="18"/>
                <w:szCs w:val="18"/>
              </w:rPr>
            </w:pPr>
          </w:p>
        </w:tc>
      </w:tr>
      <w:tr w:rsidR="00867802" w:rsidRPr="00977736" w:rsidTr="00351FEF">
        <w:tc>
          <w:tcPr>
            <w:tcW w:w="2410" w:type="dxa"/>
          </w:tcPr>
          <w:p w:rsidR="00867802" w:rsidRPr="00CF6F45" w:rsidRDefault="00867802" w:rsidP="00867802">
            <w:pPr>
              <w:rPr>
                <w:rFonts w:ascii="Arial" w:hAnsi="Arial" w:cs="Arial"/>
                <w:sz w:val="18"/>
                <w:szCs w:val="18"/>
              </w:rPr>
            </w:pPr>
            <w:proofErr w:type="spellStart"/>
            <w:r w:rsidRPr="00CF6F45">
              <w:rPr>
                <w:rFonts w:ascii="Arial" w:hAnsi="Arial" w:cs="Arial"/>
                <w:sz w:val="18"/>
                <w:szCs w:val="18"/>
              </w:rPr>
              <w:t>Demeestere</w:t>
            </w:r>
            <w:proofErr w:type="spellEnd"/>
            <w:r w:rsidRPr="00CF6F45">
              <w:rPr>
                <w:rFonts w:ascii="Arial" w:hAnsi="Arial" w:cs="Arial"/>
                <w:sz w:val="18"/>
                <w:szCs w:val="18"/>
              </w:rPr>
              <w:t xml:space="preserve"> 2017</w:t>
            </w:r>
            <w:r>
              <w:rPr>
                <w:rFonts w:ascii="Arial" w:hAnsi="Arial" w:cs="Arial"/>
                <w:sz w:val="18"/>
                <w:szCs w:val="18"/>
              </w:rPr>
              <w:t xml:space="preserve"> </w:t>
            </w:r>
            <w:r w:rsidRPr="00CF6F45">
              <w:rPr>
                <w:rFonts w:ascii="Arial" w:hAnsi="Arial" w:cs="Arial"/>
                <w:sz w:val="18"/>
                <w:szCs w:val="18"/>
              </w:rPr>
              <w:fldChar w:fldCharType="begin" w:fldLock="1"/>
            </w:r>
            <w:r>
              <w:rPr>
                <w:rFonts w:ascii="Arial" w:hAnsi="Arial" w:cs="Arial"/>
                <w:sz w:val="18"/>
                <w:szCs w:val="18"/>
              </w:rPr>
              <w:instrText>ADDIN CSL_CITATION {"citationItems":[{"id":"ITEM-1","itemData":{"DOI":"10.1016/j.jstrokecerebrovasdis.2017.03.020","ISSN":"1532-8511 (Electronic)","PMID":"28457621","abstract":"BACKGROUND: Patients with acute ischemic stroke and large vessel occlusion (LVO)  may benefit from prehospital identification and transfer to a center offering endovascular therapy. AIMS: We aimed to assess the accuracy of an existing 8-item stroke scale (National Institutes of Health Stroke Scale-8 [NIHSS-8]) for identification of patients with acute stroke with LVO. METHODS: We retrospectively calculated NIHSS-8 scores in a population of consecutive patients with presumed acute stroke assessed by emergency medical services (EMS). LVO was identified on admission computed tomography angiography. Accuracy to identify LVO was calculated using receiver operating characteristics analysis. We used weighted Cohen's kappa statistics to assess inter-rater reliability for the NIHSS-8 score between the EMS and the hospital stroke team on a prospectively evaluated subgroup. RESULTS: Of the 551 included patients, 381 had a confirmed ischemic stroke and 136 patients had an LVO. NIHSS scores were significantly higher in patients with LVO (median 18; interquartile range 14-22). The NIHSS-8 score reliably predicted the presence of LVO (area under the receiver operating characteristic curve .82). The optimum NIHSS-8 cutoff of 8 or more had a sensitivity of .81, specificity of .75, and Youden index of .56 for prediction of LVO. The EMS and the stroke team reached substantial agreement (kappa = .69). CONCLUSIONS: Accuracy of the NIHSS-8 to identify LVO in a population of patients with suspected acute stroke is comparable to existing prehospital stroke scales. The scale can be performed by EMS with reasonable reliability. Further validation in the field is needed to assess accuracy of the scale to identify patients with LVO eligible for endovascular treatment in a prehospital setting.","author":[{"dropping-particle":"","family":"Demeestere","given":"Jelle","non-dropping-particle":"","parse-names":false,"suffix":""},{"dropping-particle":"","family":"Garcia-Esperon","given":"Carlos","non-dropping-particle":"","parse-names":false,"suffix":""},{"dropping-particle":"","family":"Lin","given":"Longting","non-dropping-particle":"","parse-names":false,"suffix":""},{"dropping-particle":"","family":"Bivard","given":"Andrew","non-dropping-particle":"","parse-names":false,"suffix":""},{"dropping-particle":"","family":"Ang","given":"Timothy","non-dropping-particle":"","parse-names":false,"suffix":""},{"dropping-particle":"","family":"Smoll","given":"Nicolas R","non-dropping-particle":"","parse-names":false,"suffix":""},{"dropping-particle":"","family":"Garnett","given":"Ashley","non-dropping-particle":"","parse-names":false,"suffix":""},{"dropping-particle":"","family":"Loudfoot","given":"Allan","non-dropping-particle":"","parse-names":false,"suffix":""},{"dropping-particle":"","family":"Miteff","given":"Ferdi","non-dropping-particle":"","parse-names":false,"suffix":""},{"dropping-particle":"","family":"Spratt","given":"Neil","non-dropping-particle":"","parse-names":false,"suffix":""},{"dropping-particle":"","family":"Parsons","given":"Mark","non-dropping-particle":"","parse-names":false,"suffix":""},{"dropping-particle":"","family":"Levi","given":"Christopher","non-dropping-particle":"","parse-names":false,"suffix":""}],"container-title":"Journal of stroke and cerebrovascular diseases : the official journal of National Stroke Association","id":"ITEM-1","issue":"7","issued":{"date-parts":[["2017","7"]]},"language":"eng","page":"1419-1426","publisher-place":"United States","title":"Validation of the National Institutes of Health Stroke Scale-8 to Detect Large Vessel Occlusion in Ischemic Stroke.","type":"article-journal","volume":"26"},"uris":["http://www.mendeley.com/documents/?uuid=bbdda060-7da7-4b60-9177-c0a0f70ba9e5"]}],"mendeley":{"formattedCitation":"[7]","plainTextFormattedCitation":"[7]","previouslyFormattedCitation":"[10]"},"properties":{"noteIndex":0},"schema":"https://github.com/citation-style-language/schema/raw/master/csl-citation.json"}</w:instrText>
            </w:r>
            <w:r w:rsidRPr="00CF6F45">
              <w:rPr>
                <w:rFonts w:ascii="Arial" w:hAnsi="Arial" w:cs="Arial"/>
                <w:sz w:val="18"/>
                <w:szCs w:val="18"/>
              </w:rPr>
              <w:fldChar w:fldCharType="separate"/>
            </w:r>
            <w:r w:rsidRPr="0024326E">
              <w:rPr>
                <w:rFonts w:ascii="Arial" w:hAnsi="Arial" w:cs="Arial"/>
                <w:noProof/>
                <w:sz w:val="18"/>
                <w:szCs w:val="18"/>
              </w:rPr>
              <w:t>[7]</w:t>
            </w:r>
            <w:r w:rsidRPr="00CF6F45">
              <w:rPr>
                <w:rFonts w:ascii="Arial" w:hAnsi="Arial" w:cs="Arial"/>
                <w:sz w:val="18"/>
                <w:szCs w:val="18"/>
              </w:rPr>
              <w:fldChar w:fldCharType="end"/>
            </w:r>
          </w:p>
        </w:tc>
        <w:tc>
          <w:tcPr>
            <w:tcW w:w="741" w:type="dxa"/>
            <w:shd w:val="clear" w:color="auto" w:fill="70AD47" w:themeFill="accent6"/>
          </w:tcPr>
          <w:p w:rsidR="00867802" w:rsidRPr="00977736" w:rsidRDefault="00867802" w:rsidP="00867802">
            <w:pPr>
              <w:rPr>
                <w:rFonts w:ascii="Arial" w:hAnsi="Arial" w:cs="Arial"/>
                <w:sz w:val="18"/>
                <w:szCs w:val="18"/>
              </w:rPr>
            </w:pPr>
          </w:p>
        </w:tc>
        <w:tc>
          <w:tcPr>
            <w:tcW w:w="677" w:type="dxa"/>
            <w:gridSpan w:val="2"/>
            <w:shd w:val="clear" w:color="auto" w:fill="FFC000"/>
          </w:tcPr>
          <w:p w:rsidR="00867802" w:rsidRPr="00977736" w:rsidRDefault="00867802" w:rsidP="00867802">
            <w:pPr>
              <w:rPr>
                <w:rFonts w:ascii="Arial" w:hAnsi="Arial" w:cs="Arial"/>
                <w:sz w:val="18"/>
                <w:szCs w:val="18"/>
              </w:rPr>
            </w:pPr>
          </w:p>
        </w:tc>
        <w:tc>
          <w:tcPr>
            <w:tcW w:w="709" w:type="dxa"/>
            <w:gridSpan w:val="2"/>
            <w:shd w:val="clear" w:color="auto" w:fill="70AD47" w:themeFill="accent6"/>
          </w:tcPr>
          <w:p w:rsidR="00867802" w:rsidRPr="00977736" w:rsidRDefault="00867802" w:rsidP="00867802">
            <w:pPr>
              <w:rPr>
                <w:rFonts w:ascii="Arial" w:hAnsi="Arial" w:cs="Arial"/>
                <w:sz w:val="18"/>
                <w:szCs w:val="18"/>
              </w:rPr>
            </w:pPr>
          </w:p>
        </w:tc>
        <w:tc>
          <w:tcPr>
            <w:tcW w:w="708" w:type="dxa"/>
            <w:shd w:val="clear" w:color="auto" w:fill="70AD47" w:themeFill="accent6"/>
          </w:tcPr>
          <w:p w:rsidR="00867802" w:rsidRPr="00977736" w:rsidRDefault="00867802" w:rsidP="00867802">
            <w:pPr>
              <w:rPr>
                <w:rFonts w:ascii="Arial" w:hAnsi="Arial" w:cs="Arial"/>
                <w:sz w:val="18"/>
                <w:szCs w:val="18"/>
              </w:rPr>
            </w:pPr>
          </w:p>
        </w:tc>
        <w:tc>
          <w:tcPr>
            <w:tcW w:w="709" w:type="dxa"/>
            <w:shd w:val="clear" w:color="auto" w:fill="70AD47" w:themeFill="accent6"/>
          </w:tcPr>
          <w:p w:rsidR="00867802" w:rsidRPr="00977736" w:rsidRDefault="00867802" w:rsidP="00867802">
            <w:pPr>
              <w:rPr>
                <w:rFonts w:ascii="Arial" w:hAnsi="Arial" w:cs="Arial"/>
                <w:sz w:val="18"/>
                <w:szCs w:val="18"/>
              </w:rPr>
            </w:pPr>
          </w:p>
        </w:tc>
      </w:tr>
      <w:tr w:rsidR="00867802" w:rsidRPr="00977736" w:rsidTr="00351FEF">
        <w:tc>
          <w:tcPr>
            <w:tcW w:w="2410" w:type="dxa"/>
          </w:tcPr>
          <w:p w:rsidR="00867802" w:rsidRPr="00CF6F45" w:rsidRDefault="00867802" w:rsidP="00867802">
            <w:pPr>
              <w:rPr>
                <w:rFonts w:ascii="Arial" w:hAnsi="Arial" w:cs="Arial"/>
                <w:sz w:val="18"/>
                <w:szCs w:val="18"/>
              </w:rPr>
            </w:pPr>
            <w:r w:rsidRPr="00CF6F45">
              <w:rPr>
                <w:rFonts w:ascii="Arial" w:hAnsi="Arial" w:cs="Arial"/>
                <w:sz w:val="18"/>
                <w:szCs w:val="18"/>
              </w:rPr>
              <w:t xml:space="preserve">Goyal 2016 </w:t>
            </w:r>
            <w:r w:rsidRPr="00CF6F45">
              <w:rPr>
                <w:rFonts w:ascii="Arial" w:hAnsi="Arial" w:cs="Arial"/>
                <w:sz w:val="18"/>
                <w:szCs w:val="18"/>
              </w:rPr>
              <w:fldChar w:fldCharType="begin" w:fldLock="1"/>
            </w:r>
            <w:r>
              <w:rPr>
                <w:rFonts w:ascii="Arial" w:hAnsi="Arial" w:cs="Arial"/>
                <w:sz w:val="18"/>
                <w:szCs w:val="18"/>
              </w:rPr>
              <w:instrText>ADDIN CSL_CITATION {"citationItems":[{"id":"ITEM-1","itemData":{"DOI":"10.1161/STROKEAHA.116.013842","ISSN":"1524-4628 (Electronic)","PMID":"27491733","abstract":"BACKGROUND AND PURPOSE: A large number of patients with symptoms of acute cerebral ischemia are stroke mimics (SMs). In this study, we sought to develop a scoring system (FABS) for screening and stratifying SM from acute cerebral ischemia and to identify patients who may require magnetic resonance imaging to confirm or refute a diagnosis of stroke in the emergency setting. METHODS: We designed a scoring system: FABS (6 variables with 1 point for each variable present): absence of Facial droop, negative history of Atrial fibrillation, Age &lt;50 years, systolic Blood pressure &lt;150 mm Hg at presentation, history of Seizures, and isolated Sensory symptoms without weakness at presentation. We evaluated consecutive patients with symptoms of acute cerebral ischemia and a negative head computed tomography for any acute finding within 4.5 hours after symptom onset in 2 tertiary care stroke centers for validation of FABS. RESULTS: A total of 784 patients (41% SMs) were evaluated. Receiver operating characteristic curve (C statistic, 0.95; 95% confidence interval [CI], 0.93-0.98) indicated that FABS&gt;/=3 could identify patients with SM with 90% sensitivity (95% CI, 86%-93%) and 91% specificity (95% CI, 88%-93%). The negative predictive value and positive predictive value were 93% (95% CI, 90%-95%) and 87% (95% CI, 83%-91%), respectively. CONCLUSIONS: FABS seems to be reliable in stratifying SM from acute cerebral ischemia cases among patients in whom the head computed tomography was negative for any acute findings. It can help clinicians consider advanced imaging for further diagnosis.","author":[{"dropping-particle":"","family":"Goyal","given":"Nitin","non-dropping-particle":"","parse-names":false,"suffix":""},{"dropping-particle":"","family":"Tsivgoulis","given":"Georgios","non-dropping-particle":"","parse-names":false,"suffix":""},{"dropping-particle":"","family":"Male","given":"Shailesh","non-dropping-particle":"","parse-names":false,"suffix":""},{"dropping-particle":"","family":"Metter","given":"E Jeffrey","non-dropping-particle":"","parse-names":false,"suffix":""},{"dropping-particle":"","family":"Iftikhar","given":"Sulaiman","non-dropping-particle":"","parse-names":false,"suffix":""},{"dropping-particle":"","family":"Kerro","given":"Ali","non-dropping-particle":"","parse-names":false,"suffix":""},{"dropping-particle":"","family":"Chang","given":"Jason J","non-dropping-particle":"","parse-names":false,"suffix":""},{"dropping-particle":"","family":"Frey","given":"James L","non-dropping-particle":"","parse-names":false,"suffix":""},{"dropping-particle":"","family":"Triantafyllou","given":"Sokratis","non-dropping-particle":"","parse-names":false,"suffix":""},{"dropping-particle":"","family":"Papadimitropoulos","given":"Georgios","non-dropping-particle":"","parse-names":false,"suffix":""},{"dropping-particle":"","family":"Abedi","given":"Vida","non-dropping-particle":"","parse-names":false,"suffix":""},{"dropping-particle":"","family":"Alexandrov","given":"Anne W","non-dropping-particle":"","parse-names":false,"suffix":""},{"dropping-particle":"V","family":"Alexandrov","given":"Andrei","non-dropping-particle":"","parse-names":false,"suffix":""},{"dropping-particle":"","family":"Zand","given":"Ramin","non-dropping-particle":"","parse-names":false,"suffix":""}],"container-title":"Stroke","id":"ITEM-1","issue":"9","issued":{"date-parts":[["2016","9"]]},"language":"eng","page":"2216-2220","publisher-place":"United States","title":"FABS: An Intuitive Tool for Screening of Stroke Mimics in the Emergency Department.","type":"article-journal","volume":"47"},"uris":["http://www.mendeley.com/documents/?uuid=5f707e4e-c49f-4e4d-8269-e2872b79c5e5"]}],"mendeley":{"formattedCitation":"[22]","plainTextFormattedCitation":"[22]","previouslyFormattedCitation":"[11]"},"properties":{"noteIndex":0},"schema":"https://github.com/citation-style-language/schema/raw/master/csl-citation.json"}</w:instrText>
            </w:r>
            <w:r w:rsidRPr="00CF6F45">
              <w:rPr>
                <w:rFonts w:ascii="Arial" w:hAnsi="Arial" w:cs="Arial"/>
                <w:sz w:val="18"/>
                <w:szCs w:val="18"/>
              </w:rPr>
              <w:fldChar w:fldCharType="separate"/>
            </w:r>
            <w:r w:rsidRPr="0024326E">
              <w:rPr>
                <w:rFonts w:ascii="Arial" w:hAnsi="Arial" w:cs="Arial"/>
                <w:noProof/>
                <w:sz w:val="18"/>
                <w:szCs w:val="18"/>
              </w:rPr>
              <w:t>[22]</w:t>
            </w:r>
            <w:r w:rsidRPr="00CF6F45">
              <w:rPr>
                <w:rFonts w:ascii="Arial" w:hAnsi="Arial" w:cs="Arial"/>
                <w:sz w:val="18"/>
                <w:szCs w:val="18"/>
              </w:rPr>
              <w:fldChar w:fldCharType="end"/>
            </w:r>
          </w:p>
        </w:tc>
        <w:tc>
          <w:tcPr>
            <w:tcW w:w="741" w:type="dxa"/>
            <w:shd w:val="clear" w:color="auto" w:fill="FFC000"/>
          </w:tcPr>
          <w:p w:rsidR="00867802" w:rsidRPr="00977736" w:rsidRDefault="00867802" w:rsidP="00867802">
            <w:pPr>
              <w:rPr>
                <w:rFonts w:ascii="Arial" w:hAnsi="Arial" w:cs="Arial"/>
                <w:sz w:val="18"/>
                <w:szCs w:val="18"/>
              </w:rPr>
            </w:pPr>
          </w:p>
        </w:tc>
        <w:tc>
          <w:tcPr>
            <w:tcW w:w="677" w:type="dxa"/>
            <w:gridSpan w:val="2"/>
            <w:shd w:val="clear" w:color="auto" w:fill="FFC000"/>
          </w:tcPr>
          <w:p w:rsidR="00867802" w:rsidRPr="00977736" w:rsidRDefault="00867802" w:rsidP="00867802">
            <w:pPr>
              <w:rPr>
                <w:rFonts w:ascii="Arial" w:hAnsi="Arial" w:cs="Arial"/>
                <w:sz w:val="18"/>
                <w:szCs w:val="18"/>
              </w:rPr>
            </w:pPr>
          </w:p>
        </w:tc>
        <w:tc>
          <w:tcPr>
            <w:tcW w:w="709" w:type="dxa"/>
            <w:gridSpan w:val="2"/>
            <w:shd w:val="clear" w:color="auto" w:fill="70AD47" w:themeFill="accent6"/>
          </w:tcPr>
          <w:p w:rsidR="00867802" w:rsidRPr="00977736" w:rsidRDefault="00867802" w:rsidP="00867802">
            <w:pPr>
              <w:rPr>
                <w:rFonts w:ascii="Arial" w:hAnsi="Arial" w:cs="Arial"/>
                <w:sz w:val="18"/>
                <w:szCs w:val="18"/>
              </w:rPr>
            </w:pPr>
          </w:p>
        </w:tc>
        <w:tc>
          <w:tcPr>
            <w:tcW w:w="708" w:type="dxa"/>
            <w:shd w:val="clear" w:color="auto" w:fill="FFC000"/>
          </w:tcPr>
          <w:p w:rsidR="00867802" w:rsidRPr="00977736" w:rsidRDefault="00867802" w:rsidP="00867802">
            <w:pPr>
              <w:rPr>
                <w:rFonts w:ascii="Arial" w:hAnsi="Arial" w:cs="Arial"/>
                <w:sz w:val="18"/>
                <w:szCs w:val="18"/>
              </w:rPr>
            </w:pPr>
          </w:p>
        </w:tc>
        <w:tc>
          <w:tcPr>
            <w:tcW w:w="709" w:type="dxa"/>
            <w:shd w:val="clear" w:color="auto" w:fill="70AD47" w:themeFill="accent6"/>
          </w:tcPr>
          <w:p w:rsidR="00867802" w:rsidRPr="00977736" w:rsidRDefault="00867802" w:rsidP="00867802">
            <w:pPr>
              <w:rPr>
                <w:rFonts w:ascii="Arial" w:hAnsi="Arial" w:cs="Arial"/>
                <w:sz w:val="18"/>
                <w:szCs w:val="18"/>
              </w:rPr>
            </w:pPr>
          </w:p>
        </w:tc>
      </w:tr>
      <w:tr w:rsidR="00867802" w:rsidRPr="00977736" w:rsidTr="00351FEF">
        <w:tc>
          <w:tcPr>
            <w:tcW w:w="2410" w:type="dxa"/>
          </w:tcPr>
          <w:p w:rsidR="00867802" w:rsidRPr="00CF6F45" w:rsidRDefault="00867802" w:rsidP="00867802">
            <w:pPr>
              <w:rPr>
                <w:rFonts w:ascii="Arial" w:hAnsi="Arial" w:cs="Arial"/>
                <w:sz w:val="18"/>
                <w:szCs w:val="18"/>
              </w:rPr>
            </w:pPr>
            <w:proofErr w:type="spellStart"/>
            <w:r w:rsidRPr="00CF6F45">
              <w:rPr>
                <w:rFonts w:ascii="Arial" w:hAnsi="Arial" w:cs="Arial"/>
                <w:sz w:val="18"/>
                <w:szCs w:val="18"/>
              </w:rPr>
              <w:t>Gropen</w:t>
            </w:r>
            <w:proofErr w:type="spellEnd"/>
            <w:r w:rsidRPr="00CF6F45">
              <w:rPr>
                <w:rFonts w:ascii="Arial" w:hAnsi="Arial" w:cs="Arial"/>
                <w:sz w:val="18"/>
                <w:szCs w:val="18"/>
              </w:rPr>
              <w:t xml:space="preserve"> 2018 </w:t>
            </w:r>
            <w:r w:rsidRPr="00CF6F45">
              <w:rPr>
                <w:rFonts w:ascii="Arial" w:hAnsi="Arial" w:cs="Arial"/>
                <w:sz w:val="18"/>
                <w:szCs w:val="18"/>
              </w:rPr>
              <w:fldChar w:fldCharType="begin" w:fldLock="1"/>
            </w:r>
            <w:r>
              <w:rPr>
                <w:rFonts w:ascii="Arial" w:hAnsi="Arial" w:cs="Arial"/>
                <w:sz w:val="18"/>
                <w:szCs w:val="18"/>
              </w:rPr>
              <w:instrText>ADDIN CSL_CITATION {"citationItems":[{"id":"ITEM-1","itemData":{"DOI":"10.1016/j.jstrokecerebrovasdis.2017.10.018","ISSN":"1532-8511 (Electronic)","PMID":"29174289","abstract":"BACKGROUND: This study aims to develop a simple scale to identify patients with prehospital stroke with large vessel occlusion (LVO), without losing sensitivity for other stroke types. METHODS: The Emergency Medical Stroke Assessment (EMSA) was derived from the National Institutes of Health Stroke Scale (NIHSS) items and validated for prediction of LVO in a separate cohort. We compared the EMSA with the 3-item stroke scale (3I-SS), Cincinnati Prehospital Stroke Severity Scale (C-STAT), Rapid Arterial oCclusion Evaluation (RACE) scale, and Field Assessment Stroke Triage for Emergency Destination (FAST-ED) for prediction of LVO and stroke. We surveyed paramedics to assess ease of use and interpretation of scales. RESULTS: The combination of gaze preference, facial asymmetry, asymmetrical arm and leg drift, and abnormal speech or language yielded the EMSA. An EMSA less than 3, 75% sensitivity, and 50% specificity significantly reduced the likelihood of LVO (LR- = .489, 95% confidence interval .366-0.637) versus 3I-SS less than 4 (.866, .798-0.926). A normal EMSA, 93% sensitivity, and 47% specificity significantly reduced the likelihood of stroke (LR- = .142, .068-0.299) versus 3I-SS (.476, .330-0.688) and C-STAT (.858, .717-1.028). EMSA was rated easy to perform by 72% (13 of 18) of paramedics versus 67% (12 of 18) for FAST-ED and 6% (1 of 18) for RACE (chi(2) = 27.25, P &lt; .0001), and easy to interpret by 94% (17 of 18) versus 56% (10 of 18) for FAST-ED and 11% (2 of 18) for RACE (chi(2) = 21.13, P &lt; .0001). CONCLUSIONS: The EMSA has superior abilities to identify LVO versus 3I-SS and stroke versus 3I-SS and C-STAT. The EMSA has similar ability to triage patients with stroke compared with the FAST-ED and RACE, but is simpler to perform and interpret.","author":[{"dropping-particle":"","family":"Gropen","given":"Toby I","non-dropping-particle":"","parse-names":false,"suffix":""},{"dropping-particle":"","family":"Boehme","given":"Amelia","non-dropping-particle":"","parse-names":false,"suffix":""},{"dropping-particle":"","family":"Martin-Schild","given":"Sheryl","non-dropping-particle":"","parse-names":false,"suffix":""},{"dropping-particle":"","family":"Albright","given":"Karen","non-dropping-particle":"","parse-names":false,"suffix":""},{"dropping-particle":"","family":"Samai","given":"Alyana","non-dropping-particle":"","parse-names":false,"suffix":""},{"dropping-particle":"","family":"Pishanidar","given":"Sammy","non-dropping-particle":"","parse-names":false,"suffix":""},{"dropping-particle":"","family":"Janjua","given":"Nazli","non-dropping-particle":"","parse-names":false,"suffix":""},{"dropping-particle":"","family":"Brandler","given":"Ethan S","non-dropping-particle":"","parse-names":false,"suffix":""},{"dropping-particle":"","family":"Levine","given":"Steven R","non-dropping-particle":"","parse-names":false,"suffix":""}],"container-title":"Journal of stroke and cerebrovascular diseases : the official journal of National Stroke Association","id":"ITEM-1","issue":"3","issued":{"date-parts":[["2018","3"]]},"language":"eng","page":"806-815","publisher-place":"United States","title":"Derivation and Validation of the Emergency Medical Stroke Assessment and Comparison of Large Vessel Occlusion Scales.","type":"article-journal","volume":"27"},"uris":["http://www.mendeley.com/documents/?uuid=479c646c-207f-4542-a748-658934ea8ea1"]}],"mendeley":{"formattedCitation":"[8]","plainTextFormattedCitation":"[8]","previouslyFormattedCitation":"[12]"},"properties":{"noteIndex":0},"schema":"https://github.com/citation-style-language/schema/raw/master/csl-citation.json"}</w:instrText>
            </w:r>
            <w:r w:rsidRPr="00CF6F45">
              <w:rPr>
                <w:rFonts w:ascii="Arial" w:hAnsi="Arial" w:cs="Arial"/>
                <w:sz w:val="18"/>
                <w:szCs w:val="18"/>
              </w:rPr>
              <w:fldChar w:fldCharType="separate"/>
            </w:r>
            <w:r w:rsidRPr="0024326E">
              <w:rPr>
                <w:rFonts w:ascii="Arial" w:hAnsi="Arial" w:cs="Arial"/>
                <w:noProof/>
                <w:sz w:val="18"/>
                <w:szCs w:val="18"/>
              </w:rPr>
              <w:t>[8]</w:t>
            </w:r>
            <w:r w:rsidRPr="00CF6F45">
              <w:rPr>
                <w:rFonts w:ascii="Arial" w:hAnsi="Arial" w:cs="Arial"/>
                <w:sz w:val="18"/>
                <w:szCs w:val="18"/>
              </w:rPr>
              <w:fldChar w:fldCharType="end"/>
            </w:r>
          </w:p>
        </w:tc>
        <w:tc>
          <w:tcPr>
            <w:tcW w:w="741" w:type="dxa"/>
            <w:shd w:val="clear" w:color="auto" w:fill="70AD47" w:themeFill="accent6"/>
          </w:tcPr>
          <w:p w:rsidR="00867802" w:rsidRPr="00977736" w:rsidRDefault="00867802" w:rsidP="00867802">
            <w:pPr>
              <w:rPr>
                <w:rFonts w:ascii="Arial" w:hAnsi="Arial" w:cs="Arial"/>
                <w:sz w:val="18"/>
                <w:szCs w:val="18"/>
              </w:rPr>
            </w:pPr>
          </w:p>
        </w:tc>
        <w:tc>
          <w:tcPr>
            <w:tcW w:w="677" w:type="dxa"/>
            <w:gridSpan w:val="2"/>
            <w:shd w:val="clear" w:color="auto" w:fill="FFC000"/>
          </w:tcPr>
          <w:p w:rsidR="00867802" w:rsidRPr="00977736" w:rsidRDefault="00867802" w:rsidP="00867802">
            <w:pPr>
              <w:rPr>
                <w:rFonts w:ascii="Arial" w:hAnsi="Arial" w:cs="Arial"/>
                <w:sz w:val="18"/>
                <w:szCs w:val="18"/>
              </w:rPr>
            </w:pPr>
          </w:p>
        </w:tc>
        <w:tc>
          <w:tcPr>
            <w:tcW w:w="709" w:type="dxa"/>
            <w:gridSpan w:val="2"/>
            <w:shd w:val="clear" w:color="auto" w:fill="70AD47" w:themeFill="accent6"/>
          </w:tcPr>
          <w:p w:rsidR="00867802" w:rsidRPr="00977736" w:rsidRDefault="00867802" w:rsidP="00867802">
            <w:pPr>
              <w:rPr>
                <w:rFonts w:ascii="Arial" w:hAnsi="Arial" w:cs="Arial"/>
                <w:sz w:val="18"/>
                <w:szCs w:val="18"/>
              </w:rPr>
            </w:pPr>
          </w:p>
        </w:tc>
        <w:tc>
          <w:tcPr>
            <w:tcW w:w="708" w:type="dxa"/>
            <w:shd w:val="clear" w:color="auto" w:fill="70AD47" w:themeFill="accent6"/>
          </w:tcPr>
          <w:p w:rsidR="00867802" w:rsidRPr="00977736" w:rsidRDefault="00867802" w:rsidP="00867802">
            <w:pPr>
              <w:rPr>
                <w:rFonts w:ascii="Arial" w:hAnsi="Arial" w:cs="Arial"/>
                <w:sz w:val="18"/>
                <w:szCs w:val="18"/>
              </w:rPr>
            </w:pPr>
          </w:p>
        </w:tc>
        <w:tc>
          <w:tcPr>
            <w:tcW w:w="709" w:type="dxa"/>
            <w:shd w:val="clear" w:color="auto" w:fill="70AD47" w:themeFill="accent6"/>
          </w:tcPr>
          <w:p w:rsidR="00867802" w:rsidRPr="00977736" w:rsidRDefault="00867802" w:rsidP="00867802">
            <w:pPr>
              <w:rPr>
                <w:rFonts w:ascii="Arial" w:hAnsi="Arial" w:cs="Arial"/>
                <w:sz w:val="18"/>
                <w:szCs w:val="18"/>
              </w:rPr>
            </w:pPr>
          </w:p>
        </w:tc>
      </w:tr>
      <w:tr w:rsidR="00867802" w:rsidRPr="00977736" w:rsidTr="00351FEF">
        <w:tc>
          <w:tcPr>
            <w:tcW w:w="2410" w:type="dxa"/>
          </w:tcPr>
          <w:p w:rsidR="00867802" w:rsidRPr="00CF6F45" w:rsidRDefault="00867802" w:rsidP="00867802">
            <w:pPr>
              <w:rPr>
                <w:rFonts w:ascii="Arial" w:hAnsi="Arial" w:cs="Arial"/>
                <w:sz w:val="18"/>
                <w:szCs w:val="18"/>
              </w:rPr>
            </w:pPr>
            <w:proofErr w:type="spellStart"/>
            <w:r w:rsidRPr="00CF6F45">
              <w:rPr>
                <w:rFonts w:ascii="Arial" w:hAnsi="Arial" w:cs="Arial"/>
                <w:sz w:val="18"/>
                <w:szCs w:val="18"/>
              </w:rPr>
              <w:t>Hastrup</w:t>
            </w:r>
            <w:proofErr w:type="spellEnd"/>
            <w:r w:rsidRPr="00CF6F45">
              <w:rPr>
                <w:rFonts w:ascii="Arial" w:hAnsi="Arial" w:cs="Arial"/>
                <w:sz w:val="18"/>
                <w:szCs w:val="18"/>
              </w:rPr>
              <w:t xml:space="preserve"> 2016</w:t>
            </w:r>
            <w:r>
              <w:rPr>
                <w:rFonts w:ascii="Arial" w:hAnsi="Arial" w:cs="Arial"/>
                <w:sz w:val="18"/>
                <w:szCs w:val="18"/>
              </w:rPr>
              <w:t xml:space="preserve"> </w:t>
            </w:r>
            <w:r w:rsidRPr="00CF6F45">
              <w:rPr>
                <w:rFonts w:ascii="Arial" w:hAnsi="Arial" w:cs="Arial"/>
                <w:sz w:val="18"/>
                <w:szCs w:val="18"/>
              </w:rPr>
              <w:fldChar w:fldCharType="begin" w:fldLock="1"/>
            </w:r>
            <w:r>
              <w:rPr>
                <w:rFonts w:ascii="Arial" w:hAnsi="Arial" w:cs="Arial"/>
                <w:sz w:val="18"/>
                <w:szCs w:val="18"/>
              </w:rPr>
              <w:instrText>ADDIN CSL_CITATION {"citationItems":[{"id":"ITEM-1","itemData":{"DOI":"10.1161/STROKEAHA.115.012482","author":[{"dropping-particle":"","family":"Hastrup","given":"S","non-dropping-particle":"","parse-names":false,"suffix":""},{"dropping-particle":"","family":"Damgaard","given":"D","non-dropping-particle":"","parse-names":false,"suffix":""},{"dropping-particle":"","family":"Johnsen","given":"S P","non-dropping-particle":"","parse-names":false,"suffix":""},{"dropping-particle":"","family":"Andersen","given":"G","non-dropping-particle":"","parse-names":false,"suffix":""}],"container-title":"Stroke","id":"ITEM-1","issue":"7","issued":{"date-parts":[["2016"]]},"note":"Cited By :45\n\nExport Date: 6 October 2018","page":"1772-1776","title":"Prehospital acute stroke severity scale to predict large artery occlusion: Design and comparison with other scales","type":"article-journal","volume":"47"},"uris":["http://www.mendeley.com/documents/?uuid=1f1cdace-555e-4812-9900-733d63e74e13"]}],"mendeley":{"formattedCitation":"[9]","plainTextFormattedCitation":"[9]","previouslyFormattedCitation":"[13]"},"properties":{"noteIndex":0},"schema":"https://github.com/citation-style-language/schema/raw/master/csl-citation.json"}</w:instrText>
            </w:r>
            <w:r w:rsidRPr="00CF6F45">
              <w:rPr>
                <w:rFonts w:ascii="Arial" w:hAnsi="Arial" w:cs="Arial"/>
                <w:sz w:val="18"/>
                <w:szCs w:val="18"/>
              </w:rPr>
              <w:fldChar w:fldCharType="separate"/>
            </w:r>
            <w:r w:rsidRPr="0024326E">
              <w:rPr>
                <w:rFonts w:ascii="Arial" w:hAnsi="Arial" w:cs="Arial"/>
                <w:noProof/>
                <w:sz w:val="18"/>
                <w:szCs w:val="18"/>
              </w:rPr>
              <w:t>[9]</w:t>
            </w:r>
            <w:r w:rsidRPr="00CF6F45">
              <w:rPr>
                <w:rFonts w:ascii="Arial" w:hAnsi="Arial" w:cs="Arial"/>
                <w:sz w:val="18"/>
                <w:szCs w:val="18"/>
              </w:rPr>
              <w:fldChar w:fldCharType="end"/>
            </w:r>
          </w:p>
        </w:tc>
        <w:tc>
          <w:tcPr>
            <w:tcW w:w="741" w:type="dxa"/>
            <w:shd w:val="clear" w:color="auto" w:fill="70AD47" w:themeFill="accent6"/>
          </w:tcPr>
          <w:p w:rsidR="00867802" w:rsidRPr="00977736" w:rsidRDefault="00867802" w:rsidP="00867802">
            <w:pPr>
              <w:rPr>
                <w:rFonts w:ascii="Arial" w:hAnsi="Arial" w:cs="Arial"/>
                <w:sz w:val="18"/>
                <w:szCs w:val="18"/>
              </w:rPr>
            </w:pPr>
          </w:p>
        </w:tc>
        <w:tc>
          <w:tcPr>
            <w:tcW w:w="677" w:type="dxa"/>
            <w:gridSpan w:val="2"/>
            <w:shd w:val="clear" w:color="auto" w:fill="70AD47" w:themeFill="accent6"/>
          </w:tcPr>
          <w:p w:rsidR="00867802" w:rsidRPr="00977736" w:rsidRDefault="00867802" w:rsidP="00867802">
            <w:pPr>
              <w:rPr>
                <w:rFonts w:ascii="Arial" w:hAnsi="Arial" w:cs="Arial"/>
                <w:sz w:val="18"/>
                <w:szCs w:val="18"/>
              </w:rPr>
            </w:pPr>
          </w:p>
        </w:tc>
        <w:tc>
          <w:tcPr>
            <w:tcW w:w="709" w:type="dxa"/>
            <w:gridSpan w:val="2"/>
            <w:shd w:val="clear" w:color="auto" w:fill="70AD47" w:themeFill="accent6"/>
          </w:tcPr>
          <w:p w:rsidR="00867802" w:rsidRPr="00977736" w:rsidRDefault="00867802" w:rsidP="00867802">
            <w:pPr>
              <w:rPr>
                <w:rFonts w:ascii="Arial" w:hAnsi="Arial" w:cs="Arial"/>
                <w:sz w:val="18"/>
                <w:szCs w:val="18"/>
              </w:rPr>
            </w:pPr>
          </w:p>
        </w:tc>
        <w:tc>
          <w:tcPr>
            <w:tcW w:w="708" w:type="dxa"/>
            <w:shd w:val="clear" w:color="auto" w:fill="70AD47" w:themeFill="accent6"/>
          </w:tcPr>
          <w:p w:rsidR="00867802" w:rsidRPr="00977736" w:rsidRDefault="00867802" w:rsidP="00867802">
            <w:pPr>
              <w:rPr>
                <w:rFonts w:ascii="Arial" w:hAnsi="Arial" w:cs="Arial"/>
                <w:sz w:val="18"/>
                <w:szCs w:val="18"/>
              </w:rPr>
            </w:pPr>
          </w:p>
        </w:tc>
        <w:tc>
          <w:tcPr>
            <w:tcW w:w="709" w:type="dxa"/>
            <w:shd w:val="clear" w:color="auto" w:fill="70AD47" w:themeFill="accent6"/>
          </w:tcPr>
          <w:p w:rsidR="00867802" w:rsidRPr="00977736" w:rsidRDefault="00867802" w:rsidP="00867802">
            <w:pPr>
              <w:rPr>
                <w:rFonts w:ascii="Arial" w:hAnsi="Arial" w:cs="Arial"/>
                <w:sz w:val="18"/>
                <w:szCs w:val="18"/>
              </w:rPr>
            </w:pPr>
          </w:p>
        </w:tc>
      </w:tr>
      <w:tr w:rsidR="00867802" w:rsidRPr="00977736" w:rsidTr="00351FEF">
        <w:tc>
          <w:tcPr>
            <w:tcW w:w="2410" w:type="dxa"/>
          </w:tcPr>
          <w:p w:rsidR="00867802" w:rsidRPr="00CF6F45" w:rsidRDefault="00867802" w:rsidP="00867802">
            <w:pPr>
              <w:rPr>
                <w:rFonts w:ascii="Arial" w:hAnsi="Arial" w:cs="Arial"/>
                <w:sz w:val="18"/>
                <w:szCs w:val="18"/>
              </w:rPr>
            </w:pPr>
            <w:proofErr w:type="spellStart"/>
            <w:r w:rsidRPr="00CF6F45">
              <w:rPr>
                <w:rFonts w:ascii="Arial" w:hAnsi="Arial" w:cs="Arial"/>
                <w:sz w:val="18"/>
                <w:szCs w:val="18"/>
              </w:rPr>
              <w:t>Heldner</w:t>
            </w:r>
            <w:proofErr w:type="spellEnd"/>
            <w:r w:rsidRPr="00CF6F45">
              <w:rPr>
                <w:rFonts w:ascii="Arial" w:hAnsi="Arial" w:cs="Arial"/>
                <w:sz w:val="18"/>
                <w:szCs w:val="18"/>
              </w:rPr>
              <w:t xml:space="preserve"> 2016</w:t>
            </w:r>
            <w:r>
              <w:rPr>
                <w:rFonts w:ascii="Arial" w:hAnsi="Arial" w:cs="Arial"/>
                <w:sz w:val="18"/>
                <w:szCs w:val="18"/>
              </w:rPr>
              <w:t xml:space="preserve"> </w:t>
            </w:r>
            <w:r w:rsidRPr="00CF6F45">
              <w:rPr>
                <w:rFonts w:ascii="Arial" w:hAnsi="Arial" w:cs="Arial"/>
                <w:sz w:val="18"/>
                <w:szCs w:val="18"/>
              </w:rPr>
              <w:fldChar w:fldCharType="begin" w:fldLock="1"/>
            </w:r>
            <w:r>
              <w:rPr>
                <w:rFonts w:ascii="Arial" w:hAnsi="Arial" w:cs="Arial"/>
                <w:sz w:val="18"/>
                <w:szCs w:val="18"/>
              </w:rPr>
              <w:instrText>ADDIN CSL_CITATION {"citationItems":[{"id":"ITEM-1","itemData":{"DOI":"10.1007/s00415-016-8180-6","author":[{"dropping-particle":"","family":"Heldner","given":"M R","non-dropping-particle":"","parse-names":false,"suffix":""},{"dropping-particle":"","family":"Hsieh","given":"K","non-dropping-particle":"","parse-names":false,"suffix":""},{"dropping-particle":"","family":"Broeg-Morvay","given":"A","non-dropping-particle":"","parse-names":false,"suffix":""},{"dropping-particle":"","family":"Mordasini","given":"P","non-dropping-particle":"","parse-names":false,"suffix":""},{"dropping-particle":"","family":"Bühlmann","given":"M","non-dropping-particle":"","parse-names":false,"suffix":""},{"dropping-particle":"","family":"Jung","given":"S","non-dropping-particle":"","parse-names":false,"suffix":""},{"dropping-particle":"","family":"Arnold","given":"M","non-dropping-particle":"","parse-names":false,"suffix":""},{"dropping-particle":"","family":"Mattle","given":"H P","non-dropping-particle":"","parse-names":false,"suffix":""},{"dropping-particle":"","family":"Gralla","given":"J","non-dropping-particle":"","parse-names":false,"suffix":""},{"dropping-particle":"","family":"Fischer","given":"U","non-dropping-particle":"","parse-names":false,"suffix":""}],"container-title":"Journal of Neurology","id":"ITEM-1","issue":"8","issued":{"date-parts":[["2016"]]},"note":"Cited By :25\n\nExport Date: 6 October 2018","page":"1633-1640","title":"Clinical prediction of large vessel occlusion in anterior circulation stroke: mission impossible?","type":"article-journal","volume":"263"},"uris":["http://www.mendeley.com/documents/?uuid=ecbd00cd-a379-42dd-a790-b38fd56b0c4b"]}],"mendeley":{"formattedCitation":"[37]","plainTextFormattedCitation":"[37]","previouslyFormattedCitation":"[14]"},"properties":{"noteIndex":0},"schema":"https://github.com/citation-style-language/schema/raw/master/csl-citation.json"}</w:instrText>
            </w:r>
            <w:r w:rsidRPr="00CF6F45">
              <w:rPr>
                <w:rFonts w:ascii="Arial" w:hAnsi="Arial" w:cs="Arial"/>
                <w:sz w:val="18"/>
                <w:szCs w:val="18"/>
              </w:rPr>
              <w:fldChar w:fldCharType="separate"/>
            </w:r>
            <w:r w:rsidRPr="0024326E">
              <w:rPr>
                <w:rFonts w:ascii="Arial" w:hAnsi="Arial" w:cs="Arial"/>
                <w:noProof/>
                <w:sz w:val="18"/>
                <w:szCs w:val="18"/>
              </w:rPr>
              <w:t>[37]</w:t>
            </w:r>
            <w:r w:rsidRPr="00CF6F45">
              <w:rPr>
                <w:rFonts w:ascii="Arial" w:hAnsi="Arial" w:cs="Arial"/>
                <w:sz w:val="18"/>
                <w:szCs w:val="18"/>
              </w:rPr>
              <w:fldChar w:fldCharType="end"/>
            </w:r>
          </w:p>
        </w:tc>
        <w:tc>
          <w:tcPr>
            <w:tcW w:w="741" w:type="dxa"/>
            <w:shd w:val="clear" w:color="auto" w:fill="70AD47" w:themeFill="accent6"/>
          </w:tcPr>
          <w:p w:rsidR="00867802" w:rsidRPr="00977736" w:rsidRDefault="00867802" w:rsidP="00867802">
            <w:pPr>
              <w:rPr>
                <w:rFonts w:ascii="Arial" w:hAnsi="Arial" w:cs="Arial"/>
                <w:sz w:val="18"/>
                <w:szCs w:val="18"/>
              </w:rPr>
            </w:pPr>
          </w:p>
        </w:tc>
        <w:tc>
          <w:tcPr>
            <w:tcW w:w="677" w:type="dxa"/>
            <w:gridSpan w:val="2"/>
            <w:shd w:val="clear" w:color="auto" w:fill="70AD47" w:themeFill="accent6"/>
          </w:tcPr>
          <w:p w:rsidR="00867802" w:rsidRPr="00977736" w:rsidRDefault="00867802" w:rsidP="00867802">
            <w:pPr>
              <w:rPr>
                <w:rFonts w:ascii="Arial" w:hAnsi="Arial" w:cs="Arial"/>
                <w:sz w:val="18"/>
                <w:szCs w:val="18"/>
              </w:rPr>
            </w:pPr>
          </w:p>
        </w:tc>
        <w:tc>
          <w:tcPr>
            <w:tcW w:w="709" w:type="dxa"/>
            <w:gridSpan w:val="2"/>
            <w:shd w:val="clear" w:color="auto" w:fill="70AD47" w:themeFill="accent6"/>
          </w:tcPr>
          <w:p w:rsidR="00867802" w:rsidRPr="00977736" w:rsidRDefault="00867802" w:rsidP="00867802">
            <w:pPr>
              <w:rPr>
                <w:rFonts w:ascii="Arial" w:hAnsi="Arial" w:cs="Arial"/>
                <w:sz w:val="18"/>
                <w:szCs w:val="18"/>
              </w:rPr>
            </w:pPr>
          </w:p>
        </w:tc>
        <w:tc>
          <w:tcPr>
            <w:tcW w:w="708" w:type="dxa"/>
            <w:shd w:val="clear" w:color="auto" w:fill="70AD47" w:themeFill="accent6"/>
          </w:tcPr>
          <w:p w:rsidR="00867802" w:rsidRPr="00977736" w:rsidRDefault="00867802" w:rsidP="00867802">
            <w:pPr>
              <w:rPr>
                <w:rFonts w:ascii="Arial" w:hAnsi="Arial" w:cs="Arial"/>
                <w:sz w:val="18"/>
                <w:szCs w:val="18"/>
              </w:rPr>
            </w:pPr>
          </w:p>
        </w:tc>
        <w:tc>
          <w:tcPr>
            <w:tcW w:w="709" w:type="dxa"/>
            <w:shd w:val="clear" w:color="auto" w:fill="FFC000"/>
          </w:tcPr>
          <w:p w:rsidR="00867802" w:rsidRPr="00977736" w:rsidRDefault="00867802" w:rsidP="00867802">
            <w:pPr>
              <w:rPr>
                <w:rFonts w:ascii="Arial" w:hAnsi="Arial" w:cs="Arial"/>
                <w:sz w:val="18"/>
                <w:szCs w:val="18"/>
              </w:rPr>
            </w:pPr>
          </w:p>
        </w:tc>
      </w:tr>
      <w:tr w:rsidR="00867802" w:rsidRPr="00977736" w:rsidTr="00351FEF">
        <w:tc>
          <w:tcPr>
            <w:tcW w:w="2410" w:type="dxa"/>
          </w:tcPr>
          <w:p w:rsidR="00867802" w:rsidRPr="00CF6F45" w:rsidRDefault="00867802" w:rsidP="00867802">
            <w:pPr>
              <w:rPr>
                <w:rFonts w:ascii="Arial" w:hAnsi="Arial" w:cs="Arial"/>
                <w:sz w:val="18"/>
                <w:szCs w:val="18"/>
              </w:rPr>
            </w:pPr>
            <w:proofErr w:type="spellStart"/>
            <w:r w:rsidRPr="00CF6F45">
              <w:rPr>
                <w:rFonts w:ascii="Arial" w:hAnsi="Arial" w:cs="Arial"/>
                <w:sz w:val="18"/>
                <w:szCs w:val="18"/>
              </w:rPr>
              <w:t>Jin</w:t>
            </w:r>
            <w:proofErr w:type="spellEnd"/>
            <w:r w:rsidRPr="00CF6F45">
              <w:rPr>
                <w:rFonts w:ascii="Arial" w:hAnsi="Arial" w:cs="Arial"/>
                <w:sz w:val="18"/>
                <w:szCs w:val="18"/>
              </w:rPr>
              <w:t xml:space="preserve"> 2016 </w:t>
            </w:r>
            <w:r w:rsidRPr="00CF6F45">
              <w:rPr>
                <w:rFonts w:ascii="Arial" w:hAnsi="Arial" w:cs="Arial"/>
                <w:sz w:val="18"/>
                <w:szCs w:val="18"/>
              </w:rPr>
              <w:fldChar w:fldCharType="begin" w:fldLock="1"/>
            </w:r>
            <w:r>
              <w:rPr>
                <w:rFonts w:ascii="Arial" w:hAnsi="Arial" w:cs="Arial"/>
                <w:sz w:val="18"/>
                <w:szCs w:val="18"/>
              </w:rPr>
              <w:instrText>ADDIN CSL_CITATION {"citationItems":[{"id":"ITEM-1","itemData":{"DOI":"10.4103/0366-6999.180521","author":[{"dropping-particle":"","family":"Jin","given":"H.-Q.","non-dropping-particle":"","parse-names":false,"suffix":""},{"dropping-particle":"","family":"Wang","given":"J.-C.","non-dropping-particle":"","parse-names":false,"suffix":""},{"dropping-particle":"","family":"Sun","given":"Y.-A.","non-dropping-particle":"","parse-names":false,"suffix":""},{"dropping-particle":"","family":"Lyu","given":"P","non-dropping-particle":"","parse-names":false,"suffix":""},{"dropping-particle":"","family":"Cui","given":"W","non-dropping-particle":"","parse-names":false,"suffix":""},{"dropping-particle":"","family":"Liu","given":"Y.-Y.","non-dropping-particle":"","parse-names":false,"suffix":""},{"dropping-particle":"","family":"Zhen","given":"Z.-G.","non-dropping-particle":"","parse-names":false,"suffix":""},{"dropping-particle":"","family":"Huang","given":"Y.-N.","non-dropping-particle":"","parse-names":false,"suffix":""}],"container-title":"Chinese Medical Journal","id":"ITEM-1","issue":"9","issued":{"date-parts":[["2016"]]},"note":"Cited By :1\n\nExport Date: 6 October 2018","page":"1041-1046","title":"Prehospital identification of stroke subtypes in Chinese rural areas","type":"article-journal","volume":"129"},"uris":["http://www.mendeley.com/documents/?uuid=9a1d7521-69f3-4a12-9290-4112be77f14f"]}],"mendeley":{"formattedCitation":"[21]","plainTextFormattedCitation":"[21]","previouslyFormattedCitation":"[15]"},"properties":{"noteIndex":0},"schema":"https://github.com/citation-style-language/schema/raw/master/csl-citation.json"}</w:instrText>
            </w:r>
            <w:r w:rsidRPr="00CF6F45">
              <w:rPr>
                <w:rFonts w:ascii="Arial" w:hAnsi="Arial" w:cs="Arial"/>
                <w:sz w:val="18"/>
                <w:szCs w:val="18"/>
              </w:rPr>
              <w:fldChar w:fldCharType="separate"/>
            </w:r>
            <w:r w:rsidRPr="0024326E">
              <w:rPr>
                <w:rFonts w:ascii="Arial" w:hAnsi="Arial" w:cs="Arial"/>
                <w:noProof/>
                <w:sz w:val="18"/>
                <w:szCs w:val="18"/>
              </w:rPr>
              <w:t>[21]</w:t>
            </w:r>
            <w:r w:rsidRPr="00CF6F45">
              <w:rPr>
                <w:rFonts w:ascii="Arial" w:hAnsi="Arial" w:cs="Arial"/>
                <w:sz w:val="18"/>
                <w:szCs w:val="18"/>
              </w:rPr>
              <w:fldChar w:fldCharType="end"/>
            </w:r>
          </w:p>
        </w:tc>
        <w:tc>
          <w:tcPr>
            <w:tcW w:w="741" w:type="dxa"/>
            <w:shd w:val="clear" w:color="auto" w:fill="70AD47" w:themeFill="accent6"/>
          </w:tcPr>
          <w:p w:rsidR="00867802" w:rsidRPr="00977736" w:rsidRDefault="00867802" w:rsidP="00867802">
            <w:pPr>
              <w:rPr>
                <w:rFonts w:ascii="Arial" w:hAnsi="Arial" w:cs="Arial"/>
                <w:sz w:val="18"/>
                <w:szCs w:val="18"/>
              </w:rPr>
            </w:pPr>
          </w:p>
        </w:tc>
        <w:tc>
          <w:tcPr>
            <w:tcW w:w="677" w:type="dxa"/>
            <w:gridSpan w:val="2"/>
            <w:shd w:val="clear" w:color="auto" w:fill="70AD47" w:themeFill="accent6"/>
          </w:tcPr>
          <w:p w:rsidR="00867802" w:rsidRPr="00977736" w:rsidRDefault="00867802" w:rsidP="00867802">
            <w:pPr>
              <w:rPr>
                <w:rFonts w:ascii="Arial" w:hAnsi="Arial" w:cs="Arial"/>
                <w:sz w:val="18"/>
                <w:szCs w:val="18"/>
              </w:rPr>
            </w:pPr>
          </w:p>
        </w:tc>
        <w:tc>
          <w:tcPr>
            <w:tcW w:w="709" w:type="dxa"/>
            <w:gridSpan w:val="2"/>
            <w:shd w:val="clear" w:color="auto" w:fill="FFC000"/>
          </w:tcPr>
          <w:p w:rsidR="00867802" w:rsidRPr="00977736" w:rsidRDefault="00867802" w:rsidP="00867802">
            <w:pPr>
              <w:rPr>
                <w:rFonts w:ascii="Arial" w:hAnsi="Arial" w:cs="Arial"/>
                <w:sz w:val="18"/>
                <w:szCs w:val="18"/>
              </w:rPr>
            </w:pPr>
          </w:p>
        </w:tc>
        <w:tc>
          <w:tcPr>
            <w:tcW w:w="708" w:type="dxa"/>
            <w:shd w:val="clear" w:color="auto" w:fill="70AD47" w:themeFill="accent6"/>
          </w:tcPr>
          <w:p w:rsidR="00867802" w:rsidRPr="00977736" w:rsidRDefault="00867802" w:rsidP="00867802">
            <w:pPr>
              <w:rPr>
                <w:rFonts w:ascii="Arial" w:hAnsi="Arial" w:cs="Arial"/>
                <w:sz w:val="18"/>
                <w:szCs w:val="18"/>
              </w:rPr>
            </w:pPr>
          </w:p>
        </w:tc>
        <w:tc>
          <w:tcPr>
            <w:tcW w:w="709" w:type="dxa"/>
            <w:shd w:val="clear" w:color="auto" w:fill="70AD47" w:themeFill="accent6"/>
          </w:tcPr>
          <w:p w:rsidR="00867802" w:rsidRPr="00977736" w:rsidRDefault="00867802" w:rsidP="00867802">
            <w:pPr>
              <w:rPr>
                <w:rFonts w:ascii="Arial" w:hAnsi="Arial" w:cs="Arial"/>
                <w:sz w:val="18"/>
                <w:szCs w:val="18"/>
              </w:rPr>
            </w:pPr>
          </w:p>
        </w:tc>
      </w:tr>
      <w:tr w:rsidR="00867802" w:rsidRPr="00977736" w:rsidTr="00351FEF">
        <w:tc>
          <w:tcPr>
            <w:tcW w:w="2410" w:type="dxa"/>
          </w:tcPr>
          <w:p w:rsidR="00867802" w:rsidRPr="00CF6F45" w:rsidRDefault="00867802" w:rsidP="00867802">
            <w:pPr>
              <w:rPr>
                <w:rFonts w:ascii="Arial" w:hAnsi="Arial" w:cs="Arial"/>
                <w:sz w:val="18"/>
                <w:szCs w:val="18"/>
              </w:rPr>
            </w:pPr>
            <w:r w:rsidRPr="00CF6F45">
              <w:rPr>
                <w:rFonts w:ascii="Arial" w:hAnsi="Arial" w:cs="Arial"/>
                <w:sz w:val="18"/>
                <w:szCs w:val="18"/>
              </w:rPr>
              <w:t xml:space="preserve">Katz 2015 </w:t>
            </w:r>
            <w:r w:rsidRPr="00CF6F45">
              <w:rPr>
                <w:rFonts w:ascii="Arial" w:hAnsi="Arial" w:cs="Arial"/>
                <w:sz w:val="18"/>
                <w:szCs w:val="18"/>
              </w:rPr>
              <w:fldChar w:fldCharType="begin" w:fldLock="1"/>
            </w:r>
            <w:r>
              <w:rPr>
                <w:rFonts w:ascii="Arial" w:hAnsi="Arial" w:cs="Arial"/>
                <w:sz w:val="18"/>
                <w:szCs w:val="18"/>
              </w:rPr>
              <w:instrText>ADDIN CSL_CITATION {"citationItems":[{"id":"ITEM-1","itemData":{"DOI":"10.1161/STROKEAHA.115.008804","author":[{"dropping-particle":"","family":"Katz","given":"B S","non-dropping-particle":"","parse-names":false,"suffix":""},{"dropping-particle":"","family":"McMullan","given":"J T","non-dropping-particle":"","parse-names":false,"suffix":""},{"dropping-particle":"","family":"Sucharew","given":"H","non-dropping-particle":"","parse-names":false,"suffix":""},{"dropping-particle":"","family":"Adeoye","given":"O","non-dropping-particle":"","parse-names":false,"suffix":""},{"dropping-particle":"","family":"Broderick","given":"J P","non-dropping-particle":"","parse-names":false,"suffix":""}],"container-title":"Stroke","id":"ITEM-1","issue":"6","issued":{"date-parts":[["2015"]]},"note":"Cited By :74\n\nExport Date: 6 October 2018","page":"1508-1512","title":"Design and Validation of a Prehospital Scale to Predict Stroke Severity: Cincinnati Prehospital Stroke Severity Scale","type":"article-journal","volume":"46"},"uris":["http://www.mendeley.com/documents/?uuid=9e87b1ef-c833-4651-81ba-559ded0fa386"]}],"mendeley":{"formattedCitation":"[10]","plainTextFormattedCitation":"[10]","previouslyFormattedCitation":"[16]"},"properties":{"noteIndex":0},"schema":"https://github.com/citation-style-language/schema/raw/master/csl-citation.json"}</w:instrText>
            </w:r>
            <w:r w:rsidRPr="00CF6F45">
              <w:rPr>
                <w:rFonts w:ascii="Arial" w:hAnsi="Arial" w:cs="Arial"/>
                <w:sz w:val="18"/>
                <w:szCs w:val="18"/>
              </w:rPr>
              <w:fldChar w:fldCharType="separate"/>
            </w:r>
            <w:r w:rsidRPr="0024326E">
              <w:rPr>
                <w:rFonts w:ascii="Arial" w:hAnsi="Arial" w:cs="Arial"/>
                <w:noProof/>
                <w:sz w:val="18"/>
                <w:szCs w:val="18"/>
              </w:rPr>
              <w:t>[10]</w:t>
            </w:r>
            <w:r w:rsidRPr="00CF6F45">
              <w:rPr>
                <w:rFonts w:ascii="Arial" w:hAnsi="Arial" w:cs="Arial"/>
                <w:sz w:val="18"/>
                <w:szCs w:val="18"/>
              </w:rPr>
              <w:fldChar w:fldCharType="end"/>
            </w:r>
          </w:p>
        </w:tc>
        <w:tc>
          <w:tcPr>
            <w:tcW w:w="741" w:type="dxa"/>
            <w:shd w:val="clear" w:color="auto" w:fill="FFC000"/>
          </w:tcPr>
          <w:p w:rsidR="00867802" w:rsidRPr="00977736" w:rsidRDefault="00867802" w:rsidP="00867802">
            <w:pPr>
              <w:rPr>
                <w:rFonts w:ascii="Arial" w:hAnsi="Arial" w:cs="Arial"/>
                <w:sz w:val="18"/>
                <w:szCs w:val="18"/>
              </w:rPr>
            </w:pPr>
          </w:p>
        </w:tc>
        <w:tc>
          <w:tcPr>
            <w:tcW w:w="677" w:type="dxa"/>
            <w:gridSpan w:val="2"/>
            <w:shd w:val="clear" w:color="auto" w:fill="FFC000"/>
          </w:tcPr>
          <w:p w:rsidR="00867802" w:rsidRPr="00977736" w:rsidRDefault="00867802" w:rsidP="00867802">
            <w:pPr>
              <w:rPr>
                <w:rFonts w:ascii="Arial" w:hAnsi="Arial" w:cs="Arial"/>
                <w:sz w:val="18"/>
                <w:szCs w:val="18"/>
              </w:rPr>
            </w:pPr>
          </w:p>
        </w:tc>
        <w:tc>
          <w:tcPr>
            <w:tcW w:w="709" w:type="dxa"/>
            <w:gridSpan w:val="2"/>
            <w:shd w:val="clear" w:color="auto" w:fill="FFC000"/>
          </w:tcPr>
          <w:p w:rsidR="00867802" w:rsidRPr="00977736" w:rsidRDefault="00867802" w:rsidP="00867802">
            <w:pPr>
              <w:rPr>
                <w:rFonts w:ascii="Arial" w:hAnsi="Arial" w:cs="Arial"/>
                <w:sz w:val="18"/>
                <w:szCs w:val="18"/>
              </w:rPr>
            </w:pPr>
          </w:p>
        </w:tc>
        <w:tc>
          <w:tcPr>
            <w:tcW w:w="708" w:type="dxa"/>
            <w:shd w:val="clear" w:color="auto" w:fill="70AD47" w:themeFill="accent6"/>
          </w:tcPr>
          <w:p w:rsidR="00867802" w:rsidRPr="00977736" w:rsidRDefault="00867802" w:rsidP="00867802">
            <w:pPr>
              <w:rPr>
                <w:rFonts w:ascii="Arial" w:hAnsi="Arial" w:cs="Arial"/>
                <w:sz w:val="18"/>
                <w:szCs w:val="18"/>
              </w:rPr>
            </w:pPr>
          </w:p>
        </w:tc>
        <w:tc>
          <w:tcPr>
            <w:tcW w:w="709" w:type="dxa"/>
            <w:shd w:val="clear" w:color="auto" w:fill="FFC000"/>
          </w:tcPr>
          <w:p w:rsidR="00867802" w:rsidRPr="00977736" w:rsidRDefault="00867802" w:rsidP="00867802">
            <w:pPr>
              <w:rPr>
                <w:rFonts w:ascii="Arial" w:hAnsi="Arial" w:cs="Arial"/>
                <w:sz w:val="18"/>
                <w:szCs w:val="18"/>
              </w:rPr>
            </w:pPr>
          </w:p>
        </w:tc>
      </w:tr>
      <w:tr w:rsidR="00867802" w:rsidRPr="00977736" w:rsidTr="00351FEF">
        <w:tc>
          <w:tcPr>
            <w:tcW w:w="2410" w:type="dxa"/>
          </w:tcPr>
          <w:p w:rsidR="00867802" w:rsidRPr="00CF6F45" w:rsidRDefault="00867802" w:rsidP="00867802">
            <w:pPr>
              <w:rPr>
                <w:rFonts w:ascii="Arial" w:hAnsi="Arial" w:cs="Arial"/>
                <w:sz w:val="18"/>
                <w:szCs w:val="18"/>
              </w:rPr>
            </w:pPr>
            <w:proofErr w:type="spellStart"/>
            <w:r w:rsidRPr="00CF6F45">
              <w:rPr>
                <w:rFonts w:ascii="Arial" w:hAnsi="Arial" w:cs="Arial"/>
                <w:sz w:val="18"/>
                <w:szCs w:val="18"/>
              </w:rPr>
              <w:t>Kummer</w:t>
            </w:r>
            <w:proofErr w:type="spellEnd"/>
            <w:r w:rsidRPr="00CF6F45">
              <w:rPr>
                <w:rFonts w:ascii="Arial" w:hAnsi="Arial" w:cs="Arial"/>
                <w:sz w:val="18"/>
                <w:szCs w:val="18"/>
              </w:rPr>
              <w:t xml:space="preserve"> 2016</w:t>
            </w:r>
            <w:r>
              <w:rPr>
                <w:rFonts w:ascii="Arial" w:hAnsi="Arial" w:cs="Arial"/>
                <w:sz w:val="18"/>
                <w:szCs w:val="18"/>
              </w:rPr>
              <w:t xml:space="preserve"> </w:t>
            </w:r>
            <w:r w:rsidRPr="00CF6F45">
              <w:rPr>
                <w:rFonts w:ascii="Arial" w:hAnsi="Arial" w:cs="Arial"/>
                <w:sz w:val="18"/>
                <w:szCs w:val="18"/>
              </w:rPr>
              <w:fldChar w:fldCharType="begin" w:fldLock="1"/>
            </w:r>
            <w:r>
              <w:rPr>
                <w:rFonts w:ascii="Arial" w:hAnsi="Arial" w:cs="Arial"/>
                <w:sz w:val="18"/>
                <w:szCs w:val="18"/>
              </w:rPr>
              <w:instrText>ADDIN CSL_CITATION {"citationItems":[{"id":"ITEM-1","itemData":{"DOI":"10.1016/j.jstrokecerebrovasdis.2016.02.015","ISSN":"1532-8511 (Electronic)","PMID":"26971037","abstract":"BACKGROUND: The Cincinnati Prehospital Stroke Severity Scale (CPSSS) was recently developed to predict large-vessel occlusions (LVOs) in patients with acute ischemic stroke (AIS). In its derivation study, which consisted of patients enrolled in thrombolysis and endovascular therapy trials, the CPSSS had excellent discriminatory performance. We sought to externally validate the CPSSS in an independent cohort. METHODS: Using our institution's prospective stroke registry, we calculated CPSSS scores for all patients diagnosed with AIS at Weill Cornell Medical Center in 2013 and 2014. The primary outcome was presence of LVO and the secondary outcome was a National Institutes of Health Stroke Scale (NIHSS) score of 15 or higher. Harrell's c-statistic was calculated to determine the CPSSS score's discriminatory performance. Using the previously defined cut-point of 2 or higher (range 0-4), we evaluated the test properties of the CPSSS for predicting study outcomes. RESULTS: Among 751 patients with AIS, 664 had vessel imaging and were included in the final analysis. Of these patients, 80 (14.2%) had LVOs and 117 (17.6%) had an NIHSS score of 15 or higher. The median CPSSS score was 0 (interquartile range 0-1) and 133 patients (20%) had scores of 2 or higher. c-statistic was .85 (95% confidence interval [CI] .81-.90) for predicting LVO and .94 (95% CI .92-.97) for predicting an NIHSS score of 15 or higher. Using a cut-point of 2 or higher, the CPSSS was 70.0% sensitive and 86.8% specific for predicting LVO, and 87.2% sensitive and 94.3% specific for predicting an NIHSS score of 15 or higher. CONCLUSIONS: In a cohort of patients with AIS treated at a tertiary-care stroke center, the CPSSS had reasonable sensitivity and specificity for predicting LVO and severe stroke. Future studies should aim to prospectively validate the score in emergency responders.","author":[{"dropping-particle":"","family":"Kummer","given":"Benjamin R","non-dropping-particle":"","parse-names":false,"suffix":""},{"dropping-particle":"","family":"Gialdini","given":"Gino","non-dropping-particle":"","parse-names":false,"suffix":""},{"dropping-particle":"","family":"Sevush","given":"Jennifer L","non-dropping-particle":"","parse-names":false,"suffix":""},{"dropping-particle":"","family":"Kamel","given":"Hooman","non-dropping-particle":"","parse-names":false,"suffix":""},{"dropping-particle":"","family":"Patsalides","given":"Athos","non-dropping-particle":"","parse-names":false,"suffix":""},{"dropping-particle":"","family":"Navi","given":"Babak B","non-dropping-particle":"","parse-names":false,"suffix":""}],"container-title":"Journal of stroke and cerebrovascular diseases : the official journal of National Stroke Association","id":"ITEM-1","issue":"5","issued":{"date-parts":[["2016","5"]]},"language":"eng","page":"1270-1274","publisher-place":"United States","title":"External Validation of the Cincinnati Prehospital Stroke Severity Scale.","type":"article-journal","volume":"25"},"uris":["http://www.mendeley.com/documents/?uuid=e5a92a30-952b-41f1-86aa-79b6aa66fa5e"]}],"mendeley":{"formattedCitation":"[38]","plainTextFormattedCitation":"[38]","previouslyFormattedCitation":"[17]"},"properties":{"noteIndex":0},"schema":"https://github.com/citation-style-language/schema/raw/master/csl-citation.json"}</w:instrText>
            </w:r>
            <w:r w:rsidRPr="00CF6F45">
              <w:rPr>
                <w:rFonts w:ascii="Arial" w:hAnsi="Arial" w:cs="Arial"/>
                <w:sz w:val="18"/>
                <w:szCs w:val="18"/>
              </w:rPr>
              <w:fldChar w:fldCharType="separate"/>
            </w:r>
            <w:r w:rsidRPr="0024326E">
              <w:rPr>
                <w:rFonts w:ascii="Arial" w:hAnsi="Arial" w:cs="Arial"/>
                <w:noProof/>
                <w:sz w:val="18"/>
                <w:szCs w:val="18"/>
              </w:rPr>
              <w:t>[38]</w:t>
            </w:r>
            <w:r w:rsidRPr="00CF6F45">
              <w:rPr>
                <w:rFonts w:ascii="Arial" w:hAnsi="Arial" w:cs="Arial"/>
                <w:sz w:val="18"/>
                <w:szCs w:val="18"/>
              </w:rPr>
              <w:fldChar w:fldCharType="end"/>
            </w:r>
          </w:p>
        </w:tc>
        <w:tc>
          <w:tcPr>
            <w:tcW w:w="741" w:type="dxa"/>
            <w:shd w:val="clear" w:color="auto" w:fill="70AD47" w:themeFill="accent6"/>
          </w:tcPr>
          <w:p w:rsidR="00867802" w:rsidRPr="00977736" w:rsidRDefault="00867802" w:rsidP="00867802">
            <w:pPr>
              <w:rPr>
                <w:rFonts w:ascii="Arial" w:hAnsi="Arial" w:cs="Arial"/>
                <w:sz w:val="18"/>
                <w:szCs w:val="18"/>
              </w:rPr>
            </w:pPr>
          </w:p>
        </w:tc>
        <w:tc>
          <w:tcPr>
            <w:tcW w:w="677" w:type="dxa"/>
            <w:gridSpan w:val="2"/>
            <w:shd w:val="clear" w:color="auto" w:fill="FFC000"/>
          </w:tcPr>
          <w:p w:rsidR="00867802" w:rsidRPr="00977736" w:rsidRDefault="00867802" w:rsidP="00867802">
            <w:pPr>
              <w:rPr>
                <w:rFonts w:ascii="Arial" w:hAnsi="Arial" w:cs="Arial"/>
                <w:sz w:val="18"/>
                <w:szCs w:val="18"/>
              </w:rPr>
            </w:pPr>
          </w:p>
        </w:tc>
        <w:tc>
          <w:tcPr>
            <w:tcW w:w="709" w:type="dxa"/>
            <w:gridSpan w:val="2"/>
            <w:shd w:val="clear" w:color="auto" w:fill="70AD47" w:themeFill="accent6"/>
          </w:tcPr>
          <w:p w:rsidR="00867802" w:rsidRPr="00977736" w:rsidRDefault="00867802" w:rsidP="00867802">
            <w:pPr>
              <w:rPr>
                <w:rFonts w:ascii="Arial" w:hAnsi="Arial" w:cs="Arial"/>
                <w:sz w:val="18"/>
                <w:szCs w:val="18"/>
              </w:rPr>
            </w:pPr>
          </w:p>
        </w:tc>
        <w:tc>
          <w:tcPr>
            <w:tcW w:w="708" w:type="dxa"/>
            <w:shd w:val="clear" w:color="auto" w:fill="70AD47" w:themeFill="accent6"/>
          </w:tcPr>
          <w:p w:rsidR="00867802" w:rsidRPr="00977736" w:rsidRDefault="00867802" w:rsidP="00867802">
            <w:pPr>
              <w:rPr>
                <w:rFonts w:ascii="Arial" w:hAnsi="Arial" w:cs="Arial"/>
                <w:sz w:val="18"/>
                <w:szCs w:val="18"/>
              </w:rPr>
            </w:pPr>
          </w:p>
        </w:tc>
        <w:tc>
          <w:tcPr>
            <w:tcW w:w="709" w:type="dxa"/>
            <w:shd w:val="clear" w:color="auto" w:fill="70AD47" w:themeFill="accent6"/>
          </w:tcPr>
          <w:p w:rsidR="00867802" w:rsidRPr="00977736" w:rsidRDefault="00867802" w:rsidP="00867802">
            <w:pPr>
              <w:rPr>
                <w:rFonts w:ascii="Arial" w:hAnsi="Arial" w:cs="Arial"/>
                <w:sz w:val="18"/>
                <w:szCs w:val="18"/>
              </w:rPr>
            </w:pPr>
          </w:p>
        </w:tc>
      </w:tr>
      <w:tr w:rsidR="00867802" w:rsidRPr="00977736" w:rsidTr="00351FEF">
        <w:tc>
          <w:tcPr>
            <w:tcW w:w="2410" w:type="dxa"/>
          </w:tcPr>
          <w:p w:rsidR="00867802" w:rsidRPr="00CF6F45" w:rsidRDefault="00867802" w:rsidP="00867802">
            <w:pPr>
              <w:rPr>
                <w:rFonts w:ascii="Arial" w:hAnsi="Arial" w:cs="Arial"/>
                <w:sz w:val="18"/>
                <w:szCs w:val="18"/>
              </w:rPr>
            </w:pPr>
            <w:r w:rsidRPr="00CF6F45">
              <w:rPr>
                <w:rFonts w:ascii="Arial" w:hAnsi="Arial" w:cs="Arial"/>
                <w:sz w:val="18"/>
                <w:szCs w:val="18"/>
              </w:rPr>
              <w:t>Kuroda 2017</w:t>
            </w:r>
            <w:r>
              <w:rPr>
                <w:rFonts w:ascii="Arial" w:hAnsi="Arial" w:cs="Arial"/>
                <w:sz w:val="18"/>
                <w:szCs w:val="18"/>
              </w:rPr>
              <w:t xml:space="preserve"> </w:t>
            </w:r>
            <w:r w:rsidRPr="00CF6F45">
              <w:rPr>
                <w:rFonts w:ascii="Arial" w:hAnsi="Arial" w:cs="Arial"/>
                <w:sz w:val="18"/>
                <w:szCs w:val="18"/>
              </w:rPr>
              <w:fldChar w:fldCharType="begin" w:fldLock="1"/>
            </w:r>
            <w:r>
              <w:rPr>
                <w:rFonts w:ascii="Arial" w:hAnsi="Arial" w:cs="Arial"/>
                <w:sz w:val="18"/>
                <w:szCs w:val="18"/>
              </w:rPr>
              <w:instrText>ADDIN CSL_CITATION {"citationItems":[{"id":"ITEM-1","itemData":{"DOI":"10.1016/j.jstrokecerebrovasdis.2017.01.009","ISSN":"1532-8511 (Electronic)","PMID":"28256416","abstract":"BACKGROUND: Vertigo or dizziness is a common occurrence, but it remains a challenging symptom when encountered in the emergency department (ED). A diagnostic score for stroke with high accuracy is therefore required. METHODS: A single-center observational study (498 patients) was conducted. The predictor variables were derived from a multivariate logistic regression analysis with Akaike information criterion. The outcome was the occurrence of stroke. We evaluated the utility of a new diagnostic score (TriAGe+) and compared it with the ABCD2 score. RESULTS: The cohorts included 498 patients (147 with stroke [29.4%]). Eight variables were included: triggers, atrial fibrillation, male gender, blood pressure &gt;/=140/90 mm Hg, brainstem or cerebellar dysfunction, focal weakness or speech impairment, dizziness, and no history of vertigo or dizziness or labyrinth or vestibular disease. We derived the TriAGe+ score from these variables. In the cohort, the prevalence of stroke increased significantly using the diagnostic score: 5.9% for a score of 0-4; 9.1% for 5-7; 24.7% for 8-9; and 57.3% for 10-17. At a cutoff value of 10 points, the sensitivity of the score was 77.5%, the specificity was 72.1%, and the positive likelihood ratio was 3.2. When the cutoff was defined as 5 points, the score obtained a high sensitivity (96.6%) with a good negative likelihood ratio (.15). The new score outperformed the ABCD2 score for the occurrence of stroke (C statistic, .818 versus .726; P &lt; .001). CONCLUSIONS: The TriAGe+ score can identify the occurrence of stroke in patients with vertigo or dizziness presenting to the ED.","author":[{"dropping-particle":"","family":"Kuroda","given":"R","non-dropping-particle":"","parse-names":false,"suffix":""},{"dropping-particle":"","family":"Nakada","given":"T","non-dropping-particle":"","parse-names":false,"suffix":""},{"dropping-particle":"","family":"Ojima","given":"T","non-dropping-particle":"","parse-names":false,"suffix":""},{"dropping-particle":"","family":"Serizawa","given":"M","non-dropping-particle":"","parse-names":false,"suffix":""},{"dropping-particle":"","family":"Imai","given":"N","non-dropping-particle":"","parse-names":false,"suffix":""},{"dropping-particle":"","family":"Yagi","given":"N","non-dropping-particle":"","parse-names":false,"suffix":""},{"dropping-particle":"","family":"Tasaki","given":"A","non-dropping-particle":"","parse-names":false,"suffix":""},{"dropping-particle":"","family":"Aoki","given":"M","non-dropping-particle":"","parse-names":false,"suffix":""},{"dropping-particle":"","family":"Oiwa","given":"T","non-dropping-particle":"","parse-names":false,"suffix":""},{"dropping-particle":"","family":"Ogane","given":"T","non-dropping-particle":"","parse-names":false,"suffix":""},{"dropping-particle":"","family":"Mochizuki","given":"K","non-dropping-particle":"","parse-names":false,"suffix":""},{"dropping-particle":"","family":"Kobari","given":"M","non-dropping-particle":"","parse-names":false,"suffix":""},{"dropping-particle":"","family":"Miyajima","given":"H","non-dropping-particle":"","parse-names":false,"suffix":""}],"container-title":"Journal of stroke and cerebrovascular diseases : the official journal of National Stroke Association","id":"ITEM-1","issue":"5","issued":{"date-parts":[["2017","5"]]},"language":"eng","page":"1144-1153","publisher-place":"United States","title":"The TriAGe+ Score for Vertigo or Dizziness: A Diagnostic Model for Stroke in the  Emergency Department.","type":"article-journal","volume":"26"},"uris":["http://www.mendeley.com/documents/?uuid=b884edde-105d-4c30-a877-e0285fe7b3c0"]}],"mendeley":{"formattedCitation":"[11]","plainTextFormattedCitation":"[11]","previouslyFormattedCitation":"[18]"},"properties":{"noteIndex":0},"schema":"https://github.com/citation-style-language/schema/raw/master/csl-citation.json"}</w:instrText>
            </w:r>
            <w:r w:rsidRPr="00CF6F45">
              <w:rPr>
                <w:rFonts w:ascii="Arial" w:hAnsi="Arial" w:cs="Arial"/>
                <w:sz w:val="18"/>
                <w:szCs w:val="18"/>
              </w:rPr>
              <w:fldChar w:fldCharType="separate"/>
            </w:r>
            <w:r w:rsidRPr="0024326E">
              <w:rPr>
                <w:rFonts w:ascii="Arial" w:hAnsi="Arial" w:cs="Arial"/>
                <w:noProof/>
                <w:sz w:val="18"/>
                <w:szCs w:val="18"/>
              </w:rPr>
              <w:t>[11]</w:t>
            </w:r>
            <w:r w:rsidRPr="00CF6F45">
              <w:rPr>
                <w:rFonts w:ascii="Arial" w:hAnsi="Arial" w:cs="Arial"/>
                <w:sz w:val="18"/>
                <w:szCs w:val="18"/>
              </w:rPr>
              <w:fldChar w:fldCharType="end"/>
            </w:r>
          </w:p>
        </w:tc>
        <w:tc>
          <w:tcPr>
            <w:tcW w:w="741" w:type="dxa"/>
            <w:shd w:val="clear" w:color="auto" w:fill="FFC000"/>
          </w:tcPr>
          <w:p w:rsidR="00867802" w:rsidRPr="00977736" w:rsidRDefault="00867802" w:rsidP="00867802">
            <w:pPr>
              <w:rPr>
                <w:rFonts w:ascii="Arial" w:hAnsi="Arial" w:cs="Arial"/>
                <w:sz w:val="18"/>
                <w:szCs w:val="18"/>
              </w:rPr>
            </w:pPr>
          </w:p>
        </w:tc>
        <w:tc>
          <w:tcPr>
            <w:tcW w:w="677" w:type="dxa"/>
            <w:gridSpan w:val="2"/>
            <w:shd w:val="clear" w:color="auto" w:fill="FFC000"/>
          </w:tcPr>
          <w:p w:rsidR="00867802" w:rsidRPr="00977736" w:rsidRDefault="00867802" w:rsidP="00867802">
            <w:pPr>
              <w:rPr>
                <w:rFonts w:ascii="Arial" w:hAnsi="Arial" w:cs="Arial"/>
                <w:sz w:val="18"/>
                <w:szCs w:val="18"/>
              </w:rPr>
            </w:pPr>
          </w:p>
        </w:tc>
        <w:tc>
          <w:tcPr>
            <w:tcW w:w="709" w:type="dxa"/>
            <w:gridSpan w:val="2"/>
            <w:shd w:val="clear" w:color="auto" w:fill="70AD47" w:themeFill="accent6"/>
          </w:tcPr>
          <w:p w:rsidR="00867802" w:rsidRPr="00977736" w:rsidRDefault="00867802" w:rsidP="00867802">
            <w:pPr>
              <w:rPr>
                <w:rFonts w:ascii="Arial" w:hAnsi="Arial" w:cs="Arial"/>
                <w:sz w:val="18"/>
                <w:szCs w:val="18"/>
              </w:rPr>
            </w:pPr>
          </w:p>
        </w:tc>
        <w:tc>
          <w:tcPr>
            <w:tcW w:w="708" w:type="dxa"/>
            <w:shd w:val="clear" w:color="auto" w:fill="70AD47" w:themeFill="accent6"/>
          </w:tcPr>
          <w:p w:rsidR="00867802" w:rsidRPr="00977736" w:rsidRDefault="00867802" w:rsidP="00867802">
            <w:pPr>
              <w:rPr>
                <w:rFonts w:ascii="Arial" w:hAnsi="Arial" w:cs="Arial"/>
                <w:sz w:val="18"/>
                <w:szCs w:val="18"/>
              </w:rPr>
            </w:pPr>
          </w:p>
        </w:tc>
        <w:tc>
          <w:tcPr>
            <w:tcW w:w="709" w:type="dxa"/>
            <w:shd w:val="clear" w:color="auto" w:fill="70AD47" w:themeFill="accent6"/>
          </w:tcPr>
          <w:p w:rsidR="00867802" w:rsidRPr="00977736" w:rsidRDefault="00867802" w:rsidP="00867802">
            <w:pPr>
              <w:rPr>
                <w:rFonts w:ascii="Arial" w:hAnsi="Arial" w:cs="Arial"/>
                <w:sz w:val="18"/>
                <w:szCs w:val="18"/>
              </w:rPr>
            </w:pPr>
          </w:p>
        </w:tc>
      </w:tr>
      <w:tr w:rsidR="00867802" w:rsidRPr="00977736" w:rsidTr="00351FEF">
        <w:tc>
          <w:tcPr>
            <w:tcW w:w="2410" w:type="dxa"/>
          </w:tcPr>
          <w:p w:rsidR="00867802" w:rsidRPr="00CF6F45" w:rsidRDefault="00867802" w:rsidP="00867802">
            <w:pPr>
              <w:rPr>
                <w:rFonts w:ascii="Arial" w:hAnsi="Arial" w:cs="Arial"/>
                <w:sz w:val="18"/>
                <w:szCs w:val="18"/>
              </w:rPr>
            </w:pPr>
            <w:r w:rsidRPr="00CF6F45">
              <w:rPr>
                <w:rFonts w:ascii="Arial" w:hAnsi="Arial" w:cs="Arial"/>
                <w:sz w:val="18"/>
                <w:szCs w:val="18"/>
              </w:rPr>
              <w:t>Lima 2016</w:t>
            </w:r>
            <w:r>
              <w:rPr>
                <w:rFonts w:ascii="Arial" w:hAnsi="Arial" w:cs="Arial"/>
                <w:sz w:val="18"/>
                <w:szCs w:val="18"/>
              </w:rPr>
              <w:t xml:space="preserve"> </w:t>
            </w:r>
            <w:r w:rsidRPr="00CF6F45">
              <w:rPr>
                <w:rFonts w:ascii="Arial" w:hAnsi="Arial" w:cs="Arial"/>
                <w:sz w:val="18"/>
                <w:szCs w:val="18"/>
              </w:rPr>
              <w:fldChar w:fldCharType="begin" w:fldLock="1"/>
            </w:r>
            <w:r>
              <w:rPr>
                <w:rFonts w:ascii="Arial" w:hAnsi="Arial" w:cs="Arial"/>
                <w:sz w:val="18"/>
                <w:szCs w:val="18"/>
              </w:rPr>
              <w:instrText>ADDIN CSL_CITATION {"citationItems":[{"id":"ITEM-1","itemData":{"DOI":"10.1161/STROKEAHA.116.013301","ISSN":"1524-4628 (Electronic)","PMID":"27364531","abstract":"BACKGROUND AND PURPOSE: Patients with large vessel occlusion strokes (LVOS) may be better served by direct transfer to endovascular capable centers avoiding hazardous delays between primary and comprehensive stroke centers. However, accurate stroke field triage remains challenging. We aimed to develop a simple field scale to identify LVOS. METHODS: The Field Assessment Stroke Triage for Emergency Destination (FAST-ED) scale was based on items of the National Institutes of Health Stroke Scale (NIHSS) with higher predictive value for LVOS and tested in the Screening Technology and Outcomes Project in Stroke (STOPStroke) cohort, in which patients underwent computed tomographic angiography within the first 24 hours of stroke onset. LVOS were defined by total occlusions involving the intracranial internal carotid artery, middle cerebral artery-M1, middle cerebral artery-2, or basilar arteries. Patients with partial, bihemispheric, and anterior+posterior circulation occlusions were excluded. Receiver operating characteristic curve, sensitivity, specificity, positive predictive value, and negative predictive value of FAST-ED were compared with the NIHSS, Rapid Arterial Occlusion Evaluation (RACE) scale, and Cincinnati Prehospital Stroke Severity (CPSS) scale. RESULTS: LVO was detected in 240 of the 727 qualifying patients (33%). FAST-ED had comparable accuracy to predict LVO to the NIHSS and higher accuracy than RACE and CPSS (area under the receiver operating characteristic curve: FAST-ED=0.81 as reference; NIHSS=0.80, P=0.28; RACE=0.77, P=0.02; and CPSS=0.75, P=0.002). A FAST-ED &gt;/=4 had sensitivity of 0.60, specificity of 0.89, positive predictive value of 0.72, and negative predictive value of 0.82 versus RACE &gt;/=5 of 0.55, 0.87, 0.68, and 0.79, and CPSS &gt;/=2 of 0.56, 0.85, 0.65, and 0.78, respectively. CONCLUSIONS: FAST-ED is a simple scale that if successfully validated in the field, it may be used by medical emergency professionals to identify LVOS in the prehospital setting enabling rapid triage of patients.","author":[{"dropping-particle":"","family":"Lima","given":"Fabricio O","non-dropping-particle":"","parse-names":false,"suffix":""},{"dropping-particle":"","family":"Silva","given":"Gisele S","non-dropping-particle":"","parse-names":false,"suffix":""},{"dropping-particle":"","family":"Furie","given":"Karen L","non-dropping-particle":"","parse-names":false,"suffix":""},{"dropping-particle":"","family":"Frankel","given":"Michael R","non-dropping-particle":"","parse-names":false,"suffix":""},{"dropping-particle":"","family":"Lev","given":"Michael H","non-dropping-particle":"","parse-names":false,"suffix":""},{"dropping-particle":"","family":"Camargo","given":"Erica C S","non-dropping-particle":"","parse-names":false,"suffix":""},{"dropping-particle":"","family":"Haussen","given":"Diogo C","non-dropping-particle":"","parse-names":false,"suffix":""},{"dropping-particle":"","family":"Singhal","given":"Aneesh B","non-dropping-particle":"","parse-names":false,"suffix":""},{"dropping-particle":"","family":"Koroshetz","given":"Walter J","non-dropping-particle":"","parse-names":false,"suffix":""},{"dropping-particle":"","family":"Smith","given":"Wade S","non-dropping-particle":"","parse-names":false,"suffix":""},{"dropping-particle":"","family":"Nogueira","given":"Raul G","non-dropping-particle":"","parse-names":false,"suffix":""}],"container-title":"Stroke","id":"ITEM-1","issue":"8","issued":{"date-parts":[["2016","8"]]},"language":"eng","page":"1997-2002","publisher-place":"United States","title":"Field Assessment Stroke Triage for Emergency Destination: A Simple and Accurate Prehospital Scale to Detect Large Vessel Occlusion Strokes.","type":"article-journal","volume":"47"},"uris":["http://www.mendeley.com/documents/?uuid=1e01d441-4b97-4bad-896f-6b60056e6643"]}],"mendeley":{"formattedCitation":"[26]","plainTextFormattedCitation":"[26]","previouslyFormattedCitation":"[19]"},"properties":{"noteIndex":0},"schema":"https://github.com/citation-style-language/schema/raw/master/csl-citation.json"}</w:instrText>
            </w:r>
            <w:r w:rsidRPr="00CF6F45">
              <w:rPr>
                <w:rFonts w:ascii="Arial" w:hAnsi="Arial" w:cs="Arial"/>
                <w:sz w:val="18"/>
                <w:szCs w:val="18"/>
              </w:rPr>
              <w:fldChar w:fldCharType="separate"/>
            </w:r>
            <w:r w:rsidRPr="0024326E">
              <w:rPr>
                <w:rFonts w:ascii="Arial" w:hAnsi="Arial" w:cs="Arial"/>
                <w:noProof/>
                <w:sz w:val="18"/>
                <w:szCs w:val="18"/>
              </w:rPr>
              <w:t>[26]</w:t>
            </w:r>
            <w:r w:rsidRPr="00CF6F45">
              <w:rPr>
                <w:rFonts w:ascii="Arial" w:hAnsi="Arial" w:cs="Arial"/>
                <w:sz w:val="18"/>
                <w:szCs w:val="18"/>
              </w:rPr>
              <w:fldChar w:fldCharType="end"/>
            </w:r>
          </w:p>
        </w:tc>
        <w:tc>
          <w:tcPr>
            <w:tcW w:w="741" w:type="dxa"/>
            <w:shd w:val="clear" w:color="auto" w:fill="70AD47" w:themeFill="accent6"/>
          </w:tcPr>
          <w:p w:rsidR="00867802" w:rsidRPr="00977736" w:rsidRDefault="00867802" w:rsidP="00867802">
            <w:pPr>
              <w:rPr>
                <w:rFonts w:ascii="Arial" w:hAnsi="Arial" w:cs="Arial"/>
                <w:sz w:val="18"/>
                <w:szCs w:val="18"/>
              </w:rPr>
            </w:pPr>
          </w:p>
        </w:tc>
        <w:tc>
          <w:tcPr>
            <w:tcW w:w="677" w:type="dxa"/>
            <w:gridSpan w:val="2"/>
            <w:shd w:val="clear" w:color="auto" w:fill="FFC000"/>
          </w:tcPr>
          <w:p w:rsidR="00867802" w:rsidRPr="00977736" w:rsidRDefault="00867802" w:rsidP="00867802">
            <w:pPr>
              <w:rPr>
                <w:rFonts w:ascii="Arial" w:hAnsi="Arial" w:cs="Arial"/>
                <w:sz w:val="18"/>
                <w:szCs w:val="18"/>
              </w:rPr>
            </w:pPr>
          </w:p>
        </w:tc>
        <w:tc>
          <w:tcPr>
            <w:tcW w:w="709" w:type="dxa"/>
            <w:gridSpan w:val="2"/>
            <w:shd w:val="clear" w:color="auto" w:fill="FF0000"/>
          </w:tcPr>
          <w:p w:rsidR="00867802" w:rsidRPr="00977736" w:rsidRDefault="00867802" w:rsidP="00867802">
            <w:pPr>
              <w:rPr>
                <w:rFonts w:ascii="Arial" w:hAnsi="Arial" w:cs="Arial"/>
                <w:sz w:val="18"/>
                <w:szCs w:val="18"/>
              </w:rPr>
            </w:pPr>
          </w:p>
        </w:tc>
        <w:tc>
          <w:tcPr>
            <w:tcW w:w="708" w:type="dxa"/>
            <w:shd w:val="clear" w:color="auto" w:fill="70AD47" w:themeFill="accent6"/>
          </w:tcPr>
          <w:p w:rsidR="00867802" w:rsidRPr="00977736" w:rsidRDefault="00867802" w:rsidP="00867802">
            <w:pPr>
              <w:rPr>
                <w:rFonts w:ascii="Arial" w:hAnsi="Arial" w:cs="Arial"/>
                <w:sz w:val="18"/>
                <w:szCs w:val="18"/>
              </w:rPr>
            </w:pPr>
          </w:p>
        </w:tc>
        <w:tc>
          <w:tcPr>
            <w:tcW w:w="709" w:type="dxa"/>
            <w:shd w:val="clear" w:color="auto" w:fill="70AD47" w:themeFill="accent6"/>
          </w:tcPr>
          <w:p w:rsidR="00867802" w:rsidRPr="00977736" w:rsidRDefault="00867802" w:rsidP="00867802">
            <w:pPr>
              <w:rPr>
                <w:rFonts w:ascii="Arial" w:hAnsi="Arial" w:cs="Arial"/>
                <w:sz w:val="18"/>
                <w:szCs w:val="18"/>
              </w:rPr>
            </w:pPr>
          </w:p>
        </w:tc>
      </w:tr>
      <w:tr w:rsidR="00867802" w:rsidRPr="00977736" w:rsidTr="00351FEF">
        <w:tc>
          <w:tcPr>
            <w:tcW w:w="2410" w:type="dxa"/>
          </w:tcPr>
          <w:p w:rsidR="00867802" w:rsidRPr="00CF6F45" w:rsidRDefault="00867802" w:rsidP="00867802">
            <w:pPr>
              <w:rPr>
                <w:rFonts w:ascii="Arial" w:hAnsi="Arial" w:cs="Arial"/>
                <w:sz w:val="18"/>
                <w:szCs w:val="18"/>
              </w:rPr>
            </w:pPr>
            <w:r w:rsidRPr="00CF6F45">
              <w:rPr>
                <w:rFonts w:ascii="Arial" w:hAnsi="Arial" w:cs="Arial"/>
                <w:sz w:val="18"/>
                <w:szCs w:val="18"/>
              </w:rPr>
              <w:t>Mao 2016</w:t>
            </w:r>
            <w:r>
              <w:rPr>
                <w:rFonts w:ascii="Arial" w:hAnsi="Arial" w:cs="Arial"/>
                <w:sz w:val="18"/>
                <w:szCs w:val="18"/>
              </w:rPr>
              <w:t xml:space="preserve"> </w:t>
            </w:r>
            <w:r w:rsidRPr="00CF6F45">
              <w:rPr>
                <w:rFonts w:ascii="Arial" w:hAnsi="Arial" w:cs="Arial"/>
                <w:sz w:val="18"/>
                <w:szCs w:val="18"/>
              </w:rPr>
              <w:fldChar w:fldCharType="begin" w:fldLock="1"/>
            </w:r>
            <w:r>
              <w:rPr>
                <w:rFonts w:ascii="Arial" w:hAnsi="Arial" w:cs="Arial"/>
                <w:sz w:val="18"/>
                <w:szCs w:val="18"/>
              </w:rPr>
              <w:instrText>ADDIN CSL_CITATION {"citationItems":[{"id":"ITEM-1","itemData":{"DOI":"10.1186/s12883-016-0695-z","ISSN":"1471-2377 (Electronic)","PMID":"27608839","abstract":"BACKGROUND: Early identification of stroke is crucial to maximize early management benefits in emergency departments. This study aimed to develop and validate a new stroke recognition instrument for differentiating acute stroke from stroke mimics in an emergency setting. METHODS: A prospective observational cohort study among suspected stroke patients presenting to Emergency Department in the Second Affiliated Hospital of Guangzhou Medical University was conducted from May 2012 to March 2013. The symptoms and signs of suspected stroke patients were collected. Logistic regression analysis was used to identify the factors associated with acute stroke. The symptoms and signs closely associated with acute stroke were selected to develop the new stroke scale, Guangzhou Stroke Scale (GZSS). The diagnostic value of GZSS was then compared with ROSIER, FAST and LAPSS. The primary outcome was confirmed stroke by CT within 24 h. RESULTS: Four hundred and sixteen suspected stroke patients (247 ischemia, 107 hemorrhage, 4 transient ischemic attack, 58 non-stroke) were assessed. A new stroke scale, GZSS (total score from -1 to 8.5), was developed and consisted of nine parameters: vertigo (-1), GCS &lt;/= 8 (+2), facial paralysis (+1), asymmetric arm weakness (+1), asymmetric leg weakness (+1), speech disturbance (+0.5), visual field defect (+1), systolic blood pressure &gt;/=145 mmHg (+1) and diastolic blood pressure &gt;/=95 mmHg (+1). Among the four scales, the discriminatory value (C-statistic) of GZSS was the best (AUC: 0.871 (p &lt; 0.001) when compared to ROSIER (0.772), LAPSS (0.722) and FAST (0.699). At an optimal cut-off score of &gt;1.5 on a scale from -1 to 8.5, the sensitivity and specificity of GZSS were 83.2 and 74.1 %, whilst the sensitivities and specificities of ROSIER were 77.7 and 70.7 %, FAST were 76.0 and 63.8 %, LAPSS were 56.4 and 87.9 %. CONCLUSION: GZSS had better sensitivity than existing stroke scales in Chinese patients with suspected stroke. Further studies should be conducted to confirm its effectiveness in the initial differentiation of acute stroke from stroke mimics.","author":[{"dropping-particle":"","family":"Mao","given":"Haifeng","non-dropping-particle":"","parse-names":false,"suffix":""},{"dropping-particle":"","family":"Lin","given":"Peiyi","non-dropping-particle":"","parse-names":false,"suffix":""},{"dropping-particle":"","family":"Mo","given":"Junrong","non-dropping-particle":"","parse-names":false,"suffix":""},{"dropping-particle":"","family":"Li","given":"Yunmei","non-dropping-particle":"","parse-names":false,"suffix":""},{"dropping-particle":"","family":"Chen","given":"Xiaohui","non-dropping-particle":"","parse-names":false,"suffix":""},{"dropping-particle":"","family":"Rainer","given":"Timothy H","non-dropping-particle":"","parse-names":false,"suffix":""},{"dropping-particle":"","family":"Jiang","given":"Huilin","non-dropping-particle":"","parse-names":false,"suffix":""}],"container-title":"BMC neurology","id":"ITEM-1","issued":{"date-parts":[["2016","9"]]},"language":"eng","page":"168","publisher-place":"England","title":"Development of a new stroke scale in an emergency setting.","type":"article-journal","volume":"16"},"uris":["http://www.mendeley.com/documents/?uuid=587cd6a2-40fb-40b8-8ffb-03dc74ff729d"]}],"mendeley":{"formattedCitation":"[12]","plainTextFormattedCitation":"[12]","previouslyFormattedCitation":"[20]"},"properties":{"noteIndex":0},"schema":"https://github.com/citation-style-language/schema/raw/master/csl-citation.json"}</w:instrText>
            </w:r>
            <w:r w:rsidRPr="00CF6F45">
              <w:rPr>
                <w:rFonts w:ascii="Arial" w:hAnsi="Arial" w:cs="Arial"/>
                <w:sz w:val="18"/>
                <w:szCs w:val="18"/>
              </w:rPr>
              <w:fldChar w:fldCharType="separate"/>
            </w:r>
            <w:r w:rsidRPr="0024326E">
              <w:rPr>
                <w:rFonts w:ascii="Arial" w:hAnsi="Arial" w:cs="Arial"/>
                <w:noProof/>
                <w:sz w:val="18"/>
                <w:szCs w:val="18"/>
              </w:rPr>
              <w:t>[12]</w:t>
            </w:r>
            <w:r w:rsidRPr="00CF6F45">
              <w:rPr>
                <w:rFonts w:ascii="Arial" w:hAnsi="Arial" w:cs="Arial"/>
                <w:sz w:val="18"/>
                <w:szCs w:val="18"/>
              </w:rPr>
              <w:fldChar w:fldCharType="end"/>
            </w:r>
          </w:p>
        </w:tc>
        <w:tc>
          <w:tcPr>
            <w:tcW w:w="741" w:type="dxa"/>
            <w:shd w:val="clear" w:color="auto" w:fill="70AD47" w:themeFill="accent6"/>
          </w:tcPr>
          <w:p w:rsidR="00867802" w:rsidRPr="00977736" w:rsidRDefault="00867802" w:rsidP="00867802">
            <w:pPr>
              <w:rPr>
                <w:rFonts w:ascii="Arial" w:hAnsi="Arial" w:cs="Arial"/>
                <w:sz w:val="18"/>
                <w:szCs w:val="18"/>
              </w:rPr>
            </w:pPr>
          </w:p>
        </w:tc>
        <w:tc>
          <w:tcPr>
            <w:tcW w:w="677" w:type="dxa"/>
            <w:gridSpan w:val="2"/>
            <w:shd w:val="clear" w:color="auto" w:fill="FFC000"/>
          </w:tcPr>
          <w:p w:rsidR="00867802" w:rsidRPr="00977736" w:rsidRDefault="00867802" w:rsidP="00867802">
            <w:pPr>
              <w:rPr>
                <w:rFonts w:ascii="Arial" w:hAnsi="Arial" w:cs="Arial"/>
                <w:sz w:val="18"/>
                <w:szCs w:val="18"/>
              </w:rPr>
            </w:pPr>
          </w:p>
        </w:tc>
        <w:tc>
          <w:tcPr>
            <w:tcW w:w="709" w:type="dxa"/>
            <w:gridSpan w:val="2"/>
            <w:shd w:val="clear" w:color="auto" w:fill="70AD47" w:themeFill="accent6"/>
          </w:tcPr>
          <w:p w:rsidR="00867802" w:rsidRPr="00977736" w:rsidRDefault="00867802" w:rsidP="00867802">
            <w:pPr>
              <w:rPr>
                <w:rFonts w:ascii="Arial" w:hAnsi="Arial" w:cs="Arial"/>
                <w:sz w:val="18"/>
                <w:szCs w:val="18"/>
              </w:rPr>
            </w:pPr>
          </w:p>
        </w:tc>
        <w:tc>
          <w:tcPr>
            <w:tcW w:w="708" w:type="dxa"/>
            <w:shd w:val="clear" w:color="auto" w:fill="70AD47" w:themeFill="accent6"/>
          </w:tcPr>
          <w:p w:rsidR="00867802" w:rsidRPr="00977736" w:rsidRDefault="00867802" w:rsidP="00867802">
            <w:pPr>
              <w:rPr>
                <w:rFonts w:ascii="Arial" w:hAnsi="Arial" w:cs="Arial"/>
                <w:sz w:val="18"/>
                <w:szCs w:val="18"/>
              </w:rPr>
            </w:pPr>
          </w:p>
        </w:tc>
        <w:tc>
          <w:tcPr>
            <w:tcW w:w="709" w:type="dxa"/>
            <w:shd w:val="clear" w:color="auto" w:fill="70AD47" w:themeFill="accent6"/>
          </w:tcPr>
          <w:p w:rsidR="00867802" w:rsidRPr="00977736" w:rsidRDefault="00867802" w:rsidP="00867802">
            <w:pPr>
              <w:rPr>
                <w:rFonts w:ascii="Arial" w:hAnsi="Arial" w:cs="Arial"/>
                <w:sz w:val="18"/>
                <w:szCs w:val="18"/>
              </w:rPr>
            </w:pPr>
          </w:p>
        </w:tc>
      </w:tr>
      <w:tr w:rsidR="00867802" w:rsidRPr="00977736" w:rsidTr="00351FEF">
        <w:tc>
          <w:tcPr>
            <w:tcW w:w="2410" w:type="dxa"/>
          </w:tcPr>
          <w:p w:rsidR="00867802" w:rsidRPr="00CF6F45" w:rsidRDefault="00867802" w:rsidP="00867802">
            <w:pPr>
              <w:rPr>
                <w:rFonts w:ascii="Arial" w:hAnsi="Arial" w:cs="Arial"/>
                <w:sz w:val="18"/>
                <w:szCs w:val="18"/>
              </w:rPr>
            </w:pPr>
            <w:r w:rsidRPr="00CF6F45">
              <w:rPr>
                <w:rFonts w:ascii="Arial" w:hAnsi="Arial" w:cs="Arial"/>
                <w:sz w:val="18"/>
                <w:szCs w:val="18"/>
              </w:rPr>
              <w:t>Moore 2016</w:t>
            </w:r>
            <w:r>
              <w:rPr>
                <w:rFonts w:ascii="Arial" w:hAnsi="Arial" w:cs="Arial"/>
                <w:sz w:val="18"/>
                <w:szCs w:val="18"/>
              </w:rPr>
              <w:t xml:space="preserve"> </w:t>
            </w:r>
            <w:r w:rsidRPr="00CF6F45">
              <w:rPr>
                <w:rFonts w:ascii="Arial" w:hAnsi="Arial" w:cs="Arial"/>
                <w:sz w:val="18"/>
                <w:szCs w:val="18"/>
              </w:rPr>
              <w:fldChar w:fldCharType="begin" w:fldLock="1"/>
            </w:r>
            <w:r>
              <w:rPr>
                <w:rFonts w:ascii="Arial" w:hAnsi="Arial" w:cs="Arial"/>
                <w:sz w:val="18"/>
                <w:szCs w:val="18"/>
              </w:rPr>
              <w:instrText>ADDIN CSL_CITATION {"citationItems":[{"id":"ITEM-1","itemData":{"DOI":"10.1136/neurintsurg-2015-012088","author":[{"dropping-particle":"","family":"Moore","given":"R D","non-dropping-particle":"","parse-names":false,"suffix":""},{"dropping-particle":"","family":"Jackson","given":"J C","non-dropping-particle":"","parse-names":false,"suffix":""},{"dropping-particle":"","family":"Venkatesh","given":"S L","non-dropping-particle":"","parse-names":false,"suffix":""},{"dropping-particle":"","family":"Quarfordt","given":"S D","non-dropping-particle":"","parse-names":false,"suffix":""},{"dropping-particle":"","family":"Baxter","given":"B W","non-dropping-particle":"","parse-names":false,"suffix":""}],"container-title":"Journal of NeuroInterventional Surgery","id":"ITEM-1","issue":"12","issued":{"date-parts":[["2016"]]},"note":"Cited By :2\n\nExport Date: 6 October 2018","page":"1208-1210","title":"Revisiting the NIH Stroke Scale as a screening tool for proximal vessel occlusion: Can advanced imaging be targeted in acute stroke?","type":"article-journal","volume":"8"},"uris":["http://www.mendeley.com/documents/?uuid=d9339a9c-c395-43f1-8d1f-fd0c86364a7c"]}],"mendeley":{"formattedCitation":"[20]","plainTextFormattedCitation":"[20]","previouslyFormattedCitation":"[21]"},"properties":{"noteIndex":0},"schema":"https://github.com/citation-style-language/schema/raw/master/csl-citation.json"}</w:instrText>
            </w:r>
            <w:r w:rsidRPr="00CF6F45">
              <w:rPr>
                <w:rFonts w:ascii="Arial" w:hAnsi="Arial" w:cs="Arial"/>
                <w:sz w:val="18"/>
                <w:szCs w:val="18"/>
              </w:rPr>
              <w:fldChar w:fldCharType="separate"/>
            </w:r>
            <w:r w:rsidRPr="0024326E">
              <w:rPr>
                <w:rFonts w:ascii="Arial" w:hAnsi="Arial" w:cs="Arial"/>
                <w:noProof/>
                <w:sz w:val="18"/>
                <w:szCs w:val="18"/>
              </w:rPr>
              <w:t>[20]</w:t>
            </w:r>
            <w:r w:rsidRPr="00CF6F45">
              <w:rPr>
                <w:rFonts w:ascii="Arial" w:hAnsi="Arial" w:cs="Arial"/>
                <w:sz w:val="18"/>
                <w:szCs w:val="18"/>
              </w:rPr>
              <w:fldChar w:fldCharType="end"/>
            </w:r>
          </w:p>
        </w:tc>
        <w:tc>
          <w:tcPr>
            <w:tcW w:w="741" w:type="dxa"/>
            <w:shd w:val="clear" w:color="auto" w:fill="70AD47" w:themeFill="accent6"/>
          </w:tcPr>
          <w:p w:rsidR="00867802" w:rsidRPr="00977736" w:rsidRDefault="00867802" w:rsidP="00867802">
            <w:pPr>
              <w:rPr>
                <w:rFonts w:ascii="Arial" w:hAnsi="Arial" w:cs="Arial"/>
                <w:sz w:val="18"/>
                <w:szCs w:val="18"/>
              </w:rPr>
            </w:pPr>
          </w:p>
        </w:tc>
        <w:tc>
          <w:tcPr>
            <w:tcW w:w="677" w:type="dxa"/>
            <w:gridSpan w:val="2"/>
            <w:shd w:val="clear" w:color="auto" w:fill="70AD47" w:themeFill="accent6"/>
          </w:tcPr>
          <w:p w:rsidR="00867802" w:rsidRPr="00977736" w:rsidRDefault="00867802" w:rsidP="00867802">
            <w:pPr>
              <w:rPr>
                <w:rFonts w:ascii="Arial" w:hAnsi="Arial" w:cs="Arial"/>
                <w:sz w:val="18"/>
                <w:szCs w:val="18"/>
              </w:rPr>
            </w:pPr>
          </w:p>
        </w:tc>
        <w:tc>
          <w:tcPr>
            <w:tcW w:w="709" w:type="dxa"/>
            <w:gridSpan w:val="2"/>
            <w:shd w:val="clear" w:color="auto" w:fill="70AD47" w:themeFill="accent6"/>
          </w:tcPr>
          <w:p w:rsidR="00867802" w:rsidRPr="00977736" w:rsidRDefault="00867802" w:rsidP="00867802">
            <w:pPr>
              <w:rPr>
                <w:rFonts w:ascii="Arial" w:hAnsi="Arial" w:cs="Arial"/>
                <w:sz w:val="18"/>
                <w:szCs w:val="18"/>
              </w:rPr>
            </w:pPr>
          </w:p>
        </w:tc>
        <w:tc>
          <w:tcPr>
            <w:tcW w:w="708" w:type="dxa"/>
            <w:shd w:val="clear" w:color="auto" w:fill="70AD47" w:themeFill="accent6"/>
          </w:tcPr>
          <w:p w:rsidR="00867802" w:rsidRPr="00977736" w:rsidRDefault="00867802" w:rsidP="00867802">
            <w:pPr>
              <w:rPr>
                <w:rFonts w:ascii="Arial" w:hAnsi="Arial" w:cs="Arial"/>
                <w:sz w:val="18"/>
                <w:szCs w:val="18"/>
              </w:rPr>
            </w:pPr>
          </w:p>
        </w:tc>
        <w:tc>
          <w:tcPr>
            <w:tcW w:w="709" w:type="dxa"/>
            <w:shd w:val="clear" w:color="auto" w:fill="70AD47" w:themeFill="accent6"/>
          </w:tcPr>
          <w:p w:rsidR="00867802" w:rsidRPr="00977736" w:rsidRDefault="00867802" w:rsidP="00867802">
            <w:pPr>
              <w:rPr>
                <w:rFonts w:ascii="Arial" w:hAnsi="Arial" w:cs="Arial"/>
                <w:sz w:val="18"/>
                <w:szCs w:val="18"/>
              </w:rPr>
            </w:pPr>
          </w:p>
        </w:tc>
      </w:tr>
      <w:tr w:rsidR="00867802" w:rsidRPr="00977736" w:rsidTr="00351FEF">
        <w:tc>
          <w:tcPr>
            <w:tcW w:w="2410" w:type="dxa"/>
          </w:tcPr>
          <w:p w:rsidR="00867802" w:rsidRPr="00CF6F45" w:rsidRDefault="00867802" w:rsidP="00867802">
            <w:pPr>
              <w:rPr>
                <w:rFonts w:ascii="Arial" w:hAnsi="Arial" w:cs="Arial"/>
                <w:sz w:val="18"/>
                <w:szCs w:val="18"/>
              </w:rPr>
            </w:pPr>
            <w:proofErr w:type="spellStart"/>
            <w:r w:rsidRPr="00CF6F45">
              <w:rPr>
                <w:rFonts w:ascii="Arial" w:hAnsi="Arial" w:cs="Arial"/>
                <w:sz w:val="18"/>
                <w:szCs w:val="18"/>
              </w:rPr>
              <w:t>Ollikainen</w:t>
            </w:r>
            <w:proofErr w:type="spellEnd"/>
            <w:r w:rsidRPr="00CF6F45">
              <w:rPr>
                <w:rFonts w:ascii="Arial" w:hAnsi="Arial" w:cs="Arial"/>
                <w:sz w:val="18"/>
                <w:szCs w:val="18"/>
              </w:rPr>
              <w:t xml:space="preserve"> 2018</w:t>
            </w:r>
            <w:r>
              <w:rPr>
                <w:rFonts w:ascii="Arial" w:hAnsi="Arial" w:cs="Arial"/>
                <w:sz w:val="18"/>
                <w:szCs w:val="18"/>
              </w:rPr>
              <w:t xml:space="preserve"> </w:t>
            </w:r>
            <w:r w:rsidRPr="00CF6F45">
              <w:rPr>
                <w:rFonts w:ascii="Arial" w:hAnsi="Arial" w:cs="Arial"/>
                <w:sz w:val="18"/>
                <w:szCs w:val="18"/>
              </w:rPr>
              <w:fldChar w:fldCharType="begin" w:fldLock="1"/>
            </w:r>
            <w:r>
              <w:rPr>
                <w:rFonts w:ascii="Arial" w:hAnsi="Arial" w:cs="Arial"/>
                <w:sz w:val="18"/>
                <w:szCs w:val="18"/>
              </w:rPr>
              <w:instrText>ADDIN CSL_CITATION {"citationItems":[{"id":"ITEM-1","itemData":{"DOI":"10.1016/j.jstrokecerebrovasdis.2017.10.015","ISSN":"1532-8511 (Electronic)","PMID":"29169966","abstract":"BACKGROUND: Prehospital stroke triage is challenged by endovascular treatment for large vessel occlusion (LVO) being available only in major stroke centers. Conjugate eye deviation (CED) is closely related to LVO, whereas common stroke signs (face-arm-leg-speech-visual) screen stroke. We hypothesized that combining CED with common stroke signs would yield a prehospital stroke scale for identifying both LVO and stroke in general. METHODS AND RESULTS: We retrospectively analyzed consecutive patients (n = 856) with prehospital Code Stroke (recanalization candidate). The National Institutes of Health Stroke Scale (NIHSS) and computed tomography were administered to patients on arrival. Computed tomography angiography was performed on patients with NIHSS score of 8 or greater and considered to benefit from endovascular treatment. With random forest analysis and deviance analysis of the general linear model we confirmed the superiority of the NIHSS \"Best Gaze\" over other NIHSS items in detecting LVO. Based on this and commonly used stroke signs we presented the Finnish Prehospital Stroke Scale (FPSS) including dichotomized face drooping, extremity weakness, speech difficulty, visual disturbance, and CED. FPSS detected LVO with a sensitivity of 54%, specificity of 91%, positive predictive value of 48%, negative predictive value of 93%, and likelihood ratio of 6.2. CONCLUSIONS: Based on CED and universally used stroke signs, FPSS recognizes stroke in general and additionally, LVO as a stroke subtype comparably to other scales intended to detect LVO only. As the FPSS items are dichotomized, it is likely to be easy for emergency medical services to implement.","author":[{"dropping-particle":"","family":"Ollikainen","given":"Jyrki P","non-dropping-particle":"","parse-names":false,"suffix":""},{"dropping-particle":"V","family":"Janhunen","given":"Heikki","non-dropping-particle":"","parse-names":false,"suffix":""},{"dropping-particle":"","family":"Tynkkynen","given":"Juho A","non-dropping-particle":"","parse-names":false,"suffix":""},{"dropping-particle":"","family":"Mattila","given":"Kalle M","non-dropping-particle":"","parse-names":false,"suffix":""},{"dropping-particle":"","family":"Halinen","given":"Minna M","non-dropping-particle":"","parse-names":false,"suffix":""},{"dropping-particle":"","family":"Oksala","given":"Niku K","non-dropping-particle":"","parse-names":false,"suffix":""},{"dropping-particle":"","family":"Pauniaho","given":"Satu-Liisa K","non-dropping-particle":"","parse-names":false,"suffix":""}],"container-title":"Journal of stroke and cerebrovascular diseases : the official journal of National Stroke Association","id":"ITEM-1","issue":"3","issued":{"date-parts":[["2018","3"]]},"language":"eng","page":"771-777","publisher-place":"United States","title":"The Finnish Prehospital Stroke Scale Detects Thrombectomy and Thrombolysis Candidates-A Propensity Score-Matched Study.","type":"article-journal","volume":"27"},"uris":["http://www.mendeley.com/documents/?uuid=7aa3ad4c-8520-4833-8c40-6ae37f8463ea"]}],"mendeley":{"formattedCitation":"[13]","plainTextFormattedCitation":"[13]","previouslyFormattedCitation":"[22]"},"properties":{"noteIndex":0},"schema":"https://github.com/citation-style-language/schema/raw/master/csl-citation.json"}</w:instrText>
            </w:r>
            <w:r w:rsidRPr="00CF6F45">
              <w:rPr>
                <w:rFonts w:ascii="Arial" w:hAnsi="Arial" w:cs="Arial"/>
                <w:sz w:val="18"/>
                <w:szCs w:val="18"/>
              </w:rPr>
              <w:fldChar w:fldCharType="separate"/>
            </w:r>
            <w:r w:rsidRPr="0024326E">
              <w:rPr>
                <w:rFonts w:ascii="Arial" w:hAnsi="Arial" w:cs="Arial"/>
                <w:noProof/>
                <w:sz w:val="18"/>
                <w:szCs w:val="18"/>
              </w:rPr>
              <w:t>[13]</w:t>
            </w:r>
            <w:r w:rsidRPr="00CF6F45">
              <w:rPr>
                <w:rFonts w:ascii="Arial" w:hAnsi="Arial" w:cs="Arial"/>
                <w:sz w:val="18"/>
                <w:szCs w:val="18"/>
              </w:rPr>
              <w:fldChar w:fldCharType="end"/>
            </w:r>
          </w:p>
        </w:tc>
        <w:tc>
          <w:tcPr>
            <w:tcW w:w="741" w:type="dxa"/>
            <w:shd w:val="clear" w:color="auto" w:fill="FF0000"/>
          </w:tcPr>
          <w:p w:rsidR="00867802" w:rsidRPr="00977736" w:rsidRDefault="00867802" w:rsidP="00867802">
            <w:pPr>
              <w:rPr>
                <w:rFonts w:ascii="Arial" w:hAnsi="Arial" w:cs="Arial"/>
                <w:sz w:val="18"/>
                <w:szCs w:val="18"/>
              </w:rPr>
            </w:pPr>
          </w:p>
        </w:tc>
        <w:tc>
          <w:tcPr>
            <w:tcW w:w="677" w:type="dxa"/>
            <w:gridSpan w:val="2"/>
            <w:shd w:val="clear" w:color="auto" w:fill="FFC000"/>
          </w:tcPr>
          <w:p w:rsidR="00867802" w:rsidRPr="00977736" w:rsidRDefault="00867802" w:rsidP="00867802">
            <w:pPr>
              <w:rPr>
                <w:rFonts w:ascii="Arial" w:hAnsi="Arial" w:cs="Arial"/>
                <w:sz w:val="18"/>
                <w:szCs w:val="18"/>
              </w:rPr>
            </w:pPr>
          </w:p>
        </w:tc>
        <w:tc>
          <w:tcPr>
            <w:tcW w:w="709" w:type="dxa"/>
            <w:gridSpan w:val="2"/>
            <w:shd w:val="clear" w:color="auto" w:fill="70AD47" w:themeFill="accent6"/>
          </w:tcPr>
          <w:p w:rsidR="00867802" w:rsidRPr="00977736" w:rsidRDefault="00867802" w:rsidP="00867802">
            <w:pPr>
              <w:rPr>
                <w:rFonts w:ascii="Arial" w:hAnsi="Arial" w:cs="Arial"/>
                <w:sz w:val="18"/>
                <w:szCs w:val="18"/>
              </w:rPr>
            </w:pPr>
          </w:p>
        </w:tc>
        <w:tc>
          <w:tcPr>
            <w:tcW w:w="708" w:type="dxa"/>
            <w:shd w:val="clear" w:color="auto" w:fill="FF0000"/>
          </w:tcPr>
          <w:p w:rsidR="00867802" w:rsidRPr="00977736" w:rsidRDefault="00867802" w:rsidP="00867802">
            <w:pPr>
              <w:rPr>
                <w:rFonts w:ascii="Arial" w:hAnsi="Arial" w:cs="Arial"/>
                <w:sz w:val="18"/>
                <w:szCs w:val="18"/>
              </w:rPr>
            </w:pPr>
          </w:p>
        </w:tc>
        <w:tc>
          <w:tcPr>
            <w:tcW w:w="709" w:type="dxa"/>
            <w:shd w:val="clear" w:color="auto" w:fill="70AD47" w:themeFill="accent6"/>
          </w:tcPr>
          <w:p w:rsidR="00867802" w:rsidRPr="00977736" w:rsidRDefault="00867802" w:rsidP="00867802">
            <w:pPr>
              <w:rPr>
                <w:rFonts w:ascii="Arial" w:hAnsi="Arial" w:cs="Arial"/>
                <w:sz w:val="18"/>
                <w:szCs w:val="18"/>
              </w:rPr>
            </w:pPr>
          </w:p>
        </w:tc>
      </w:tr>
      <w:tr w:rsidR="00867802" w:rsidRPr="00977736" w:rsidTr="00351FEF">
        <w:tc>
          <w:tcPr>
            <w:tcW w:w="2410" w:type="dxa"/>
          </w:tcPr>
          <w:p w:rsidR="00867802" w:rsidRPr="00CF6F45" w:rsidRDefault="00867802" w:rsidP="00867802">
            <w:pPr>
              <w:rPr>
                <w:rFonts w:ascii="Arial" w:hAnsi="Arial" w:cs="Arial"/>
                <w:sz w:val="18"/>
                <w:szCs w:val="18"/>
              </w:rPr>
            </w:pPr>
            <w:proofErr w:type="spellStart"/>
            <w:r w:rsidRPr="00CF6F45">
              <w:rPr>
                <w:rFonts w:ascii="Arial" w:hAnsi="Arial" w:cs="Arial"/>
                <w:sz w:val="18"/>
                <w:szCs w:val="18"/>
              </w:rPr>
              <w:t>Panichpisal</w:t>
            </w:r>
            <w:proofErr w:type="spellEnd"/>
            <w:r w:rsidRPr="00CF6F45">
              <w:rPr>
                <w:rFonts w:ascii="Arial" w:hAnsi="Arial" w:cs="Arial"/>
                <w:sz w:val="18"/>
                <w:szCs w:val="18"/>
              </w:rPr>
              <w:t xml:space="preserve"> 2018</w:t>
            </w:r>
            <w:r>
              <w:rPr>
                <w:rFonts w:ascii="Arial" w:hAnsi="Arial" w:cs="Arial"/>
                <w:sz w:val="18"/>
                <w:szCs w:val="18"/>
              </w:rPr>
              <w:t xml:space="preserve"> </w:t>
            </w:r>
            <w:r w:rsidRPr="00CF6F45">
              <w:rPr>
                <w:rFonts w:ascii="Arial" w:hAnsi="Arial" w:cs="Arial"/>
                <w:sz w:val="18"/>
                <w:szCs w:val="18"/>
              </w:rPr>
              <w:fldChar w:fldCharType="begin" w:fldLock="1"/>
            </w:r>
            <w:r>
              <w:rPr>
                <w:rFonts w:ascii="Arial" w:hAnsi="Arial" w:cs="Arial"/>
                <w:sz w:val="18"/>
                <w:szCs w:val="18"/>
              </w:rPr>
              <w:instrText>ADDIN CSL_CITATION {"citationItems":[{"id":"ITEM-1","itemData":{"DOI":"http://dx.doi.org/10.1159/000486515","ISSN":"1664-9737","abstract":"Background: Early identification of patients with acute ischemic strokes due to large vessel occlusions (LVO) is critical. We propose a simple risk score model to predict LVO. Method: The proposed scale (Pomona Scale) ranges from 0 to 3 and includes 3 items: gaze deviation, expressive aphasia, and neglect. We reviewed a cohort of all acute stroke activation patients between February 2014 and January 2016. The predictive performance of the Pomona Scale was determined and compared with several National Institutes of Health Stroke Scale (NIHSS) cutoffs (&gt;=4, &gt;=6, &gt;=8, and &gt;=10), the Los Angeles Motor Scale (LAMS), the Cincinnati Prehospital Stroke Severity (CPSS) scale, the Vision Aphasia and Neglect Scale (VAN), and the Prehospital Acute Stroke Severity Scale (PASS). Results: LVO was detected in 94 of 776 acute stroke activations (12%). A Pomona Scale &gt;=2 had comparable accuracy to predict LVO as the VAN and CPSS scales and higher accuracy than Pomona Scale &gt;=1, LAMS, PASS, and NIHSS. A Pomona Scale &gt;=2 had an accuracy (area under the curve) of 0.79, a sensitivity of 0.86, a specificity of 0.70, a positive predictive value of 0.71, and a negative predictive value of 0.97 for the detection of LVO. We also found that the presence of either neglect or gaze deviation alone had comparable accuracy of 0.79 as Pomona Scale &gt;=2 to detect LVO. Conclusion: The Pomona Scale is a simple and accurate scale to predict LVO. In addition, the presence of either gaze deviation or neglect also suggests the possibility of LVO.Copyright © 2018 S. Karger AG, Basel.","author":[{"dropping-particle":"","family":"K.","given":"Panichpisal","non-dropping-particle":"","parse-names":false,"suffix":""},{"dropping-particle":"","family":"K.","given":"Nugent","non-dropping-particle":"","parse-names":false,"suffix":""},{"dropping-particle":"","family":"M.","given":"Singh","non-dropping-particle":"","parse-names":false,"suffix":""},{"dropping-particle":"","family":"R.","given":"Rovin","non-dropping-particle":"","parse-names":false,"suffix":""},{"dropping-particle":"","family":"R.","given":"Babygirija","non-dropping-particle":"","parse-names":false,"suffix":""},{"dropping-particle":"","family":"Y.","given":"Moradiya","non-dropping-particle":"","parse-names":false,"suffix":""},{"dropping-particle":"","family":"K.","given":"Tse-Chang","non-dropping-particle":"","parse-names":false,"suffix":""},{"dropping-particle":"","family":"K.A.","given":"Jones","non-dropping-particle":"","parse-names":false,"suffix":""},{"dropping-particle":"","family":"K.J.","given":"Woolfolk","non-dropping-particle":"","parse-names":false,"suffix":""},{"dropping-particle":"","family":"D.","given":"Keasler","non-dropping-particle":"","parse-names":false,"suffix":""},{"dropping-particle":"","family":"B.","given":"Desai","non-dropping-particle":"","parse-names":false,"suffix":""},{"dropping-particle":"","family":"P.","given":"Sakdanaraseth","non-dropping-particle":"","parse-names":false,"suffix":""},{"dropping-particle":"","family":"A.","given":"Moalem","non-dropping-particle":"","parse-names":false,"suffix":""}],"container-title":"Interventional Neurology","id":"ITEM-1","issue":"3-4","issued":{"date-parts":[["2018"]]},"page":"196-203","publisher":"S. Karger AG","publisher-place":"Switzerland","title":"Pomona Large Vessel Occlusion Screening Tool for Prehospital and Emergency Room Settings","type":"article-journal","volume":"7"},"uris":["http://www.mendeley.com/documents/?uuid=00afa9a1-394a-4cd5-ab45-d7377a604dec"]}],"mendeley":{"formattedCitation":"[14]","plainTextFormattedCitation":"[14]","previouslyFormattedCitation":"[23]"},"properties":{"noteIndex":0},"schema":"https://github.com/citation-style-language/schema/raw/master/csl-citation.json"}</w:instrText>
            </w:r>
            <w:r w:rsidRPr="00CF6F45">
              <w:rPr>
                <w:rFonts w:ascii="Arial" w:hAnsi="Arial" w:cs="Arial"/>
                <w:sz w:val="18"/>
                <w:szCs w:val="18"/>
              </w:rPr>
              <w:fldChar w:fldCharType="separate"/>
            </w:r>
            <w:r w:rsidRPr="0024326E">
              <w:rPr>
                <w:rFonts w:ascii="Arial" w:hAnsi="Arial" w:cs="Arial"/>
                <w:noProof/>
                <w:sz w:val="18"/>
                <w:szCs w:val="18"/>
              </w:rPr>
              <w:t>[14</w:t>
            </w:r>
            <w:bookmarkStart w:id="0" w:name="_GoBack"/>
            <w:bookmarkEnd w:id="0"/>
            <w:r w:rsidRPr="0024326E">
              <w:rPr>
                <w:rFonts w:ascii="Arial" w:hAnsi="Arial" w:cs="Arial"/>
                <w:noProof/>
                <w:sz w:val="18"/>
                <w:szCs w:val="18"/>
              </w:rPr>
              <w:t>]</w:t>
            </w:r>
            <w:r w:rsidRPr="00CF6F45">
              <w:rPr>
                <w:rFonts w:ascii="Arial" w:hAnsi="Arial" w:cs="Arial"/>
                <w:sz w:val="18"/>
                <w:szCs w:val="18"/>
              </w:rPr>
              <w:fldChar w:fldCharType="end"/>
            </w:r>
          </w:p>
        </w:tc>
        <w:tc>
          <w:tcPr>
            <w:tcW w:w="741" w:type="dxa"/>
            <w:shd w:val="clear" w:color="auto" w:fill="FFC000"/>
          </w:tcPr>
          <w:p w:rsidR="00867802" w:rsidRPr="00977736" w:rsidRDefault="00867802" w:rsidP="00867802">
            <w:pPr>
              <w:rPr>
                <w:rFonts w:ascii="Arial" w:hAnsi="Arial" w:cs="Arial"/>
                <w:sz w:val="18"/>
                <w:szCs w:val="18"/>
              </w:rPr>
            </w:pPr>
          </w:p>
        </w:tc>
        <w:tc>
          <w:tcPr>
            <w:tcW w:w="677" w:type="dxa"/>
            <w:gridSpan w:val="2"/>
            <w:shd w:val="clear" w:color="auto" w:fill="FFC000"/>
          </w:tcPr>
          <w:p w:rsidR="00867802" w:rsidRPr="00977736" w:rsidRDefault="00867802" w:rsidP="00867802">
            <w:pPr>
              <w:rPr>
                <w:rFonts w:ascii="Arial" w:hAnsi="Arial" w:cs="Arial"/>
                <w:sz w:val="18"/>
                <w:szCs w:val="18"/>
              </w:rPr>
            </w:pPr>
          </w:p>
        </w:tc>
        <w:tc>
          <w:tcPr>
            <w:tcW w:w="709" w:type="dxa"/>
            <w:gridSpan w:val="2"/>
            <w:shd w:val="clear" w:color="auto" w:fill="70AD47" w:themeFill="accent6"/>
          </w:tcPr>
          <w:p w:rsidR="00867802" w:rsidRPr="00977736" w:rsidRDefault="00867802" w:rsidP="00867802">
            <w:pPr>
              <w:rPr>
                <w:rFonts w:ascii="Arial" w:hAnsi="Arial" w:cs="Arial"/>
                <w:sz w:val="18"/>
                <w:szCs w:val="18"/>
              </w:rPr>
            </w:pPr>
          </w:p>
        </w:tc>
        <w:tc>
          <w:tcPr>
            <w:tcW w:w="708" w:type="dxa"/>
            <w:shd w:val="clear" w:color="auto" w:fill="FFC000"/>
          </w:tcPr>
          <w:p w:rsidR="00867802" w:rsidRPr="00977736" w:rsidRDefault="00867802" w:rsidP="00867802">
            <w:pPr>
              <w:rPr>
                <w:rFonts w:ascii="Arial" w:hAnsi="Arial" w:cs="Arial"/>
                <w:sz w:val="18"/>
                <w:szCs w:val="18"/>
              </w:rPr>
            </w:pPr>
          </w:p>
        </w:tc>
        <w:tc>
          <w:tcPr>
            <w:tcW w:w="709" w:type="dxa"/>
            <w:shd w:val="clear" w:color="auto" w:fill="70AD47" w:themeFill="accent6"/>
          </w:tcPr>
          <w:p w:rsidR="00867802" w:rsidRPr="00977736" w:rsidRDefault="00867802" w:rsidP="00867802">
            <w:pPr>
              <w:rPr>
                <w:rFonts w:ascii="Arial" w:hAnsi="Arial" w:cs="Arial"/>
                <w:sz w:val="18"/>
                <w:szCs w:val="18"/>
              </w:rPr>
            </w:pPr>
          </w:p>
        </w:tc>
      </w:tr>
      <w:tr w:rsidR="00867802" w:rsidRPr="00977736" w:rsidTr="00351FEF">
        <w:tc>
          <w:tcPr>
            <w:tcW w:w="2410" w:type="dxa"/>
          </w:tcPr>
          <w:p w:rsidR="00867802" w:rsidRPr="00CF6F45" w:rsidRDefault="00867802" w:rsidP="00867802">
            <w:pPr>
              <w:rPr>
                <w:rFonts w:ascii="Arial" w:hAnsi="Arial" w:cs="Arial"/>
                <w:sz w:val="18"/>
                <w:szCs w:val="18"/>
              </w:rPr>
            </w:pPr>
            <w:proofErr w:type="spellStart"/>
            <w:r w:rsidRPr="00CF6F45">
              <w:rPr>
                <w:rFonts w:ascii="Arial" w:hAnsi="Arial" w:cs="Arial"/>
                <w:sz w:val="18"/>
                <w:szCs w:val="18"/>
              </w:rPr>
              <w:t>Purrucker</w:t>
            </w:r>
            <w:proofErr w:type="spellEnd"/>
            <w:r w:rsidRPr="00CF6F45">
              <w:rPr>
                <w:rFonts w:ascii="Arial" w:hAnsi="Arial" w:cs="Arial"/>
                <w:sz w:val="18"/>
                <w:szCs w:val="18"/>
              </w:rPr>
              <w:t xml:space="preserve"> 2015</w:t>
            </w:r>
            <w:r>
              <w:rPr>
                <w:rFonts w:ascii="Arial" w:hAnsi="Arial" w:cs="Arial"/>
                <w:sz w:val="18"/>
                <w:szCs w:val="18"/>
              </w:rPr>
              <w:t xml:space="preserve"> </w:t>
            </w:r>
            <w:r w:rsidRPr="00CF6F45">
              <w:rPr>
                <w:rFonts w:ascii="Arial" w:hAnsi="Arial" w:cs="Arial"/>
                <w:sz w:val="18"/>
                <w:szCs w:val="18"/>
              </w:rPr>
              <w:fldChar w:fldCharType="begin" w:fldLock="1"/>
            </w:r>
            <w:r>
              <w:rPr>
                <w:rFonts w:ascii="Arial" w:hAnsi="Arial" w:cs="Arial"/>
                <w:sz w:val="18"/>
                <w:szCs w:val="18"/>
              </w:rPr>
              <w:instrText>ADDIN CSL_CITATION {"citationItems":[{"id":"ITEM-1","itemData":{"DOI":"10.1136/jnnp-2014-309260","author":[{"dropping-particle":"","family":"Purrucker","given":"J C","non-dropping-particle":"","parse-names":false,"suffix":""},{"dropping-particle":"","family":"Hametner","given":"C","non-dropping-particle":"","parse-names":false,"suffix":""},{"dropping-particle":"","family":"Engelbrecht","given":"A","non-dropping-particle":"","parse-names":false,"suffix":""},{"dropping-particle":"","family":"Bruckner","given":"T","non-dropping-particle":"","parse-names":false,"suffix":""},{"dropping-particle":"","family":"Popp","given":"E","non-dropping-particle":"","parse-names":false,"suffix":""},{"dropping-particle":"","family":"Poli","given":"S","non-dropping-particle":"","parse-names":false,"suffix":""}],"container-title":"Journal of Neurology, Neurosurgery and Psychiatry","id":"ITEM-1","issue":"9","issued":{"date-parts":[["2015"]]},"note":"Cited By :18\n\nExport Date: 6 October 2018","page":"1021-1028","title":"Comparison of stroke recognition and stroke severity scores for stroke detection in a single cohort","type":"article-journal","volume":"86"},"uris":["http://www.mendeley.com/documents/?uuid=62783640-6f09-4b83-9b32-35c28bd31bec"]}],"mendeley":{"formattedCitation":"[15]","plainTextFormattedCitation":"[15]","previouslyFormattedCitation":"[24]"},"properties":{"noteIndex":0},"schema":"https://github.com/citation-style-language/schema/raw/master/csl-citation.json"}</w:instrText>
            </w:r>
            <w:r w:rsidRPr="00CF6F45">
              <w:rPr>
                <w:rFonts w:ascii="Arial" w:hAnsi="Arial" w:cs="Arial"/>
                <w:sz w:val="18"/>
                <w:szCs w:val="18"/>
              </w:rPr>
              <w:fldChar w:fldCharType="separate"/>
            </w:r>
            <w:r w:rsidRPr="0024326E">
              <w:rPr>
                <w:rFonts w:ascii="Arial" w:hAnsi="Arial" w:cs="Arial"/>
                <w:noProof/>
                <w:sz w:val="18"/>
                <w:szCs w:val="18"/>
              </w:rPr>
              <w:t>[15]</w:t>
            </w:r>
            <w:r w:rsidRPr="00CF6F45">
              <w:rPr>
                <w:rFonts w:ascii="Arial" w:hAnsi="Arial" w:cs="Arial"/>
                <w:sz w:val="18"/>
                <w:szCs w:val="18"/>
              </w:rPr>
              <w:fldChar w:fldCharType="end"/>
            </w:r>
          </w:p>
        </w:tc>
        <w:tc>
          <w:tcPr>
            <w:tcW w:w="741" w:type="dxa"/>
            <w:shd w:val="clear" w:color="auto" w:fill="70AD47" w:themeFill="accent6"/>
          </w:tcPr>
          <w:p w:rsidR="00867802" w:rsidRPr="00977736" w:rsidRDefault="00867802" w:rsidP="00867802">
            <w:pPr>
              <w:rPr>
                <w:rFonts w:ascii="Arial" w:hAnsi="Arial" w:cs="Arial"/>
                <w:sz w:val="18"/>
                <w:szCs w:val="18"/>
              </w:rPr>
            </w:pPr>
          </w:p>
        </w:tc>
        <w:tc>
          <w:tcPr>
            <w:tcW w:w="677" w:type="dxa"/>
            <w:gridSpan w:val="2"/>
            <w:shd w:val="clear" w:color="auto" w:fill="FFC000"/>
          </w:tcPr>
          <w:p w:rsidR="00867802" w:rsidRPr="00977736" w:rsidRDefault="00867802" w:rsidP="00867802">
            <w:pPr>
              <w:rPr>
                <w:rFonts w:ascii="Arial" w:hAnsi="Arial" w:cs="Arial"/>
                <w:sz w:val="18"/>
                <w:szCs w:val="18"/>
              </w:rPr>
            </w:pPr>
          </w:p>
        </w:tc>
        <w:tc>
          <w:tcPr>
            <w:tcW w:w="709" w:type="dxa"/>
            <w:gridSpan w:val="2"/>
            <w:shd w:val="clear" w:color="auto" w:fill="70AD47" w:themeFill="accent6"/>
          </w:tcPr>
          <w:p w:rsidR="00867802" w:rsidRPr="00977736" w:rsidRDefault="00867802" w:rsidP="00867802">
            <w:pPr>
              <w:rPr>
                <w:rFonts w:ascii="Arial" w:hAnsi="Arial" w:cs="Arial"/>
                <w:sz w:val="18"/>
                <w:szCs w:val="18"/>
              </w:rPr>
            </w:pPr>
          </w:p>
        </w:tc>
        <w:tc>
          <w:tcPr>
            <w:tcW w:w="708" w:type="dxa"/>
            <w:shd w:val="clear" w:color="auto" w:fill="70AD47" w:themeFill="accent6"/>
          </w:tcPr>
          <w:p w:rsidR="00867802" w:rsidRPr="00977736" w:rsidRDefault="00867802" w:rsidP="00867802">
            <w:pPr>
              <w:rPr>
                <w:rFonts w:ascii="Arial" w:hAnsi="Arial" w:cs="Arial"/>
                <w:sz w:val="18"/>
                <w:szCs w:val="18"/>
              </w:rPr>
            </w:pPr>
          </w:p>
        </w:tc>
        <w:tc>
          <w:tcPr>
            <w:tcW w:w="709" w:type="dxa"/>
            <w:shd w:val="clear" w:color="auto" w:fill="70AD47" w:themeFill="accent6"/>
          </w:tcPr>
          <w:p w:rsidR="00867802" w:rsidRPr="00977736" w:rsidRDefault="00867802" w:rsidP="00867802">
            <w:pPr>
              <w:rPr>
                <w:rFonts w:ascii="Arial" w:hAnsi="Arial" w:cs="Arial"/>
                <w:sz w:val="18"/>
                <w:szCs w:val="18"/>
              </w:rPr>
            </w:pPr>
          </w:p>
        </w:tc>
      </w:tr>
      <w:tr w:rsidR="00867802" w:rsidRPr="00977736" w:rsidTr="00351FEF">
        <w:tc>
          <w:tcPr>
            <w:tcW w:w="2410" w:type="dxa"/>
          </w:tcPr>
          <w:p w:rsidR="00867802" w:rsidRPr="00CF6F45" w:rsidRDefault="00867802" w:rsidP="00867802">
            <w:pPr>
              <w:rPr>
                <w:rFonts w:ascii="Arial" w:hAnsi="Arial" w:cs="Arial"/>
                <w:sz w:val="18"/>
                <w:szCs w:val="18"/>
              </w:rPr>
            </w:pPr>
            <w:proofErr w:type="spellStart"/>
            <w:r w:rsidRPr="00CF6F45">
              <w:rPr>
                <w:rFonts w:ascii="Arial" w:hAnsi="Arial" w:cs="Arial"/>
                <w:sz w:val="18"/>
                <w:szCs w:val="18"/>
              </w:rPr>
              <w:t>Purrucker</w:t>
            </w:r>
            <w:proofErr w:type="spellEnd"/>
            <w:r w:rsidRPr="00CF6F45">
              <w:rPr>
                <w:rFonts w:ascii="Arial" w:hAnsi="Arial" w:cs="Arial"/>
                <w:sz w:val="18"/>
                <w:szCs w:val="18"/>
              </w:rPr>
              <w:t xml:space="preserve"> 2017</w:t>
            </w:r>
            <w:r>
              <w:rPr>
                <w:rFonts w:ascii="Arial" w:hAnsi="Arial" w:cs="Arial"/>
                <w:sz w:val="18"/>
                <w:szCs w:val="18"/>
              </w:rPr>
              <w:t xml:space="preserve"> </w:t>
            </w:r>
            <w:r w:rsidRPr="00CF6F45">
              <w:rPr>
                <w:rFonts w:ascii="Arial" w:hAnsi="Arial" w:cs="Arial"/>
                <w:sz w:val="18"/>
                <w:szCs w:val="18"/>
              </w:rPr>
              <w:fldChar w:fldCharType="begin" w:fldLock="1"/>
            </w:r>
            <w:r>
              <w:rPr>
                <w:rFonts w:ascii="Arial" w:hAnsi="Arial" w:cs="Arial"/>
                <w:sz w:val="18"/>
                <w:szCs w:val="18"/>
              </w:rPr>
              <w:instrText>ADDIN CSL_CITATION {"citationItems":[{"id":"ITEM-1","itemData":{"DOI":"10.1136/bmjopen-2017-016893","author":[{"dropping-particle":"","family":"Purrucker","given":"J C","non-dropping-particle":"","parse-names":false,"suffix":""},{"dropping-particle":"","family":"Härtig","given":"F","non-dropping-particle":"","parse-names":false,"suffix":""},{"dropping-particle":"","family":"Richter","given":"H","non-dropping-particle":"","parse-names":false,"suffix":""},{"dropping-particle":"","family":"Engelbrecht","given":"A","non-dropping-particle":"","parse-names":false,"suffix":""},{"dropping-particle":"","family":"Hartmann","given":"J","non-dropping-particle":"","parse-names":false,"suffix":""},{"dropping-particle":"","family":"Auer","given":"J","non-dropping-particle":"","parse-names":false,"suffix":""},{"dropping-particle":"","family":"Hametner","given":"C","non-dropping-particle":"","parse-names":false,"suffix":""},{"dropping-particle":"","family":"Popp","given":"E","non-dropping-particle":"","parse-names":false,"suffix":""},{"dropping-particle":"","family":"Ringleb","given":"P A","non-dropping-particle":"","parse-names":false,"suffix":""},{"dropping-particle":"","family":"Nagel","given":"S","non-dropping-particle":"","parse-names":false,"suffix":""},{"dropping-particle":"","family":"Poli","given":"S","non-dropping-particle":"","parse-names":false,"suffix":""}],"container-title":"BMJ Open","id":"ITEM-1","issue":"9","issued":{"date-parts":[["2017"]]},"note":"Cited By :1\n\nExport Date: 6 October 2018","title":"Design and validation of a clinical scale for prehospital stroke recognition, severity grading and prediction of large vessel occlusion: The shortened NIH Stroke Scale for emergency medical services","type":"article-journal","volume":"7"},"uris":["http://www.mendeley.com/documents/?uuid=20b694b1-c269-405f-8bef-5a9fc13e075b"]}],"mendeley":{"formattedCitation":"[24]","plainTextFormattedCitation":"[24]","previouslyFormattedCitation":"[25]"},"properties":{"noteIndex":0},"schema":"https://github.com/citation-style-language/schema/raw/master/csl-citation.json"}</w:instrText>
            </w:r>
            <w:r w:rsidRPr="00CF6F45">
              <w:rPr>
                <w:rFonts w:ascii="Arial" w:hAnsi="Arial" w:cs="Arial"/>
                <w:sz w:val="18"/>
                <w:szCs w:val="18"/>
              </w:rPr>
              <w:fldChar w:fldCharType="separate"/>
            </w:r>
            <w:r w:rsidRPr="0024326E">
              <w:rPr>
                <w:rFonts w:ascii="Arial" w:hAnsi="Arial" w:cs="Arial"/>
                <w:noProof/>
                <w:sz w:val="18"/>
                <w:szCs w:val="18"/>
              </w:rPr>
              <w:t>[24]</w:t>
            </w:r>
            <w:r w:rsidRPr="00CF6F45">
              <w:rPr>
                <w:rFonts w:ascii="Arial" w:hAnsi="Arial" w:cs="Arial"/>
                <w:sz w:val="18"/>
                <w:szCs w:val="18"/>
              </w:rPr>
              <w:fldChar w:fldCharType="end"/>
            </w:r>
          </w:p>
        </w:tc>
        <w:tc>
          <w:tcPr>
            <w:tcW w:w="741" w:type="dxa"/>
            <w:shd w:val="clear" w:color="auto" w:fill="FFC000"/>
          </w:tcPr>
          <w:p w:rsidR="00867802" w:rsidRPr="00977736" w:rsidRDefault="00867802" w:rsidP="00867802">
            <w:pPr>
              <w:rPr>
                <w:rFonts w:ascii="Arial" w:hAnsi="Arial" w:cs="Arial"/>
                <w:sz w:val="18"/>
                <w:szCs w:val="18"/>
              </w:rPr>
            </w:pPr>
          </w:p>
        </w:tc>
        <w:tc>
          <w:tcPr>
            <w:tcW w:w="677" w:type="dxa"/>
            <w:gridSpan w:val="2"/>
            <w:shd w:val="clear" w:color="auto" w:fill="70AD47" w:themeFill="accent6"/>
          </w:tcPr>
          <w:p w:rsidR="00867802" w:rsidRPr="00977736" w:rsidRDefault="00867802" w:rsidP="00867802">
            <w:pPr>
              <w:rPr>
                <w:rFonts w:ascii="Arial" w:hAnsi="Arial" w:cs="Arial"/>
                <w:sz w:val="18"/>
                <w:szCs w:val="18"/>
              </w:rPr>
            </w:pPr>
          </w:p>
        </w:tc>
        <w:tc>
          <w:tcPr>
            <w:tcW w:w="709" w:type="dxa"/>
            <w:gridSpan w:val="2"/>
            <w:shd w:val="clear" w:color="auto" w:fill="70AD47" w:themeFill="accent6"/>
          </w:tcPr>
          <w:p w:rsidR="00867802" w:rsidRPr="00977736" w:rsidRDefault="00867802" w:rsidP="00867802">
            <w:pPr>
              <w:rPr>
                <w:rFonts w:ascii="Arial" w:hAnsi="Arial" w:cs="Arial"/>
                <w:sz w:val="18"/>
                <w:szCs w:val="18"/>
              </w:rPr>
            </w:pPr>
          </w:p>
        </w:tc>
        <w:tc>
          <w:tcPr>
            <w:tcW w:w="708" w:type="dxa"/>
            <w:shd w:val="clear" w:color="auto" w:fill="70AD47" w:themeFill="accent6"/>
          </w:tcPr>
          <w:p w:rsidR="00867802" w:rsidRPr="00977736" w:rsidRDefault="00867802" w:rsidP="00867802">
            <w:pPr>
              <w:rPr>
                <w:rFonts w:ascii="Arial" w:hAnsi="Arial" w:cs="Arial"/>
                <w:sz w:val="18"/>
                <w:szCs w:val="18"/>
              </w:rPr>
            </w:pPr>
          </w:p>
        </w:tc>
        <w:tc>
          <w:tcPr>
            <w:tcW w:w="709" w:type="dxa"/>
            <w:shd w:val="clear" w:color="auto" w:fill="70AD47" w:themeFill="accent6"/>
          </w:tcPr>
          <w:p w:rsidR="00867802" w:rsidRPr="00977736" w:rsidRDefault="00867802" w:rsidP="00867802">
            <w:pPr>
              <w:rPr>
                <w:rFonts w:ascii="Arial" w:hAnsi="Arial" w:cs="Arial"/>
                <w:sz w:val="18"/>
                <w:szCs w:val="18"/>
              </w:rPr>
            </w:pPr>
          </w:p>
        </w:tc>
      </w:tr>
      <w:tr w:rsidR="00867802" w:rsidRPr="00977736" w:rsidTr="00351FEF">
        <w:tc>
          <w:tcPr>
            <w:tcW w:w="2410" w:type="dxa"/>
          </w:tcPr>
          <w:p w:rsidR="00867802" w:rsidRPr="00CF6F45" w:rsidRDefault="00867802" w:rsidP="00867802">
            <w:pPr>
              <w:rPr>
                <w:rFonts w:ascii="Arial" w:hAnsi="Arial" w:cs="Arial"/>
                <w:sz w:val="18"/>
                <w:szCs w:val="18"/>
              </w:rPr>
            </w:pPr>
            <w:r w:rsidRPr="00CF6F45">
              <w:rPr>
                <w:rFonts w:ascii="Arial" w:hAnsi="Arial" w:cs="Arial"/>
                <w:sz w:val="18"/>
                <w:szCs w:val="18"/>
              </w:rPr>
              <w:t>Rodríguez</w:t>
            </w:r>
            <w:r w:rsidRPr="00CF6F45">
              <w:rPr>
                <w:rFonts w:ascii="Cambria Math" w:hAnsi="Cambria Math" w:cs="Cambria Math"/>
                <w:sz w:val="18"/>
                <w:szCs w:val="18"/>
              </w:rPr>
              <w:t>‐</w:t>
            </w:r>
            <w:r w:rsidRPr="00CF6F45">
              <w:rPr>
                <w:rFonts w:ascii="Arial" w:hAnsi="Arial" w:cs="Arial"/>
                <w:sz w:val="18"/>
                <w:szCs w:val="18"/>
              </w:rPr>
              <w:t>Pardo 2017</w:t>
            </w:r>
            <w:r>
              <w:rPr>
                <w:rFonts w:ascii="Arial" w:hAnsi="Arial" w:cs="Arial"/>
                <w:sz w:val="18"/>
                <w:szCs w:val="18"/>
              </w:rPr>
              <w:t xml:space="preserve"> </w:t>
            </w:r>
            <w:r w:rsidRPr="00CF6F45">
              <w:rPr>
                <w:rFonts w:ascii="Arial" w:hAnsi="Arial" w:cs="Arial"/>
                <w:sz w:val="18"/>
                <w:szCs w:val="18"/>
              </w:rPr>
              <w:fldChar w:fldCharType="begin" w:fldLock="1"/>
            </w:r>
            <w:r>
              <w:rPr>
                <w:rFonts w:ascii="Arial" w:hAnsi="Arial" w:cs="Arial"/>
                <w:sz w:val="18"/>
                <w:szCs w:val="18"/>
              </w:rPr>
              <w:instrText>ADDIN CSL_CITATION {"citationItems":[{"id":"ITEM-1","itemData":{"DOI":"10.1111/ene.13233","author":[{"dropping-particle":"","family":"Rodríguez-Pardo","given":"J","non-dropping-particle":"","parse-names":false,"suffix":""},{"dropping-particle":"","family":"Fuentes","given":"B","non-dropping-particle":"","parse-names":false,"suffix":""},{"dropping-particle":"","family":"Alonso de Leciñana","given":"M","non-dropping-particle":"","parse-names":false,"suffix":""},{"dropping-particle":"","family":"Ximénez-Carrillo","given":"Á","non-dropping-particle":"","parse-names":false,"suffix":""},{"dropping-particle":"","family":"Zapata-Wainberg","given":"G","non-dropping-particle":"","parse-names":false,"suffix":""},{"dropping-particle":"","family":"Álvarez-Fraga","given":"J","non-dropping-particle":"","parse-names":false,"suffix":""},{"dropping-particle":"","family":"Barriga","given":"F J","non-dropping-particle":"","parse-names":false,"suffix":""},{"dropping-particle":"","family":"Castillo","given":"L","non-dropping-particle":"","parse-names":false,"suffix":""},{"dropping-particle":"","family":"Carneado-Ruiz","given":"J","non-dropping-particle":"","parse-names":false,"suffix":""},{"dropping-particle":"","family":"Díaz-Guzman","given":"J","non-dropping-particle":"","parse-names":false,"suffix":""},{"dropping-particle":"","family":"Egido-Herrero","given":"J","non-dropping-particle":"","parse-names":false,"suffix":""},{"dropping-particle":"","family":"Felipe","given":"A","non-dropping-particle":"de","parse-names":false,"suffix":""},{"dropping-particle":"","family":"Fernández-Ferro","given":"J","non-dropping-particle":"","parse-names":false,"suffix":""},{"dropping-particle":"","family":"Frade-Pardo","given":"L","non-dropping-particle":"","parse-names":false,"suffix":""},{"dropping-particle":"","family":"García-Gallardo","given":"Á","non-dropping-particle":"","parse-names":false,"suffix":""},{"dropping-particle":"","family":"García-Pastor","given":"A","non-dropping-particle":"","parse-names":false,"suffix":""},{"dropping-particle":"","family":"Gil-Núñez","given":"A","non-dropping-particle":"","parse-names":false,"suffix":""},{"dropping-particle":"","family":"Gómez-Escalonilla","given":"C","non-dropping-particle":"","parse-names":false,"suffix":""},{"dropping-particle":"","family":"Guillán","given":"M","non-dropping-particle":"","parse-names":false,"suffix":""},{"dropping-particle":"","family":"Herrero-Infante","given":"Y","non-dropping-particle":"","parse-names":false,"suffix":""},{"dropping-particle":"","family":"Masjuan-Vallejo","given":"J","non-dropping-particle":"","parse-names":false,"suffix":""},{"dropping-particle":"","family":"Ortega-Casarrubios","given":"M Á","non-dropping-particle":"","parse-names":false,"suffix":""},{"dropping-particle":"","family":"Vivancos-Mora","given":"J","non-dropping-particle":"","parse-names":false,"suffix":""},{"dropping-particle":"","family":"Díez-Tejedor","given":"E","non-dropping-particle":"","parse-names":false,"suffix":""}],"container-title":"European Journal of Neurology","id":"ITEM-1","issue":"3","issued":{"date-parts":[["2017"]]},"note":"Cited By :2\n\nExport Date: 6 October 2018","page":"509-515","title":"The Direct Referral to Endovascular Center criteria: a proposal for pre-hospital evaluation of acute stroke in the Madrid Stroke Network","type":"article-journal","volume":"24"},"uris":["http://www.mendeley.com/documents/?uuid=56f2e67d-2e21-44be-9e41-528387698624"]}],"mendeley":{"formattedCitation":"[16]","plainTextFormattedCitation":"[16]","previouslyFormattedCitation":"[26]"},"properties":{"noteIndex":0},"schema":"https://github.com/citation-style-language/schema/raw/master/csl-citation.json"}</w:instrText>
            </w:r>
            <w:r w:rsidRPr="00CF6F45">
              <w:rPr>
                <w:rFonts w:ascii="Arial" w:hAnsi="Arial" w:cs="Arial"/>
                <w:sz w:val="18"/>
                <w:szCs w:val="18"/>
              </w:rPr>
              <w:fldChar w:fldCharType="separate"/>
            </w:r>
            <w:r w:rsidRPr="0024326E">
              <w:rPr>
                <w:rFonts w:ascii="Arial" w:hAnsi="Arial" w:cs="Arial"/>
                <w:noProof/>
                <w:sz w:val="18"/>
                <w:szCs w:val="18"/>
              </w:rPr>
              <w:t>[16]</w:t>
            </w:r>
            <w:r w:rsidRPr="00CF6F45">
              <w:rPr>
                <w:rFonts w:ascii="Arial" w:hAnsi="Arial" w:cs="Arial"/>
                <w:sz w:val="18"/>
                <w:szCs w:val="18"/>
              </w:rPr>
              <w:fldChar w:fldCharType="end"/>
            </w:r>
          </w:p>
        </w:tc>
        <w:tc>
          <w:tcPr>
            <w:tcW w:w="741" w:type="dxa"/>
            <w:shd w:val="clear" w:color="auto" w:fill="FFC000"/>
          </w:tcPr>
          <w:p w:rsidR="00867802" w:rsidRPr="00977736" w:rsidRDefault="00867802" w:rsidP="00867802">
            <w:pPr>
              <w:rPr>
                <w:rFonts w:ascii="Arial" w:hAnsi="Arial" w:cs="Arial"/>
                <w:sz w:val="18"/>
                <w:szCs w:val="18"/>
              </w:rPr>
            </w:pPr>
          </w:p>
        </w:tc>
        <w:tc>
          <w:tcPr>
            <w:tcW w:w="677" w:type="dxa"/>
            <w:gridSpan w:val="2"/>
            <w:shd w:val="clear" w:color="auto" w:fill="FFC000"/>
          </w:tcPr>
          <w:p w:rsidR="00867802" w:rsidRPr="00977736" w:rsidRDefault="00867802" w:rsidP="00867802">
            <w:pPr>
              <w:rPr>
                <w:rFonts w:ascii="Arial" w:hAnsi="Arial" w:cs="Arial"/>
                <w:sz w:val="18"/>
                <w:szCs w:val="18"/>
              </w:rPr>
            </w:pPr>
          </w:p>
        </w:tc>
        <w:tc>
          <w:tcPr>
            <w:tcW w:w="709" w:type="dxa"/>
            <w:gridSpan w:val="2"/>
            <w:shd w:val="clear" w:color="auto" w:fill="FFC000"/>
          </w:tcPr>
          <w:p w:rsidR="00867802" w:rsidRPr="00977736" w:rsidRDefault="00867802" w:rsidP="00867802">
            <w:pPr>
              <w:rPr>
                <w:rFonts w:ascii="Arial" w:hAnsi="Arial" w:cs="Arial"/>
                <w:sz w:val="18"/>
                <w:szCs w:val="18"/>
              </w:rPr>
            </w:pPr>
          </w:p>
        </w:tc>
        <w:tc>
          <w:tcPr>
            <w:tcW w:w="708" w:type="dxa"/>
            <w:shd w:val="clear" w:color="auto" w:fill="70AD47" w:themeFill="accent6"/>
          </w:tcPr>
          <w:p w:rsidR="00867802" w:rsidRPr="00977736" w:rsidRDefault="00867802" w:rsidP="00867802">
            <w:pPr>
              <w:rPr>
                <w:rFonts w:ascii="Arial" w:hAnsi="Arial" w:cs="Arial"/>
                <w:sz w:val="18"/>
                <w:szCs w:val="18"/>
              </w:rPr>
            </w:pPr>
          </w:p>
        </w:tc>
        <w:tc>
          <w:tcPr>
            <w:tcW w:w="709" w:type="dxa"/>
            <w:shd w:val="clear" w:color="auto" w:fill="70AD47" w:themeFill="accent6"/>
          </w:tcPr>
          <w:p w:rsidR="00867802" w:rsidRPr="00977736" w:rsidRDefault="00867802" w:rsidP="00867802">
            <w:pPr>
              <w:rPr>
                <w:rFonts w:ascii="Arial" w:hAnsi="Arial" w:cs="Arial"/>
                <w:sz w:val="18"/>
                <w:szCs w:val="18"/>
              </w:rPr>
            </w:pPr>
          </w:p>
        </w:tc>
      </w:tr>
      <w:tr w:rsidR="00867802" w:rsidRPr="00977736" w:rsidTr="00351FEF">
        <w:trPr>
          <w:trHeight w:val="245"/>
        </w:trPr>
        <w:tc>
          <w:tcPr>
            <w:tcW w:w="2410" w:type="dxa"/>
          </w:tcPr>
          <w:p w:rsidR="00867802" w:rsidRPr="00CF6F45" w:rsidRDefault="00867802" w:rsidP="00867802">
            <w:pPr>
              <w:rPr>
                <w:rFonts w:ascii="Arial" w:hAnsi="Arial" w:cs="Arial"/>
                <w:sz w:val="18"/>
                <w:szCs w:val="18"/>
              </w:rPr>
            </w:pPr>
            <w:proofErr w:type="spellStart"/>
            <w:r w:rsidRPr="00CF6F45">
              <w:rPr>
                <w:rFonts w:ascii="Arial" w:hAnsi="Arial" w:cs="Arial"/>
                <w:sz w:val="18"/>
                <w:szCs w:val="18"/>
              </w:rPr>
              <w:t>Scheitz</w:t>
            </w:r>
            <w:proofErr w:type="spellEnd"/>
            <w:r w:rsidRPr="00CF6F45">
              <w:rPr>
                <w:rFonts w:ascii="Arial" w:hAnsi="Arial" w:cs="Arial"/>
                <w:sz w:val="18"/>
                <w:szCs w:val="18"/>
              </w:rPr>
              <w:t xml:space="preserve"> 2017</w:t>
            </w:r>
            <w:r>
              <w:rPr>
                <w:rFonts w:ascii="Arial" w:hAnsi="Arial" w:cs="Arial"/>
                <w:sz w:val="18"/>
                <w:szCs w:val="18"/>
              </w:rPr>
              <w:t xml:space="preserve"> </w:t>
            </w:r>
            <w:r w:rsidRPr="00CF6F45">
              <w:rPr>
                <w:rFonts w:ascii="Arial" w:hAnsi="Arial" w:cs="Arial"/>
                <w:sz w:val="18"/>
                <w:szCs w:val="18"/>
              </w:rPr>
              <w:fldChar w:fldCharType="begin" w:fldLock="1"/>
            </w:r>
            <w:r>
              <w:rPr>
                <w:rFonts w:ascii="Arial" w:hAnsi="Arial" w:cs="Arial"/>
                <w:sz w:val="18"/>
                <w:szCs w:val="18"/>
              </w:rPr>
              <w:instrText>ADDIN CSL_CITATION {"citationItems":[{"id":"ITEM-1","itemData":{"DOI":"10.1161/STROKEAHA.116.014431","author":[{"dropping-particle":"","family":"Scheitz","given":"J F","non-dropping-particle":"","parse-names":false,"suffix":""},{"dropping-particle":"","family":"Abdul-Rahim","given":"A H","non-dropping-particle":"","parse-names":false,"suffix":""},{"dropping-particle":"","family":"Macisaac","given":"R L","non-dropping-particle":"","parse-names":false,"suffix":""},{"dropping-particle":"","family":"Cooray","given":"C","non-dropping-particle":"","parse-names":false,"suffix":""},{"dropping-particle":"","family":"Sucharew","given":"H","non-dropping-particle":"","parse-names":false,"suffix":""},{"dropping-particle":"","family":"Kleindorfer","given":"D","non-dropping-particle":"","parse-names":false,"suffix":""},{"dropping-particle":"","family":"Khatri","given":"P","non-dropping-particle":"","parse-names":false,"suffix":""},{"dropping-particle":"","family":"Broderick","given":"J P","non-dropping-particle":"","parse-names":false,"suffix":""},{"dropping-particle":"","family":"Audebert","given":"H J","non-dropping-particle":"","parse-names":false,"suffix":""},{"dropping-particle":"","family":"Ahmed","given":"N","non-dropping-particle":"","parse-names":false,"suffix":""},{"dropping-particle":"","family":"Wahlgren","given":"N","non-dropping-particle":"","parse-names":false,"suffix":""},{"dropping-particle":"","family":"Endres","given":"M","non-dropping-particle":"","parse-names":false,"suffix":""},{"dropping-particle":"","family":"Nolte","given":"C H","non-dropping-particle":"","parse-names":false,"suffix":""},{"dropping-particle":"","family":"Lees","given":"K R","non-dropping-particle":"","parse-names":false,"suffix":""}],"container-title":"Stroke","id":"ITEM-1","issue":"2","issued":{"date-parts":[["2017"]]},"note":"Cited By :20\n\nExport Date: 6 October 2018","page":"290-297","title":"Clinical Selection Strategies to Identify Ischemic Stroke Patients with Large Anterior Vessel Occlusion: Results from SITS-ISTR (Safe Implementation of Thrombolysis in Stroke International Stroke Thrombolysis Registry)","type":"article-journal","volume":"48"},"uris":["http://www.mendeley.com/documents/?uuid=903919d4-bd3d-41a5-931a-19adda210ce6"]}],"mendeley":{"formattedCitation":"[17]","plainTextFormattedCitation":"[17]","previouslyFormattedCitation":"[27]"},"properties":{"noteIndex":0},"schema":"https://github.com/citation-style-language/schema/raw/master/csl-citation.json"}</w:instrText>
            </w:r>
            <w:r w:rsidRPr="00CF6F45">
              <w:rPr>
                <w:rFonts w:ascii="Arial" w:hAnsi="Arial" w:cs="Arial"/>
                <w:sz w:val="18"/>
                <w:szCs w:val="18"/>
              </w:rPr>
              <w:fldChar w:fldCharType="separate"/>
            </w:r>
            <w:r w:rsidRPr="0024326E">
              <w:rPr>
                <w:rFonts w:ascii="Arial" w:hAnsi="Arial" w:cs="Arial"/>
                <w:noProof/>
                <w:sz w:val="18"/>
                <w:szCs w:val="18"/>
              </w:rPr>
              <w:t>[17]</w:t>
            </w:r>
            <w:r w:rsidRPr="00CF6F45">
              <w:rPr>
                <w:rFonts w:ascii="Arial" w:hAnsi="Arial" w:cs="Arial"/>
                <w:sz w:val="18"/>
                <w:szCs w:val="18"/>
              </w:rPr>
              <w:fldChar w:fldCharType="end"/>
            </w:r>
          </w:p>
        </w:tc>
        <w:tc>
          <w:tcPr>
            <w:tcW w:w="741" w:type="dxa"/>
            <w:shd w:val="clear" w:color="auto" w:fill="FFC000"/>
          </w:tcPr>
          <w:p w:rsidR="00867802" w:rsidRPr="00977736" w:rsidRDefault="00867802" w:rsidP="00867802">
            <w:pPr>
              <w:rPr>
                <w:rFonts w:ascii="Arial" w:hAnsi="Arial" w:cs="Arial"/>
                <w:sz w:val="18"/>
                <w:szCs w:val="18"/>
              </w:rPr>
            </w:pPr>
          </w:p>
        </w:tc>
        <w:tc>
          <w:tcPr>
            <w:tcW w:w="677" w:type="dxa"/>
            <w:gridSpan w:val="2"/>
            <w:shd w:val="clear" w:color="auto" w:fill="FFC000"/>
          </w:tcPr>
          <w:p w:rsidR="00867802" w:rsidRPr="00977736" w:rsidRDefault="00867802" w:rsidP="00867802">
            <w:pPr>
              <w:rPr>
                <w:rFonts w:ascii="Arial" w:hAnsi="Arial" w:cs="Arial"/>
                <w:sz w:val="18"/>
                <w:szCs w:val="18"/>
              </w:rPr>
            </w:pPr>
          </w:p>
        </w:tc>
        <w:tc>
          <w:tcPr>
            <w:tcW w:w="709" w:type="dxa"/>
            <w:gridSpan w:val="2"/>
            <w:shd w:val="clear" w:color="auto" w:fill="70AD47" w:themeFill="accent6"/>
          </w:tcPr>
          <w:p w:rsidR="00867802" w:rsidRPr="00977736" w:rsidRDefault="00867802" w:rsidP="00867802">
            <w:pPr>
              <w:rPr>
                <w:rFonts w:ascii="Arial" w:hAnsi="Arial" w:cs="Arial"/>
                <w:sz w:val="18"/>
                <w:szCs w:val="18"/>
              </w:rPr>
            </w:pPr>
          </w:p>
        </w:tc>
        <w:tc>
          <w:tcPr>
            <w:tcW w:w="708" w:type="dxa"/>
            <w:shd w:val="clear" w:color="auto" w:fill="70AD47" w:themeFill="accent6"/>
          </w:tcPr>
          <w:p w:rsidR="00867802" w:rsidRPr="00977736" w:rsidRDefault="00867802" w:rsidP="00867802">
            <w:pPr>
              <w:rPr>
                <w:rFonts w:ascii="Arial" w:hAnsi="Arial" w:cs="Arial"/>
                <w:sz w:val="18"/>
                <w:szCs w:val="18"/>
              </w:rPr>
            </w:pPr>
          </w:p>
        </w:tc>
        <w:tc>
          <w:tcPr>
            <w:tcW w:w="709" w:type="dxa"/>
            <w:shd w:val="clear" w:color="auto" w:fill="70AD47" w:themeFill="accent6"/>
          </w:tcPr>
          <w:p w:rsidR="00867802" w:rsidRPr="00977736" w:rsidRDefault="00867802" w:rsidP="00867802">
            <w:pPr>
              <w:rPr>
                <w:rFonts w:ascii="Arial" w:hAnsi="Arial" w:cs="Arial"/>
                <w:sz w:val="18"/>
                <w:szCs w:val="18"/>
              </w:rPr>
            </w:pPr>
          </w:p>
        </w:tc>
      </w:tr>
      <w:tr w:rsidR="00867802" w:rsidRPr="00977736" w:rsidTr="00351FEF">
        <w:tc>
          <w:tcPr>
            <w:tcW w:w="2410" w:type="dxa"/>
          </w:tcPr>
          <w:p w:rsidR="00867802" w:rsidRPr="00CF6F45" w:rsidRDefault="00867802" w:rsidP="00867802">
            <w:pPr>
              <w:rPr>
                <w:rFonts w:ascii="Arial" w:hAnsi="Arial" w:cs="Arial"/>
                <w:sz w:val="18"/>
                <w:szCs w:val="18"/>
              </w:rPr>
            </w:pPr>
            <w:proofErr w:type="spellStart"/>
            <w:r w:rsidRPr="00CF6F45">
              <w:rPr>
                <w:rFonts w:ascii="Arial" w:hAnsi="Arial" w:cs="Arial"/>
                <w:sz w:val="18"/>
                <w:szCs w:val="18"/>
              </w:rPr>
              <w:t>Turc</w:t>
            </w:r>
            <w:proofErr w:type="spellEnd"/>
            <w:r w:rsidRPr="00CF6F45">
              <w:rPr>
                <w:rFonts w:ascii="Arial" w:hAnsi="Arial" w:cs="Arial"/>
                <w:sz w:val="18"/>
                <w:szCs w:val="18"/>
              </w:rPr>
              <w:t xml:space="preserve"> 2016</w:t>
            </w:r>
            <w:r>
              <w:rPr>
                <w:rFonts w:ascii="Arial" w:hAnsi="Arial" w:cs="Arial"/>
                <w:sz w:val="18"/>
                <w:szCs w:val="18"/>
              </w:rPr>
              <w:t xml:space="preserve"> </w:t>
            </w:r>
            <w:r w:rsidRPr="00CF6F45">
              <w:rPr>
                <w:rFonts w:ascii="Arial" w:hAnsi="Arial" w:cs="Arial"/>
                <w:sz w:val="18"/>
                <w:szCs w:val="18"/>
              </w:rPr>
              <w:fldChar w:fldCharType="begin" w:fldLock="1"/>
            </w:r>
            <w:r>
              <w:rPr>
                <w:rFonts w:ascii="Arial" w:hAnsi="Arial" w:cs="Arial"/>
                <w:sz w:val="18"/>
                <w:szCs w:val="18"/>
              </w:rPr>
              <w:instrText>ADDIN CSL_CITATION {"citationItems":[{"id":"ITEM-1","itemData":{"DOI":"10.1161/STROKEAHA.116.013144","ISSN":"1524-4628 (Electronic)","PMID":"27125526","abstract":"BACKGROUND AND PURPOSE: It remains debated whether clinical scores can help identify acute ischemic stroke patients with large-artery occlusion and hence improve triage in the era of thrombectomy. We aimed to determine the accuracy of published clinical scores to predict large-artery occlusion. METHODS: We assessed the performance of 13 clinical scores to predict large-artery occlusion in consecutive patients with acute ischemic stroke undergoing clinical examination and magnetic resonance or computed tomographic angiography &lt;/=6 hours of symptom onset. When no cutoff was published, we used the cutoff maximizing the sum of sensitivity and specificity in our cohort. We also determined, for each score, the cutoff associated with a false-negative rate &lt;/=10%. RESULTS: Of 1004 patients (median National Institute of Health Stroke Scale score, 7; range, 0-40), 328 (32.7%) had an occlusion of the internal carotid artery, M1 segment of the middle cerebral artery, or basilar artery. The highest accuracy (79%; 95% confidence interval, 77-82) was observed for National Institute of Health Stroke Scale score &gt;/=11 and Rapid Arterial Occlusion Evaluation Scale score &gt;/=5. However, these cutoffs were associated with false-negative rates &gt;25%. Cutoffs associated with an false-negative rate &lt;/=10% were 5, 1, and 0 for National Institute of Health Stroke Scale, Rapid Arterial Occlusion Evaluation Scale, and Cincinnati Prehospital Stroke Severity Scale, respectively. CONCLUSIONS: Using published cutoffs for triage would result in a loss of opportunity for &gt;/=20% of patients with large-artery occlusion who would be inappropriately sent to a center lacking neurointerventional facilities. Conversely, using cutoffs reducing the false-negative rate to 10% would result in sending almost every patient to a comprehensive stroke center. Our findings, therefore, suggest that intracranial arterial imaging should be performed in all patients with acute ischemic stroke presenting within 6 hours of symptom onset.","author":[{"dropping-particle":"","family":"Turc","given":"Guillaume","non-dropping-particle":"","parse-names":false,"suffix":""},{"dropping-particle":"","family":"Maier","given":"Benjamin","non-dropping-particle":"","parse-names":false,"suffix":""},{"dropping-particle":"","family":"Naggara","given":"Olivier","non-dropping-particle":"","parse-names":false,"suffix":""},{"dropping-particle":"","family":"Seners","given":"Pierre","non-dropping-particle":"","parse-names":false,"suffix":""},{"dropping-particle":"","family":"Isabel","given":"Clothilde","non-dropping-particle":"","parse-names":false,"suffix":""},{"dropping-particle":"","family":"Tisserand","given":"Marie","non-dropping-particle":"","parse-names":false,"suffix":""},{"dropping-particle":"","family":"Raynouard","given":"Igor","non-dropping-particle":"","parse-names":false,"suffix":""},{"dropping-particle":"","family":"Edjlali","given":"Myriam","non-dropping-particle":"","parse-names":false,"suffix":""},{"dropping-particle":"","family":"Calvet","given":"David","non-dropping-particle":"","parse-names":false,"suffix":""},{"dropping-particle":"","family":"Baron","given":"Jean-Claude","non-dropping-particle":"","parse-names":false,"suffix":""},{"dropping-particle":"","family":"Mas","given":"Jean-Louis","non-dropping-particle":"","parse-names":false,"suffix":""},{"dropping-particle":"","family":"Oppenheim","given":"Catherine","non-dropping-particle":"","parse-names":false,"suffix":""}],"container-title":"Stroke","id":"ITEM-1","issue":"6","issued":{"date-parts":[["2016","6"]]},"language":"eng","page":"1466-1472","publisher-place":"United States","title":"Clinical Scales Do Not Reliably Identify Acute Ischemic Stroke Patients With Large-Artery Occlusion.","type":"article-journal","volume":"47"},"uris":["http://www.mendeley.com/documents/?uuid=e61edb99-396a-449b-a4b6-d2caa7ad9bd3"]}],"mendeley":{"formattedCitation":"[27]","plainTextFormattedCitation":"[27]","previouslyFormattedCitation":"[28]"},"properties":{"noteIndex":0},"schema":"https://github.com/citation-style-language/schema/raw/master/csl-citation.json"}</w:instrText>
            </w:r>
            <w:r w:rsidRPr="00CF6F45">
              <w:rPr>
                <w:rFonts w:ascii="Arial" w:hAnsi="Arial" w:cs="Arial"/>
                <w:sz w:val="18"/>
                <w:szCs w:val="18"/>
              </w:rPr>
              <w:fldChar w:fldCharType="separate"/>
            </w:r>
            <w:r w:rsidRPr="0024326E">
              <w:rPr>
                <w:rFonts w:ascii="Arial" w:hAnsi="Arial" w:cs="Arial"/>
                <w:noProof/>
                <w:sz w:val="18"/>
                <w:szCs w:val="18"/>
              </w:rPr>
              <w:t>[27]</w:t>
            </w:r>
            <w:r w:rsidRPr="00CF6F45">
              <w:rPr>
                <w:rFonts w:ascii="Arial" w:hAnsi="Arial" w:cs="Arial"/>
                <w:sz w:val="18"/>
                <w:szCs w:val="18"/>
              </w:rPr>
              <w:fldChar w:fldCharType="end"/>
            </w:r>
          </w:p>
        </w:tc>
        <w:tc>
          <w:tcPr>
            <w:tcW w:w="741" w:type="dxa"/>
            <w:shd w:val="clear" w:color="auto" w:fill="70AD47" w:themeFill="accent6"/>
          </w:tcPr>
          <w:p w:rsidR="00867802" w:rsidRPr="00977736" w:rsidRDefault="00867802" w:rsidP="00867802">
            <w:pPr>
              <w:rPr>
                <w:rFonts w:ascii="Arial" w:hAnsi="Arial" w:cs="Arial"/>
                <w:sz w:val="18"/>
                <w:szCs w:val="18"/>
              </w:rPr>
            </w:pPr>
          </w:p>
        </w:tc>
        <w:tc>
          <w:tcPr>
            <w:tcW w:w="677" w:type="dxa"/>
            <w:gridSpan w:val="2"/>
            <w:shd w:val="clear" w:color="auto" w:fill="70AD47" w:themeFill="accent6"/>
          </w:tcPr>
          <w:p w:rsidR="00867802" w:rsidRPr="00977736" w:rsidRDefault="00867802" w:rsidP="00867802">
            <w:pPr>
              <w:rPr>
                <w:rFonts w:ascii="Arial" w:hAnsi="Arial" w:cs="Arial"/>
                <w:sz w:val="18"/>
                <w:szCs w:val="18"/>
              </w:rPr>
            </w:pPr>
          </w:p>
        </w:tc>
        <w:tc>
          <w:tcPr>
            <w:tcW w:w="709" w:type="dxa"/>
            <w:gridSpan w:val="2"/>
            <w:shd w:val="clear" w:color="auto" w:fill="70AD47" w:themeFill="accent6"/>
          </w:tcPr>
          <w:p w:rsidR="00867802" w:rsidRPr="00977736" w:rsidRDefault="00867802" w:rsidP="00867802">
            <w:pPr>
              <w:rPr>
                <w:rFonts w:ascii="Arial" w:hAnsi="Arial" w:cs="Arial"/>
                <w:sz w:val="18"/>
                <w:szCs w:val="18"/>
              </w:rPr>
            </w:pPr>
          </w:p>
        </w:tc>
        <w:tc>
          <w:tcPr>
            <w:tcW w:w="708" w:type="dxa"/>
            <w:shd w:val="clear" w:color="auto" w:fill="70AD47" w:themeFill="accent6"/>
          </w:tcPr>
          <w:p w:rsidR="00867802" w:rsidRPr="00977736" w:rsidRDefault="00867802" w:rsidP="00867802">
            <w:pPr>
              <w:rPr>
                <w:rFonts w:ascii="Arial" w:hAnsi="Arial" w:cs="Arial"/>
                <w:sz w:val="18"/>
                <w:szCs w:val="18"/>
              </w:rPr>
            </w:pPr>
          </w:p>
        </w:tc>
        <w:tc>
          <w:tcPr>
            <w:tcW w:w="709" w:type="dxa"/>
            <w:shd w:val="clear" w:color="auto" w:fill="70AD47" w:themeFill="accent6"/>
          </w:tcPr>
          <w:p w:rsidR="00867802" w:rsidRPr="00977736" w:rsidRDefault="00867802" w:rsidP="00867802">
            <w:pPr>
              <w:rPr>
                <w:rFonts w:ascii="Arial" w:hAnsi="Arial" w:cs="Arial"/>
                <w:sz w:val="18"/>
                <w:szCs w:val="18"/>
              </w:rPr>
            </w:pPr>
          </w:p>
        </w:tc>
      </w:tr>
      <w:tr w:rsidR="00867802" w:rsidRPr="00977736" w:rsidTr="00351FEF">
        <w:tc>
          <w:tcPr>
            <w:tcW w:w="2410" w:type="dxa"/>
          </w:tcPr>
          <w:p w:rsidR="00867802" w:rsidRPr="00CF6F45" w:rsidRDefault="00867802" w:rsidP="00867802">
            <w:pPr>
              <w:rPr>
                <w:rFonts w:ascii="Arial" w:hAnsi="Arial" w:cs="Arial"/>
                <w:sz w:val="18"/>
                <w:szCs w:val="18"/>
              </w:rPr>
            </w:pPr>
            <w:proofErr w:type="spellStart"/>
            <w:r w:rsidRPr="00CF6F45">
              <w:rPr>
                <w:rFonts w:ascii="Arial" w:hAnsi="Arial" w:cs="Arial"/>
                <w:sz w:val="18"/>
                <w:szCs w:val="18"/>
              </w:rPr>
              <w:t>Vanacker</w:t>
            </w:r>
            <w:proofErr w:type="spellEnd"/>
            <w:r w:rsidRPr="00CF6F45">
              <w:rPr>
                <w:rFonts w:ascii="Arial" w:hAnsi="Arial" w:cs="Arial"/>
                <w:sz w:val="18"/>
                <w:szCs w:val="18"/>
              </w:rPr>
              <w:t xml:space="preserve"> 2016</w:t>
            </w:r>
            <w:r>
              <w:rPr>
                <w:rFonts w:ascii="Arial" w:hAnsi="Arial" w:cs="Arial"/>
                <w:sz w:val="18"/>
                <w:szCs w:val="18"/>
              </w:rPr>
              <w:t xml:space="preserve"> </w:t>
            </w:r>
            <w:r w:rsidRPr="00CF6F45">
              <w:rPr>
                <w:rFonts w:ascii="Arial" w:hAnsi="Arial" w:cs="Arial"/>
                <w:sz w:val="18"/>
                <w:szCs w:val="18"/>
              </w:rPr>
              <w:fldChar w:fldCharType="begin" w:fldLock="1"/>
            </w:r>
            <w:r>
              <w:rPr>
                <w:rFonts w:ascii="Arial" w:hAnsi="Arial" w:cs="Arial"/>
                <w:sz w:val="18"/>
                <w:szCs w:val="18"/>
              </w:rPr>
              <w:instrText>ADDIN CSL_CITATION {"citationItems":[{"id":"ITEM-1","itemData":{"DOI":"10.1097/CCM.0000000000001630","ISSN":"1530-0293 (Electronic)","PMID":"26958750","abstract":"OBJECTIVES: Endovascular treatment for acute ischemic stroke with a large vessel  occlusion was recently shown to be effective. We aimed to develop a score capable of predicting large vessel occlusion eligible for endovascular treatment in the early hospital management. DESIGN: Retrospective, cohort study. SETTING: Two tertiary, Swiss stroke centers. PATIENTS: Consecutive acute ischemic stroke patients (1,645 patients; Acute STroke Registry and Analysis of Lausanne registry), who had CT angiography within 6 and 12 hours of symptom onset, were categorized according to the occlusion site. Demographic and clinical information was used in logistic regression analysis to derive predictors of large vessel occlusion (defined as intracranial carotid, basilar, and M1 segment of middle cerebral artery occlusions). Based on logistic regression coefficients, an integer score was created and validated internally and externally (848 patients; Bernese Stroke Registry). INTERVENTIONS: None. MEASUREMENTS AND MAIN RESULTS: Large vessel occlusions were present in 316 patients (21%) in the derivation and 566 (28%) in the external validation cohort. Five predictors added significantly to the score: National Institute of Health Stroke Scale at admission, hemineglect, female sex, atrial fibrillation, and no history of stroke and prestroke handicap (modified Rankin Scale score, &lt; 2). Diagnostic accuracy in internal and external validation cohorts was excellent (area under the receiver operating characteristic curve, 0.84 both). The score performed slightly better than National Institute of Health Stroke Scale alone regarding prediction error (Wilcoxon signed rank test, p &lt; 0.001) and regarding discriminatory power in derivation and pooled cohorts (area under the receiver operating characteristic curve, 0.81 vs 0.80; DeLong test, p = 0.02). CONCLUSIONS: Our score accurately predicts the presence of emergent large vessel occlusions, which are eligible for endovascular treatment. However, incorporation of additional demographic and historical information available on hospital arrival provides minimal incremental predictive value compared with the National Institute of Health Stroke Scale alone.","author":[{"dropping-particle":"","family":"Vanacker","given":"Peter","non-dropping-particle":"","parse-names":false,"suffix":""},{"dropping-particle":"","family":"Heldner","given":"Mirjam R","non-dropping-particle":"","parse-names":false,"suffix":""},{"dropping-particle":"","family":"Amiguet","given":"Michael","non-dropping-particle":"","parse-names":false,"suffix":""},{"dropping-particle":"","family":"Faouzi","given":"Mohamed","non-dropping-particle":"","parse-names":false,"suffix":""},{"dropping-particle":"","family":"Cras","given":"Patrick","non-dropping-particle":"","parse-names":false,"suffix":""},{"dropping-particle":"","family":"Ntaios","given":"George","non-dropping-particle":"","parse-names":false,"suffix":""},{"dropping-particle":"","family":"Arnold","given":"Marcel","non-dropping-particle":"","parse-names":false,"suffix":""},{"dropping-particle":"","family":"Mattle","given":"Heinrich P","non-dropping-particle":"","parse-names":false,"suffix":""},{"dropping-particle":"","family":"Gralla","given":"Jan","non-dropping-particle":"","parse-names":false,"suffix":""},{"dropping-particle":"","family":"Fischer","given":"Urs","non-dropping-particle":"","parse-names":false,"suffix":""},{"dropping-particle":"","family":"Michel","given":"Patrik","non-dropping-particle":"","parse-names":false,"suffix":""}],"container-title":"Critical care medicine","id":"ITEM-1","issue":"6","issued":{"date-parts":[["2016","6"]]},"language":"eng","page":"e336-43","publisher-place":"United States","title":"Prediction of Large Vessel Occlusions in Acute Stroke: National Institute of Health Stroke Scale Is Hard to Beat.","type":"article-journal","volume":"44"},"uris":["http://www.mendeley.com/documents/?uuid=336026c8-ee59-44c8-97b1-cdeadfa71d27"]}],"mendeley":{"formattedCitation":"[39]","plainTextFormattedCitation":"[39]","previouslyFormattedCitation":"[29]"},"properties":{"noteIndex":0},"schema":"https://github.com/citation-style-language/schema/raw/master/csl-citation.json"}</w:instrText>
            </w:r>
            <w:r w:rsidRPr="00CF6F45">
              <w:rPr>
                <w:rFonts w:ascii="Arial" w:hAnsi="Arial" w:cs="Arial"/>
                <w:sz w:val="18"/>
                <w:szCs w:val="18"/>
              </w:rPr>
              <w:fldChar w:fldCharType="separate"/>
            </w:r>
            <w:r w:rsidRPr="0024326E">
              <w:rPr>
                <w:rFonts w:ascii="Arial" w:hAnsi="Arial" w:cs="Arial"/>
                <w:noProof/>
                <w:sz w:val="18"/>
                <w:szCs w:val="18"/>
              </w:rPr>
              <w:t>[39]</w:t>
            </w:r>
            <w:r w:rsidRPr="00CF6F45">
              <w:rPr>
                <w:rFonts w:ascii="Arial" w:hAnsi="Arial" w:cs="Arial"/>
                <w:sz w:val="18"/>
                <w:szCs w:val="18"/>
              </w:rPr>
              <w:fldChar w:fldCharType="end"/>
            </w:r>
          </w:p>
        </w:tc>
        <w:tc>
          <w:tcPr>
            <w:tcW w:w="741" w:type="dxa"/>
            <w:shd w:val="clear" w:color="auto" w:fill="FFC000"/>
          </w:tcPr>
          <w:p w:rsidR="00867802" w:rsidRPr="00977736" w:rsidRDefault="00867802" w:rsidP="00867802">
            <w:pPr>
              <w:rPr>
                <w:rFonts w:ascii="Arial" w:hAnsi="Arial" w:cs="Arial"/>
                <w:sz w:val="18"/>
                <w:szCs w:val="18"/>
              </w:rPr>
            </w:pPr>
          </w:p>
        </w:tc>
        <w:tc>
          <w:tcPr>
            <w:tcW w:w="677" w:type="dxa"/>
            <w:gridSpan w:val="2"/>
            <w:shd w:val="clear" w:color="auto" w:fill="FFC000"/>
          </w:tcPr>
          <w:p w:rsidR="00867802" w:rsidRPr="00977736" w:rsidRDefault="00867802" w:rsidP="00867802">
            <w:pPr>
              <w:rPr>
                <w:rFonts w:ascii="Arial" w:hAnsi="Arial" w:cs="Arial"/>
                <w:sz w:val="18"/>
                <w:szCs w:val="18"/>
              </w:rPr>
            </w:pPr>
          </w:p>
        </w:tc>
        <w:tc>
          <w:tcPr>
            <w:tcW w:w="709" w:type="dxa"/>
            <w:gridSpan w:val="2"/>
            <w:shd w:val="clear" w:color="auto" w:fill="70AD47" w:themeFill="accent6"/>
          </w:tcPr>
          <w:p w:rsidR="00867802" w:rsidRPr="00977736" w:rsidRDefault="00867802" w:rsidP="00867802">
            <w:pPr>
              <w:rPr>
                <w:rFonts w:ascii="Arial" w:hAnsi="Arial" w:cs="Arial"/>
                <w:sz w:val="18"/>
                <w:szCs w:val="18"/>
              </w:rPr>
            </w:pPr>
          </w:p>
        </w:tc>
        <w:tc>
          <w:tcPr>
            <w:tcW w:w="708" w:type="dxa"/>
            <w:shd w:val="clear" w:color="auto" w:fill="70AD47" w:themeFill="accent6"/>
          </w:tcPr>
          <w:p w:rsidR="00867802" w:rsidRPr="00977736" w:rsidRDefault="00867802" w:rsidP="00867802">
            <w:pPr>
              <w:rPr>
                <w:rFonts w:ascii="Arial" w:hAnsi="Arial" w:cs="Arial"/>
                <w:sz w:val="18"/>
                <w:szCs w:val="18"/>
              </w:rPr>
            </w:pPr>
          </w:p>
        </w:tc>
        <w:tc>
          <w:tcPr>
            <w:tcW w:w="709" w:type="dxa"/>
            <w:shd w:val="clear" w:color="auto" w:fill="70AD47" w:themeFill="accent6"/>
          </w:tcPr>
          <w:p w:rsidR="00867802" w:rsidRPr="00977736" w:rsidRDefault="00867802" w:rsidP="00867802">
            <w:pPr>
              <w:rPr>
                <w:rFonts w:ascii="Arial" w:hAnsi="Arial" w:cs="Arial"/>
                <w:sz w:val="18"/>
                <w:szCs w:val="18"/>
              </w:rPr>
            </w:pPr>
          </w:p>
        </w:tc>
      </w:tr>
      <w:tr w:rsidR="00867802" w:rsidRPr="00977736" w:rsidTr="00351FEF">
        <w:tc>
          <w:tcPr>
            <w:tcW w:w="2410" w:type="dxa"/>
          </w:tcPr>
          <w:p w:rsidR="00867802" w:rsidRPr="00CF6F45" w:rsidRDefault="00867802" w:rsidP="00867802">
            <w:pPr>
              <w:rPr>
                <w:rFonts w:ascii="Arial" w:hAnsi="Arial" w:cs="Arial"/>
                <w:sz w:val="18"/>
                <w:szCs w:val="18"/>
              </w:rPr>
            </w:pPr>
            <w:r w:rsidRPr="00CF6F45">
              <w:rPr>
                <w:rFonts w:ascii="Arial" w:hAnsi="Arial" w:cs="Arial"/>
                <w:sz w:val="18"/>
                <w:szCs w:val="18"/>
              </w:rPr>
              <w:t>Zhao 2018</w:t>
            </w:r>
            <w:r>
              <w:rPr>
                <w:rFonts w:ascii="Arial" w:hAnsi="Arial" w:cs="Arial"/>
                <w:sz w:val="18"/>
                <w:szCs w:val="18"/>
              </w:rPr>
              <w:t xml:space="preserve"> </w:t>
            </w:r>
            <w:r w:rsidRPr="00CF6F45">
              <w:rPr>
                <w:rFonts w:ascii="Arial" w:hAnsi="Arial" w:cs="Arial"/>
                <w:sz w:val="18"/>
                <w:szCs w:val="18"/>
              </w:rPr>
              <w:fldChar w:fldCharType="begin" w:fldLock="1"/>
            </w:r>
            <w:r>
              <w:rPr>
                <w:rFonts w:ascii="Arial" w:hAnsi="Arial" w:cs="Arial"/>
                <w:sz w:val="18"/>
                <w:szCs w:val="18"/>
              </w:rPr>
              <w:instrText>ADDIN CSL_CITATION {"citationItems":[{"id":"ITEM-1","itemData":{"DOI":"10.1161/STROKEAHA.117.019307","author":[{"dropping-particle":"","family":"Zhao","given":"H","non-dropping-particle":"","parse-names":false,"suffix":""},{"dropping-particle":"","family":"Pesavento","given":"L","non-dropping-particle":"","parse-names":false,"suffix":""},{"dropping-particle":"","family":"Coote","given":"S","non-dropping-particle":"","parse-names":false,"suffix":""},{"dropping-particle":"","family":"Rodrigues","given":"E","non-dropping-particle":"","parse-names":false,"suffix":""},{"dropping-particle":"","family":"Salvaris","given":"P","non-dropping-particle":"","parse-names":false,"suffix":""},{"dropping-particle":"","family":"Smith","given":"K","non-dropping-particle":"","parse-names":false,"suffix":""},{"dropping-particle":"","family":"Bernard","given":"S","non-dropping-particle":"","parse-names":false,"suffix":""},{"dropping-particle":"","family":"Stephenson","given":"M","non-dropping-particle":"","parse-names":false,"suffix":""},{"dropping-particle":"","family":"Churilov","given":"L","non-dropping-particle":"","parse-names":false,"suffix":""},{"dropping-particle":"","family":"Yassi","given":"N","non-dropping-particle":"","parse-names":false,"suffix":""},{"dropping-particle":"","family":"Davis","given":"S M","non-dropping-particle":"","parse-names":false,"suffix":""},{"dropping-particle":"V","family":"Campbell","given":"B C","non-dropping-particle":"","parse-names":false,"suffix":""}],"container-title":"Stroke","id":"ITEM-1","issue":"4","issued":{"date-parts":[["2018"]]},"note":"Export Date: 6 October 2018","title":"Ambulance clinical triage for acute stroke treatment paramedic triage algorithm for large vessel occlusion","type":"article-journal","volume":"49"},"uris":["http://www.mendeley.com/documents/?uuid=9ef6968d-a580-4673-8f52-825a877ead1a"]}],"mendeley":{"formattedCitation":"[18]","plainTextFormattedCitation":"[18]","previouslyFormattedCitation":"[30]"},"properties":{"noteIndex":0},"schema":"https://github.com/citation-style-language/schema/raw/master/csl-citation.json"}</w:instrText>
            </w:r>
            <w:r w:rsidRPr="00CF6F45">
              <w:rPr>
                <w:rFonts w:ascii="Arial" w:hAnsi="Arial" w:cs="Arial"/>
                <w:sz w:val="18"/>
                <w:szCs w:val="18"/>
              </w:rPr>
              <w:fldChar w:fldCharType="separate"/>
            </w:r>
            <w:r w:rsidRPr="0024326E">
              <w:rPr>
                <w:rFonts w:ascii="Arial" w:hAnsi="Arial" w:cs="Arial"/>
                <w:noProof/>
                <w:sz w:val="18"/>
                <w:szCs w:val="18"/>
              </w:rPr>
              <w:t>[18]</w:t>
            </w:r>
            <w:r w:rsidRPr="00CF6F45">
              <w:rPr>
                <w:rFonts w:ascii="Arial" w:hAnsi="Arial" w:cs="Arial"/>
                <w:sz w:val="18"/>
                <w:szCs w:val="18"/>
              </w:rPr>
              <w:fldChar w:fldCharType="end"/>
            </w:r>
          </w:p>
        </w:tc>
        <w:tc>
          <w:tcPr>
            <w:tcW w:w="741" w:type="dxa"/>
            <w:shd w:val="clear" w:color="auto" w:fill="FFC000"/>
          </w:tcPr>
          <w:p w:rsidR="00867802" w:rsidRPr="00977736" w:rsidRDefault="00867802" w:rsidP="00867802">
            <w:pPr>
              <w:rPr>
                <w:rFonts w:ascii="Arial" w:hAnsi="Arial" w:cs="Arial"/>
                <w:sz w:val="18"/>
                <w:szCs w:val="18"/>
              </w:rPr>
            </w:pPr>
          </w:p>
        </w:tc>
        <w:tc>
          <w:tcPr>
            <w:tcW w:w="677" w:type="dxa"/>
            <w:gridSpan w:val="2"/>
            <w:shd w:val="clear" w:color="auto" w:fill="FFC000"/>
          </w:tcPr>
          <w:p w:rsidR="00867802" w:rsidRPr="00977736" w:rsidRDefault="00867802" w:rsidP="00867802">
            <w:pPr>
              <w:rPr>
                <w:rFonts w:ascii="Arial" w:hAnsi="Arial" w:cs="Arial"/>
                <w:sz w:val="18"/>
                <w:szCs w:val="18"/>
              </w:rPr>
            </w:pPr>
          </w:p>
        </w:tc>
        <w:tc>
          <w:tcPr>
            <w:tcW w:w="709" w:type="dxa"/>
            <w:gridSpan w:val="2"/>
            <w:shd w:val="clear" w:color="auto" w:fill="70AD47" w:themeFill="accent6"/>
          </w:tcPr>
          <w:p w:rsidR="00867802" w:rsidRPr="00977736" w:rsidRDefault="00867802" w:rsidP="00867802">
            <w:pPr>
              <w:rPr>
                <w:rFonts w:ascii="Arial" w:hAnsi="Arial" w:cs="Arial"/>
                <w:sz w:val="18"/>
                <w:szCs w:val="18"/>
              </w:rPr>
            </w:pPr>
          </w:p>
        </w:tc>
        <w:tc>
          <w:tcPr>
            <w:tcW w:w="708" w:type="dxa"/>
            <w:shd w:val="clear" w:color="auto" w:fill="70AD47" w:themeFill="accent6"/>
          </w:tcPr>
          <w:p w:rsidR="00867802" w:rsidRPr="00977736" w:rsidRDefault="00867802" w:rsidP="00867802">
            <w:pPr>
              <w:rPr>
                <w:rFonts w:ascii="Arial" w:hAnsi="Arial" w:cs="Arial"/>
                <w:sz w:val="18"/>
                <w:szCs w:val="18"/>
              </w:rPr>
            </w:pPr>
          </w:p>
        </w:tc>
        <w:tc>
          <w:tcPr>
            <w:tcW w:w="709" w:type="dxa"/>
            <w:shd w:val="clear" w:color="auto" w:fill="70AD47" w:themeFill="accent6"/>
          </w:tcPr>
          <w:p w:rsidR="00867802" w:rsidRPr="00977736" w:rsidRDefault="00867802" w:rsidP="00867802">
            <w:pPr>
              <w:rPr>
                <w:rFonts w:ascii="Arial" w:hAnsi="Arial" w:cs="Arial"/>
                <w:sz w:val="18"/>
                <w:szCs w:val="18"/>
              </w:rPr>
            </w:pPr>
          </w:p>
        </w:tc>
      </w:tr>
      <w:tr w:rsidR="00977736" w:rsidRPr="00977736" w:rsidTr="00351FEF">
        <w:tc>
          <w:tcPr>
            <w:tcW w:w="3686" w:type="dxa"/>
            <w:gridSpan w:val="3"/>
          </w:tcPr>
          <w:p w:rsidR="00977736" w:rsidRPr="00977736" w:rsidRDefault="00977736" w:rsidP="009C41DE">
            <w:pPr>
              <w:rPr>
                <w:rFonts w:ascii="Arial" w:hAnsi="Arial" w:cs="Arial"/>
                <w:sz w:val="18"/>
                <w:szCs w:val="18"/>
              </w:rPr>
            </w:pPr>
          </w:p>
        </w:tc>
        <w:tc>
          <w:tcPr>
            <w:tcW w:w="709" w:type="dxa"/>
            <w:gridSpan w:val="2"/>
            <w:shd w:val="clear" w:color="auto" w:fill="FF0000"/>
            <w:vAlign w:val="center"/>
          </w:tcPr>
          <w:p w:rsidR="00977736" w:rsidRPr="00351FEF" w:rsidRDefault="00977736" w:rsidP="009C41DE">
            <w:pPr>
              <w:jc w:val="center"/>
              <w:rPr>
                <w:rFonts w:ascii="Arial" w:hAnsi="Arial" w:cs="Arial"/>
                <w:sz w:val="18"/>
                <w:szCs w:val="18"/>
              </w:rPr>
            </w:pPr>
            <w:r w:rsidRPr="00351FEF">
              <w:rPr>
                <w:rFonts w:ascii="Arial" w:hAnsi="Arial" w:cs="Arial"/>
                <w:sz w:val="18"/>
                <w:szCs w:val="18"/>
              </w:rPr>
              <w:t>High</w:t>
            </w:r>
          </w:p>
        </w:tc>
        <w:tc>
          <w:tcPr>
            <w:tcW w:w="850" w:type="dxa"/>
            <w:gridSpan w:val="2"/>
            <w:shd w:val="clear" w:color="auto" w:fill="FFC000"/>
            <w:vAlign w:val="center"/>
          </w:tcPr>
          <w:p w:rsidR="00977736" w:rsidRPr="00351FEF" w:rsidRDefault="00977736" w:rsidP="009C41DE">
            <w:pPr>
              <w:jc w:val="center"/>
              <w:rPr>
                <w:rFonts w:ascii="Arial" w:hAnsi="Arial" w:cs="Arial"/>
                <w:sz w:val="18"/>
                <w:szCs w:val="18"/>
              </w:rPr>
            </w:pPr>
            <w:r w:rsidRPr="00351FEF">
              <w:rPr>
                <w:rFonts w:ascii="Arial" w:hAnsi="Arial" w:cs="Arial"/>
                <w:sz w:val="18"/>
                <w:szCs w:val="18"/>
              </w:rPr>
              <w:t>Unclear</w:t>
            </w:r>
          </w:p>
        </w:tc>
        <w:tc>
          <w:tcPr>
            <w:tcW w:w="709" w:type="dxa"/>
            <w:shd w:val="clear" w:color="auto" w:fill="70AD47" w:themeFill="accent6"/>
            <w:vAlign w:val="center"/>
          </w:tcPr>
          <w:p w:rsidR="00977736" w:rsidRPr="00351FEF" w:rsidRDefault="00977736" w:rsidP="009C41DE">
            <w:pPr>
              <w:jc w:val="center"/>
              <w:rPr>
                <w:rFonts w:ascii="Arial" w:hAnsi="Arial" w:cs="Arial"/>
                <w:sz w:val="18"/>
                <w:szCs w:val="18"/>
              </w:rPr>
            </w:pPr>
            <w:r w:rsidRPr="00351FEF">
              <w:rPr>
                <w:rFonts w:ascii="Arial" w:hAnsi="Arial" w:cs="Arial"/>
                <w:sz w:val="18"/>
                <w:szCs w:val="18"/>
              </w:rPr>
              <w:t>Low</w:t>
            </w:r>
          </w:p>
        </w:tc>
      </w:tr>
    </w:tbl>
    <w:p w:rsidR="00977736" w:rsidRPr="00220057" w:rsidRDefault="00977736" w:rsidP="00977736">
      <w:pPr>
        <w:rPr>
          <w:rFonts w:ascii="Arial" w:hAnsi="Arial" w:cs="Arial"/>
        </w:rPr>
      </w:pPr>
    </w:p>
    <w:p w:rsidR="004063F0" w:rsidRDefault="00867802"/>
    <w:sectPr w:rsidR="004063F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B0F" w:rsidRDefault="00062B0F" w:rsidP="00062B0F">
      <w:pPr>
        <w:spacing w:after="0"/>
      </w:pPr>
      <w:r>
        <w:separator/>
      </w:r>
    </w:p>
  </w:endnote>
  <w:endnote w:type="continuationSeparator" w:id="0">
    <w:p w:rsidR="00062B0F" w:rsidRDefault="00062B0F" w:rsidP="00062B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654003"/>
      <w:docPartObj>
        <w:docPartGallery w:val="Page Numbers (Bottom of Page)"/>
        <w:docPartUnique/>
      </w:docPartObj>
    </w:sdtPr>
    <w:sdtEndPr>
      <w:rPr>
        <w:noProof/>
      </w:rPr>
    </w:sdtEndPr>
    <w:sdtContent>
      <w:p w:rsidR="00062B0F" w:rsidRDefault="00062B0F">
        <w:pPr>
          <w:pStyle w:val="Footer"/>
          <w:jc w:val="right"/>
        </w:pPr>
        <w:r>
          <w:fldChar w:fldCharType="begin"/>
        </w:r>
        <w:r>
          <w:instrText xml:space="preserve"> PAGE   \* MERGEFORMAT </w:instrText>
        </w:r>
        <w:r>
          <w:fldChar w:fldCharType="separate"/>
        </w:r>
        <w:r w:rsidR="00867802">
          <w:rPr>
            <w:noProof/>
          </w:rPr>
          <w:t>1</w:t>
        </w:r>
        <w:r>
          <w:rPr>
            <w:noProof/>
          </w:rPr>
          <w:fldChar w:fldCharType="end"/>
        </w:r>
      </w:p>
    </w:sdtContent>
  </w:sdt>
  <w:p w:rsidR="00062B0F" w:rsidRDefault="00062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B0F" w:rsidRDefault="00062B0F" w:rsidP="00062B0F">
      <w:pPr>
        <w:spacing w:after="0"/>
      </w:pPr>
      <w:r>
        <w:separator/>
      </w:r>
    </w:p>
  </w:footnote>
  <w:footnote w:type="continuationSeparator" w:id="0">
    <w:p w:rsidR="00062B0F" w:rsidRDefault="00062B0F" w:rsidP="00062B0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DFC"/>
    <w:rsid w:val="00062B0F"/>
    <w:rsid w:val="002343E8"/>
    <w:rsid w:val="00294729"/>
    <w:rsid w:val="00351FEF"/>
    <w:rsid w:val="00394A42"/>
    <w:rsid w:val="006E58DB"/>
    <w:rsid w:val="006F7DFC"/>
    <w:rsid w:val="00867802"/>
    <w:rsid w:val="00977736"/>
    <w:rsid w:val="00B60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DFBC1-A88C-43E1-AB82-937FA65A9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736"/>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FE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FEF"/>
    <w:rPr>
      <w:rFonts w:ascii="Segoe UI" w:hAnsi="Segoe UI" w:cs="Segoe UI"/>
      <w:sz w:val="18"/>
      <w:szCs w:val="18"/>
    </w:rPr>
  </w:style>
  <w:style w:type="paragraph" w:styleId="Header">
    <w:name w:val="header"/>
    <w:basedOn w:val="Normal"/>
    <w:link w:val="HeaderChar"/>
    <w:uiPriority w:val="99"/>
    <w:unhideWhenUsed/>
    <w:rsid w:val="00062B0F"/>
    <w:pPr>
      <w:tabs>
        <w:tab w:val="center" w:pos="4513"/>
        <w:tab w:val="right" w:pos="9026"/>
      </w:tabs>
      <w:spacing w:after="0"/>
    </w:pPr>
  </w:style>
  <w:style w:type="character" w:customStyle="1" w:styleId="HeaderChar">
    <w:name w:val="Header Char"/>
    <w:basedOn w:val="DefaultParagraphFont"/>
    <w:link w:val="Header"/>
    <w:uiPriority w:val="99"/>
    <w:rsid w:val="00062B0F"/>
  </w:style>
  <w:style w:type="paragraph" w:styleId="Footer">
    <w:name w:val="footer"/>
    <w:basedOn w:val="Normal"/>
    <w:link w:val="FooterChar"/>
    <w:uiPriority w:val="99"/>
    <w:unhideWhenUsed/>
    <w:rsid w:val="00062B0F"/>
    <w:pPr>
      <w:tabs>
        <w:tab w:val="center" w:pos="4513"/>
        <w:tab w:val="right" w:pos="9026"/>
      </w:tabs>
      <w:spacing w:after="0"/>
    </w:pPr>
  </w:style>
  <w:style w:type="character" w:customStyle="1" w:styleId="FooterChar">
    <w:name w:val="Footer Char"/>
    <w:basedOn w:val="DefaultParagraphFont"/>
    <w:link w:val="Footer"/>
    <w:uiPriority w:val="99"/>
    <w:rsid w:val="00062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11244</Words>
  <Characters>64093</Characters>
  <Application>Microsoft Office Word</Application>
  <DocSecurity>0</DocSecurity>
  <Lines>534</Lines>
  <Paragraphs>150</Paragraphs>
  <ScaleCrop>false</ScaleCrop>
  <Company>University of Aberdeen</Company>
  <LinksUpToDate>false</LinksUpToDate>
  <CharactersWithSpaces>75187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Antipova, Daria</dc:creator>
  <cp:keywords/>
  <dc:description/>
  <cp:lastModifiedBy>Antipova, Daria</cp:lastModifiedBy>
  <cp:revision>8</cp:revision>
  <dcterms:created xsi:type="dcterms:W3CDTF">2019-04-23T13:50:00Z</dcterms:created>
  <dcterms:modified xsi:type="dcterms:W3CDTF">2019-08-13T13:02:00Z</dcterms:modified>
</cp:coreProperties>
</file>