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A6A" w:rsidRPr="00FE3A6A" w:rsidRDefault="00FE3A6A" w:rsidP="00FE3A6A">
      <w:pPr>
        <w:spacing w:after="160" w:line="259" w:lineRule="auto"/>
        <w:rPr>
          <w:rFonts w:ascii="Times New Roman" w:eastAsia="Calibri" w:hAnsi="Times New Roman" w:cs="Times New Roman"/>
        </w:rPr>
      </w:pPr>
      <w:r w:rsidRPr="00FE3A6A">
        <w:rPr>
          <w:rFonts w:ascii="Times New Roman" w:eastAsia="Calibri" w:hAnsi="Times New Roman" w:cs="Times New Roman"/>
        </w:rPr>
        <w:t>Additional file 2. Inverse probability weighted regression estimates on the association between religiosity measures and clinically meaningful increase in generic and disease specific HRQOL among survivors of acute coronary syndrome after 1 to 6 months for hospital discharge.</w:t>
      </w:r>
    </w:p>
    <w:tbl>
      <w:tblPr>
        <w:tblStyle w:val="TableGrid1"/>
        <w:tblW w:w="13415" w:type="dxa"/>
        <w:tblInd w:w="-725" w:type="dxa"/>
        <w:tblLook w:val="04A0" w:firstRow="1" w:lastRow="0" w:firstColumn="1" w:lastColumn="0" w:noHBand="0" w:noVBand="1"/>
      </w:tblPr>
      <w:tblGrid>
        <w:gridCol w:w="3327"/>
        <w:gridCol w:w="1628"/>
        <w:gridCol w:w="1800"/>
        <w:gridCol w:w="1800"/>
        <w:gridCol w:w="1588"/>
        <w:gridCol w:w="1652"/>
        <w:gridCol w:w="1620"/>
      </w:tblGrid>
      <w:tr w:rsidR="00FE3A6A" w:rsidRPr="00FE3A6A" w:rsidTr="00F26354">
        <w:tc>
          <w:tcPr>
            <w:tcW w:w="3327" w:type="dxa"/>
            <w:tcBorders>
              <w:top w:val="single" w:sz="12" w:space="0" w:color="auto"/>
              <w:left w:val="nil"/>
              <w:bottom w:val="single" w:sz="12" w:space="0" w:color="auto"/>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 xml:space="preserve">Religiosity Measures </w:t>
            </w:r>
          </w:p>
        </w:tc>
        <w:tc>
          <w:tcPr>
            <w:tcW w:w="3428" w:type="dxa"/>
            <w:gridSpan w:val="2"/>
            <w:tcBorders>
              <w:top w:val="single" w:sz="12" w:space="0" w:color="auto"/>
              <w:left w:val="nil"/>
              <w:bottom w:val="single" w:sz="12" w:space="0" w:color="auto"/>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 xml:space="preserve">Clinically meaningful increase in </w:t>
            </w:r>
          </w:p>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 xml:space="preserve">MCS-QOL </w:t>
            </w:r>
          </w:p>
        </w:tc>
        <w:tc>
          <w:tcPr>
            <w:tcW w:w="3388" w:type="dxa"/>
            <w:gridSpan w:val="2"/>
            <w:tcBorders>
              <w:top w:val="single" w:sz="12" w:space="0" w:color="auto"/>
              <w:left w:val="nil"/>
              <w:bottom w:val="single" w:sz="12" w:space="0" w:color="auto"/>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 xml:space="preserve">Clinically meaningful increase in </w:t>
            </w:r>
          </w:p>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PCS-QOL</w:t>
            </w:r>
          </w:p>
        </w:tc>
        <w:tc>
          <w:tcPr>
            <w:tcW w:w="3272" w:type="dxa"/>
            <w:gridSpan w:val="2"/>
            <w:tcBorders>
              <w:top w:val="single" w:sz="12" w:space="0" w:color="auto"/>
              <w:left w:val="nil"/>
              <w:bottom w:val="single" w:sz="12" w:space="0" w:color="auto"/>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Clinically meaningful increase in SAQ-QOL</w:t>
            </w:r>
          </w:p>
        </w:tc>
      </w:tr>
      <w:tr w:rsidR="00FE3A6A" w:rsidRPr="00FE3A6A" w:rsidTr="00F26354">
        <w:tc>
          <w:tcPr>
            <w:tcW w:w="3327" w:type="dxa"/>
            <w:tcBorders>
              <w:top w:val="single" w:sz="12" w:space="0" w:color="auto"/>
              <w:left w:val="nil"/>
              <w:bottom w:val="single" w:sz="12" w:space="0" w:color="auto"/>
              <w:right w:val="nil"/>
            </w:tcBorders>
          </w:tcPr>
          <w:p w:rsidR="00FE3A6A" w:rsidRPr="00FE3A6A" w:rsidRDefault="00FE3A6A" w:rsidP="00FE3A6A">
            <w:pPr>
              <w:jc w:val="center"/>
              <w:rPr>
                <w:rFonts w:ascii="Times New Roman" w:eastAsia="Calibri" w:hAnsi="Times New Roman" w:cs="Times New Roman"/>
                <w:sz w:val="20"/>
                <w:szCs w:val="20"/>
              </w:rPr>
            </w:pPr>
          </w:p>
        </w:tc>
        <w:tc>
          <w:tcPr>
            <w:tcW w:w="1628" w:type="dxa"/>
            <w:tcBorders>
              <w:top w:val="single" w:sz="12" w:space="0" w:color="auto"/>
              <w:left w:val="nil"/>
              <w:bottom w:val="single" w:sz="12" w:space="0" w:color="auto"/>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Unadjusted model</w:t>
            </w:r>
          </w:p>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OR (95% CI)</w:t>
            </w:r>
          </w:p>
        </w:tc>
        <w:tc>
          <w:tcPr>
            <w:tcW w:w="1800" w:type="dxa"/>
            <w:tcBorders>
              <w:top w:val="single" w:sz="12" w:space="0" w:color="auto"/>
              <w:left w:val="nil"/>
              <w:bottom w:val="single" w:sz="12" w:space="0" w:color="auto"/>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Fully adjusted model*</w:t>
            </w:r>
          </w:p>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OR (95% CI)</w:t>
            </w:r>
          </w:p>
        </w:tc>
        <w:tc>
          <w:tcPr>
            <w:tcW w:w="1800" w:type="dxa"/>
            <w:tcBorders>
              <w:top w:val="single" w:sz="12" w:space="0" w:color="auto"/>
              <w:left w:val="nil"/>
              <w:bottom w:val="single" w:sz="12" w:space="0" w:color="auto"/>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 xml:space="preserve">Unadjusted </w:t>
            </w:r>
          </w:p>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model</w:t>
            </w:r>
          </w:p>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OR (95% CI)</w:t>
            </w:r>
          </w:p>
        </w:tc>
        <w:tc>
          <w:tcPr>
            <w:tcW w:w="1588" w:type="dxa"/>
            <w:tcBorders>
              <w:top w:val="single" w:sz="12" w:space="0" w:color="auto"/>
              <w:left w:val="nil"/>
              <w:bottom w:val="single" w:sz="12" w:space="0" w:color="auto"/>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Fully adjusted model*</w:t>
            </w:r>
          </w:p>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OR (95% CI)</w:t>
            </w:r>
          </w:p>
        </w:tc>
        <w:tc>
          <w:tcPr>
            <w:tcW w:w="1652" w:type="dxa"/>
            <w:tcBorders>
              <w:top w:val="single" w:sz="12" w:space="0" w:color="auto"/>
              <w:left w:val="nil"/>
              <w:bottom w:val="single" w:sz="12" w:space="0" w:color="auto"/>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 xml:space="preserve"> Unadjusted model</w:t>
            </w:r>
          </w:p>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OR (95% CI)</w:t>
            </w:r>
          </w:p>
        </w:tc>
        <w:tc>
          <w:tcPr>
            <w:tcW w:w="1620" w:type="dxa"/>
            <w:tcBorders>
              <w:top w:val="single" w:sz="12" w:space="0" w:color="auto"/>
              <w:left w:val="nil"/>
              <w:bottom w:val="single" w:sz="12" w:space="0" w:color="auto"/>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Fully adjusted model*</w:t>
            </w:r>
          </w:p>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OR (95% CI)</w:t>
            </w:r>
          </w:p>
        </w:tc>
      </w:tr>
      <w:tr w:rsidR="00FE3A6A" w:rsidRPr="00FE3A6A" w:rsidTr="00F26354">
        <w:tc>
          <w:tcPr>
            <w:tcW w:w="3327" w:type="dxa"/>
            <w:tcBorders>
              <w:top w:val="single" w:sz="12" w:space="0" w:color="auto"/>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Strength and comfort from religion</w:t>
            </w:r>
          </w:p>
        </w:tc>
        <w:tc>
          <w:tcPr>
            <w:tcW w:w="1628" w:type="dxa"/>
            <w:tcBorders>
              <w:top w:val="single" w:sz="12" w:space="0" w:color="auto"/>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p>
        </w:tc>
        <w:tc>
          <w:tcPr>
            <w:tcW w:w="1800" w:type="dxa"/>
            <w:tcBorders>
              <w:top w:val="single" w:sz="12" w:space="0" w:color="auto"/>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p>
        </w:tc>
        <w:tc>
          <w:tcPr>
            <w:tcW w:w="1800" w:type="dxa"/>
            <w:tcBorders>
              <w:top w:val="single" w:sz="12" w:space="0" w:color="auto"/>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p>
        </w:tc>
        <w:tc>
          <w:tcPr>
            <w:tcW w:w="1588" w:type="dxa"/>
            <w:tcBorders>
              <w:top w:val="single" w:sz="12" w:space="0" w:color="auto"/>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p>
        </w:tc>
        <w:tc>
          <w:tcPr>
            <w:tcW w:w="1652" w:type="dxa"/>
            <w:tcBorders>
              <w:top w:val="single" w:sz="12" w:space="0" w:color="auto"/>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p>
        </w:tc>
        <w:tc>
          <w:tcPr>
            <w:tcW w:w="1620" w:type="dxa"/>
            <w:tcBorders>
              <w:top w:val="single" w:sz="12" w:space="0" w:color="auto"/>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p>
        </w:tc>
      </w:tr>
      <w:tr w:rsidR="00FE3A6A" w:rsidRPr="00FE3A6A" w:rsidTr="00F26354">
        <w:tc>
          <w:tcPr>
            <w:tcW w:w="3327"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A great deal</w:t>
            </w:r>
          </w:p>
        </w:tc>
        <w:tc>
          <w:tcPr>
            <w:tcW w:w="1628"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1.62 (1.09-2.41)</w:t>
            </w:r>
          </w:p>
        </w:tc>
        <w:tc>
          <w:tcPr>
            <w:tcW w:w="1800"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1.48 (0.95-2.31)</w:t>
            </w:r>
          </w:p>
        </w:tc>
        <w:tc>
          <w:tcPr>
            <w:tcW w:w="1800"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0.79 (0.53-1.16)</w:t>
            </w:r>
          </w:p>
        </w:tc>
        <w:tc>
          <w:tcPr>
            <w:tcW w:w="1588"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0.91 (0.59-1.40)</w:t>
            </w:r>
          </w:p>
        </w:tc>
        <w:tc>
          <w:tcPr>
            <w:tcW w:w="1652"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1.05 (0.69-1.59)</w:t>
            </w:r>
          </w:p>
        </w:tc>
        <w:tc>
          <w:tcPr>
            <w:tcW w:w="1620"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1.01 (0.67-1.66)</w:t>
            </w:r>
          </w:p>
        </w:tc>
      </w:tr>
      <w:tr w:rsidR="00FE3A6A" w:rsidRPr="00FE3A6A" w:rsidTr="00F26354">
        <w:tc>
          <w:tcPr>
            <w:tcW w:w="3327"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Little/Some</w:t>
            </w:r>
          </w:p>
        </w:tc>
        <w:tc>
          <w:tcPr>
            <w:tcW w:w="1628"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1.06 (0.70-1.61)</w:t>
            </w:r>
          </w:p>
        </w:tc>
        <w:tc>
          <w:tcPr>
            <w:tcW w:w="1800"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1.03 (0.67-1.59)</w:t>
            </w:r>
          </w:p>
        </w:tc>
        <w:tc>
          <w:tcPr>
            <w:tcW w:w="1800"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1.05 (0.70-1.58)</w:t>
            </w:r>
          </w:p>
        </w:tc>
        <w:tc>
          <w:tcPr>
            <w:tcW w:w="1588"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1.12 (0.74-1.71)</w:t>
            </w:r>
          </w:p>
        </w:tc>
        <w:tc>
          <w:tcPr>
            <w:tcW w:w="1652"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0.77 (0.49-1.59)</w:t>
            </w:r>
          </w:p>
        </w:tc>
        <w:tc>
          <w:tcPr>
            <w:tcW w:w="1620"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0.74 (0.46-1.17)</w:t>
            </w:r>
          </w:p>
        </w:tc>
      </w:tr>
      <w:tr w:rsidR="00FE3A6A" w:rsidRPr="00FE3A6A" w:rsidTr="00F26354">
        <w:tc>
          <w:tcPr>
            <w:tcW w:w="3327"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None</w:t>
            </w:r>
          </w:p>
        </w:tc>
        <w:tc>
          <w:tcPr>
            <w:tcW w:w="1628"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 xml:space="preserve">Ref </w:t>
            </w:r>
          </w:p>
        </w:tc>
        <w:tc>
          <w:tcPr>
            <w:tcW w:w="1800"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Ref</w:t>
            </w:r>
          </w:p>
        </w:tc>
        <w:tc>
          <w:tcPr>
            <w:tcW w:w="1800"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Ref</w:t>
            </w:r>
          </w:p>
        </w:tc>
        <w:tc>
          <w:tcPr>
            <w:tcW w:w="1588"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Ref</w:t>
            </w:r>
          </w:p>
        </w:tc>
        <w:tc>
          <w:tcPr>
            <w:tcW w:w="1652"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Ref</w:t>
            </w:r>
          </w:p>
        </w:tc>
        <w:tc>
          <w:tcPr>
            <w:tcW w:w="1620"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Ref</w:t>
            </w:r>
          </w:p>
        </w:tc>
      </w:tr>
      <w:tr w:rsidR="00FE3A6A" w:rsidRPr="00FE3A6A" w:rsidTr="00F26354">
        <w:tc>
          <w:tcPr>
            <w:tcW w:w="3327"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Petition Prayers for health</w:t>
            </w:r>
          </w:p>
        </w:tc>
        <w:tc>
          <w:tcPr>
            <w:tcW w:w="1628"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p>
        </w:tc>
        <w:tc>
          <w:tcPr>
            <w:tcW w:w="1800"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p>
        </w:tc>
        <w:tc>
          <w:tcPr>
            <w:tcW w:w="1800"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p>
        </w:tc>
        <w:tc>
          <w:tcPr>
            <w:tcW w:w="1588"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p>
        </w:tc>
        <w:tc>
          <w:tcPr>
            <w:tcW w:w="1652"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p>
        </w:tc>
        <w:tc>
          <w:tcPr>
            <w:tcW w:w="1620"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p>
        </w:tc>
      </w:tr>
      <w:tr w:rsidR="00FE3A6A" w:rsidRPr="00FE3A6A" w:rsidTr="00F26354">
        <w:tc>
          <w:tcPr>
            <w:tcW w:w="3327"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 xml:space="preserve">Yes </w:t>
            </w:r>
          </w:p>
        </w:tc>
        <w:tc>
          <w:tcPr>
            <w:tcW w:w="1628"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1.30 (0.99-1.70)</w:t>
            </w:r>
          </w:p>
        </w:tc>
        <w:tc>
          <w:tcPr>
            <w:tcW w:w="1800"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1.12 (0.84-1.51)</w:t>
            </w:r>
          </w:p>
        </w:tc>
        <w:tc>
          <w:tcPr>
            <w:tcW w:w="1800"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0.89 (0.68-1.16)</w:t>
            </w:r>
          </w:p>
        </w:tc>
        <w:tc>
          <w:tcPr>
            <w:tcW w:w="1588"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1.07 (0.80-1.43)</w:t>
            </w:r>
          </w:p>
        </w:tc>
        <w:tc>
          <w:tcPr>
            <w:tcW w:w="1652"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1.54 (1.13-2.09)</w:t>
            </w:r>
          </w:p>
        </w:tc>
        <w:tc>
          <w:tcPr>
            <w:tcW w:w="1620"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1.50 (1.09-2.06)</w:t>
            </w:r>
          </w:p>
        </w:tc>
      </w:tr>
      <w:tr w:rsidR="00FE3A6A" w:rsidRPr="00FE3A6A" w:rsidTr="00F26354">
        <w:tc>
          <w:tcPr>
            <w:tcW w:w="3327"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No</w:t>
            </w:r>
          </w:p>
        </w:tc>
        <w:tc>
          <w:tcPr>
            <w:tcW w:w="1628"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Ref</w:t>
            </w:r>
          </w:p>
        </w:tc>
        <w:tc>
          <w:tcPr>
            <w:tcW w:w="1800"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Ref</w:t>
            </w:r>
          </w:p>
        </w:tc>
        <w:tc>
          <w:tcPr>
            <w:tcW w:w="1800"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Ref</w:t>
            </w:r>
          </w:p>
        </w:tc>
        <w:tc>
          <w:tcPr>
            <w:tcW w:w="1588"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Ref</w:t>
            </w:r>
          </w:p>
        </w:tc>
        <w:tc>
          <w:tcPr>
            <w:tcW w:w="1652"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Ref</w:t>
            </w:r>
          </w:p>
        </w:tc>
        <w:tc>
          <w:tcPr>
            <w:tcW w:w="1620"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Ref</w:t>
            </w:r>
          </w:p>
        </w:tc>
      </w:tr>
      <w:tr w:rsidR="00FE3A6A" w:rsidRPr="00FE3A6A" w:rsidTr="00F26354">
        <w:tc>
          <w:tcPr>
            <w:tcW w:w="3327"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Intercessory Prayers for health</w:t>
            </w:r>
          </w:p>
        </w:tc>
        <w:tc>
          <w:tcPr>
            <w:tcW w:w="1628"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p>
        </w:tc>
        <w:tc>
          <w:tcPr>
            <w:tcW w:w="1800"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p>
        </w:tc>
        <w:tc>
          <w:tcPr>
            <w:tcW w:w="1800"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p>
        </w:tc>
        <w:tc>
          <w:tcPr>
            <w:tcW w:w="1588"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p>
        </w:tc>
        <w:tc>
          <w:tcPr>
            <w:tcW w:w="1652"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p>
        </w:tc>
        <w:tc>
          <w:tcPr>
            <w:tcW w:w="1620"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p>
        </w:tc>
      </w:tr>
      <w:tr w:rsidR="00FE3A6A" w:rsidRPr="00FE3A6A" w:rsidTr="00F26354">
        <w:tc>
          <w:tcPr>
            <w:tcW w:w="3327"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Yes</w:t>
            </w:r>
          </w:p>
        </w:tc>
        <w:tc>
          <w:tcPr>
            <w:tcW w:w="1628"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1.53 (1.01-2.32)</w:t>
            </w:r>
          </w:p>
        </w:tc>
        <w:tc>
          <w:tcPr>
            <w:tcW w:w="1800"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1.35 (0.88-2.06)</w:t>
            </w:r>
          </w:p>
        </w:tc>
        <w:tc>
          <w:tcPr>
            <w:tcW w:w="1800"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1.53 (1.00-2.33)</w:t>
            </w:r>
          </w:p>
        </w:tc>
        <w:tc>
          <w:tcPr>
            <w:tcW w:w="1588"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1.70 (1.10-2.61)</w:t>
            </w:r>
          </w:p>
        </w:tc>
        <w:tc>
          <w:tcPr>
            <w:tcW w:w="1652"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1.41 (0.87-2.29)</w:t>
            </w:r>
          </w:p>
        </w:tc>
        <w:tc>
          <w:tcPr>
            <w:tcW w:w="1620" w:type="dxa"/>
            <w:tcBorders>
              <w:top w:val="nil"/>
              <w:left w:val="nil"/>
              <w:bottom w:val="nil"/>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1.35 (0.82-2.23)</w:t>
            </w:r>
          </w:p>
        </w:tc>
      </w:tr>
      <w:tr w:rsidR="00FE3A6A" w:rsidRPr="00FE3A6A" w:rsidTr="00F26354">
        <w:tc>
          <w:tcPr>
            <w:tcW w:w="3327" w:type="dxa"/>
            <w:tcBorders>
              <w:top w:val="nil"/>
              <w:left w:val="nil"/>
              <w:bottom w:val="single" w:sz="12" w:space="0" w:color="auto"/>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No</w:t>
            </w:r>
          </w:p>
        </w:tc>
        <w:tc>
          <w:tcPr>
            <w:tcW w:w="1628" w:type="dxa"/>
            <w:tcBorders>
              <w:top w:val="nil"/>
              <w:left w:val="nil"/>
              <w:bottom w:val="single" w:sz="12" w:space="0" w:color="auto"/>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Ref</w:t>
            </w:r>
          </w:p>
        </w:tc>
        <w:tc>
          <w:tcPr>
            <w:tcW w:w="1800" w:type="dxa"/>
            <w:tcBorders>
              <w:top w:val="nil"/>
              <w:left w:val="nil"/>
              <w:bottom w:val="single" w:sz="12" w:space="0" w:color="auto"/>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Ref</w:t>
            </w:r>
          </w:p>
        </w:tc>
        <w:tc>
          <w:tcPr>
            <w:tcW w:w="1800" w:type="dxa"/>
            <w:tcBorders>
              <w:top w:val="nil"/>
              <w:left w:val="nil"/>
              <w:bottom w:val="single" w:sz="12" w:space="0" w:color="auto"/>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Ref</w:t>
            </w:r>
          </w:p>
        </w:tc>
        <w:tc>
          <w:tcPr>
            <w:tcW w:w="1588" w:type="dxa"/>
            <w:tcBorders>
              <w:top w:val="nil"/>
              <w:left w:val="nil"/>
              <w:bottom w:val="single" w:sz="12" w:space="0" w:color="auto"/>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Ref</w:t>
            </w:r>
          </w:p>
        </w:tc>
        <w:tc>
          <w:tcPr>
            <w:tcW w:w="1652" w:type="dxa"/>
            <w:tcBorders>
              <w:top w:val="nil"/>
              <w:left w:val="nil"/>
              <w:bottom w:val="single" w:sz="12" w:space="0" w:color="auto"/>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Ref</w:t>
            </w:r>
          </w:p>
        </w:tc>
        <w:tc>
          <w:tcPr>
            <w:tcW w:w="1620" w:type="dxa"/>
            <w:tcBorders>
              <w:top w:val="nil"/>
              <w:left w:val="nil"/>
              <w:bottom w:val="single" w:sz="12" w:space="0" w:color="auto"/>
              <w:right w:val="nil"/>
            </w:tcBorders>
          </w:tcPr>
          <w:p w:rsidR="00FE3A6A" w:rsidRPr="00FE3A6A" w:rsidRDefault="00FE3A6A" w:rsidP="00FE3A6A">
            <w:pPr>
              <w:jc w:val="center"/>
              <w:rPr>
                <w:rFonts w:ascii="Times New Roman" w:eastAsia="Calibri" w:hAnsi="Times New Roman" w:cs="Times New Roman"/>
                <w:sz w:val="20"/>
                <w:szCs w:val="20"/>
              </w:rPr>
            </w:pPr>
            <w:r w:rsidRPr="00FE3A6A">
              <w:rPr>
                <w:rFonts w:ascii="Times New Roman" w:eastAsia="Calibri" w:hAnsi="Times New Roman" w:cs="Times New Roman"/>
                <w:sz w:val="20"/>
                <w:szCs w:val="20"/>
              </w:rPr>
              <w:t>Ref</w:t>
            </w:r>
          </w:p>
        </w:tc>
      </w:tr>
      <w:tr w:rsidR="00FE3A6A" w:rsidRPr="00FE3A6A" w:rsidTr="00F26354">
        <w:tc>
          <w:tcPr>
            <w:tcW w:w="13415" w:type="dxa"/>
            <w:gridSpan w:val="7"/>
            <w:tcBorders>
              <w:top w:val="single" w:sz="12" w:space="0" w:color="auto"/>
              <w:left w:val="nil"/>
              <w:bottom w:val="single" w:sz="12" w:space="0" w:color="auto"/>
              <w:right w:val="nil"/>
            </w:tcBorders>
          </w:tcPr>
          <w:p w:rsidR="00FE3A6A" w:rsidRPr="00FE3A6A" w:rsidRDefault="00FE3A6A" w:rsidP="00FE3A6A">
            <w:pPr>
              <w:rPr>
                <w:rFonts w:ascii="Times New Roman" w:eastAsia="Calibri" w:hAnsi="Times New Roman" w:cs="Times New Roman"/>
                <w:sz w:val="18"/>
                <w:szCs w:val="18"/>
              </w:rPr>
            </w:pPr>
            <w:r w:rsidRPr="00FE3A6A">
              <w:rPr>
                <w:rFonts w:ascii="Times New Roman" w:eastAsia="Calibri" w:hAnsi="Times New Roman" w:cs="Times New Roman"/>
                <w:sz w:val="18"/>
                <w:szCs w:val="18"/>
              </w:rPr>
              <w:t>*Adjusted for sex, race/ethnicity, perceived stress, symptoms of depression and anxiety, length of index hospitalization, type of ACS, GRACE-risk score, receipt of reperfusion therapy and study sites.</w:t>
            </w:r>
          </w:p>
        </w:tc>
      </w:tr>
    </w:tbl>
    <w:p w:rsidR="00FE3A6A" w:rsidRPr="00FE3A6A" w:rsidRDefault="00FE3A6A" w:rsidP="00FE3A6A">
      <w:pPr>
        <w:spacing w:after="160" w:line="259" w:lineRule="auto"/>
        <w:rPr>
          <w:rFonts w:ascii="Calibri" w:eastAsia="Calibri" w:hAnsi="Calibri" w:cs="Times New Roman"/>
        </w:rPr>
      </w:pPr>
    </w:p>
    <w:p w:rsidR="00FE3A6A" w:rsidRPr="00FE3A6A" w:rsidRDefault="00FE3A6A" w:rsidP="00FE3A6A">
      <w:pPr>
        <w:spacing w:after="160" w:line="259" w:lineRule="auto"/>
        <w:rPr>
          <w:rFonts w:ascii="Calibri" w:eastAsia="Calibri" w:hAnsi="Calibri" w:cs="Times New Roman"/>
        </w:rPr>
      </w:pPr>
    </w:p>
    <w:p w:rsidR="00FE3A6A" w:rsidRPr="00FE3A6A" w:rsidRDefault="00FE3A6A" w:rsidP="00FE3A6A">
      <w:pPr>
        <w:spacing w:after="160" w:line="259" w:lineRule="auto"/>
        <w:rPr>
          <w:rFonts w:ascii="Calibri" w:eastAsia="Calibri" w:hAnsi="Calibri" w:cs="Times New Roman"/>
        </w:rPr>
      </w:pPr>
    </w:p>
    <w:p w:rsidR="00FE3A6A" w:rsidRPr="00FE3A6A" w:rsidRDefault="00FE3A6A" w:rsidP="00FE3A6A">
      <w:pPr>
        <w:spacing w:after="160" w:line="259" w:lineRule="auto"/>
        <w:rPr>
          <w:rFonts w:ascii="Calibri" w:eastAsia="Calibri" w:hAnsi="Calibri" w:cs="Times New Roman"/>
        </w:rPr>
      </w:pPr>
    </w:p>
    <w:p w:rsidR="00CC5F77" w:rsidRDefault="00FE3A6A">
      <w:bookmarkStart w:id="0" w:name="_GoBack"/>
      <w:bookmarkEnd w:id="0"/>
    </w:p>
    <w:sectPr w:rsidR="00CC5F77" w:rsidSect="00FE3A6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6A"/>
    <w:rsid w:val="003615B5"/>
    <w:rsid w:val="005D31E8"/>
    <w:rsid w:val="00FE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EBC1C-804E-44F0-94B9-9A114DDF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FE3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semiHidden/>
    <w:unhideWhenUsed/>
    <w:rsid w:val="00FE3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Hawa</dc:creator>
  <cp:keywords/>
  <dc:description/>
  <cp:lastModifiedBy>Abu, Hawa</cp:lastModifiedBy>
  <cp:revision>1</cp:revision>
  <dcterms:created xsi:type="dcterms:W3CDTF">2019-06-13T22:35:00Z</dcterms:created>
  <dcterms:modified xsi:type="dcterms:W3CDTF">2019-06-13T22:35:00Z</dcterms:modified>
</cp:coreProperties>
</file>