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16" w:rsidRPr="00457E7C" w:rsidRDefault="00E67216" w:rsidP="00E67216">
      <w:pPr>
        <w:jc w:val="both"/>
      </w:pPr>
    </w:p>
    <w:tbl>
      <w:tblPr>
        <w:tblW w:w="7508" w:type="dxa"/>
        <w:tblLook w:val="04A0" w:firstRow="1" w:lastRow="0" w:firstColumn="1" w:lastColumn="0" w:noHBand="0" w:noVBand="1"/>
      </w:tblPr>
      <w:tblGrid>
        <w:gridCol w:w="1271"/>
        <w:gridCol w:w="1985"/>
        <w:gridCol w:w="2126"/>
        <w:gridCol w:w="2126"/>
      </w:tblGrid>
      <w:tr w:rsidR="00E67216" w:rsidRPr="00457E7C" w:rsidTr="003028A8">
        <w:trPr>
          <w:trHeight w:val="300"/>
        </w:trPr>
        <w:tc>
          <w:tcPr>
            <w:tcW w:w="7508" w:type="dxa"/>
            <w:gridSpan w:val="4"/>
            <w:tcBorders>
              <w:bottom w:val="single" w:sz="4" w:space="0" w:color="auto"/>
            </w:tcBorders>
            <w:shd w:val="clear" w:color="auto" w:fill="auto"/>
            <w:noWrap/>
            <w:vAlign w:val="bottom"/>
          </w:tcPr>
          <w:p w:rsidR="00E67216" w:rsidRPr="00F80069" w:rsidRDefault="00E67216" w:rsidP="0084329D">
            <w:pPr>
              <w:jc w:val="both"/>
              <w:rPr>
                <w:b/>
              </w:rPr>
            </w:pPr>
            <w:r>
              <w:rPr>
                <w:b/>
              </w:rPr>
              <w:t>Additional File 4</w:t>
            </w:r>
            <w:r w:rsidRPr="00F80069">
              <w:rPr>
                <w:b/>
              </w:rPr>
              <w:t>: Undiscounted potential years of life lost from EVD assuming DRC life expectancy</w:t>
            </w:r>
          </w:p>
        </w:tc>
      </w:tr>
      <w:tr w:rsidR="00E67216" w:rsidRPr="00457E7C" w:rsidTr="003028A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16" w:rsidRPr="00E67216" w:rsidRDefault="00E67216" w:rsidP="0084329D">
            <w:pPr>
              <w:jc w:val="both"/>
              <w:rPr>
                <w:b/>
              </w:rPr>
            </w:pPr>
            <w:r w:rsidRPr="00E67216">
              <w:rPr>
                <w:b/>
              </w:rPr>
              <w:t>Age Group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16" w:rsidRPr="00E67216" w:rsidRDefault="00E67216" w:rsidP="0084329D">
            <w:pPr>
              <w:jc w:val="both"/>
              <w:rPr>
                <w:b/>
              </w:rPr>
            </w:pPr>
            <w:r w:rsidRPr="00E67216">
              <w:rPr>
                <w:b/>
              </w:rPr>
              <w:t>(A). Group average age at death</w:t>
            </w:r>
          </w:p>
        </w:tc>
        <w:tc>
          <w:tcPr>
            <w:tcW w:w="2126" w:type="dxa"/>
            <w:tcBorders>
              <w:top w:val="single" w:sz="4" w:space="0" w:color="auto"/>
              <w:left w:val="nil"/>
              <w:bottom w:val="single" w:sz="4" w:space="0" w:color="auto"/>
              <w:right w:val="single" w:sz="4" w:space="0" w:color="auto"/>
            </w:tcBorders>
          </w:tcPr>
          <w:p w:rsidR="00E67216" w:rsidRPr="00E67216" w:rsidRDefault="00E67216" w:rsidP="0084329D">
            <w:pPr>
              <w:jc w:val="both"/>
              <w:rPr>
                <w:b/>
              </w:rPr>
            </w:pPr>
            <w:r w:rsidRPr="00E67216">
              <w:rPr>
                <w:b/>
              </w:rPr>
              <w:t>(B). Yea</w:t>
            </w:r>
            <w:bookmarkStart w:id="0" w:name="_GoBack"/>
            <w:bookmarkEnd w:id="0"/>
            <w:r w:rsidRPr="00E67216">
              <w:rPr>
                <w:b/>
              </w:rPr>
              <w:t>rs of Life Lost [C=60.5years - A)]</w:t>
            </w:r>
          </w:p>
        </w:tc>
        <w:tc>
          <w:tcPr>
            <w:tcW w:w="2126" w:type="dxa"/>
            <w:tcBorders>
              <w:top w:val="single" w:sz="4" w:space="0" w:color="auto"/>
              <w:left w:val="nil"/>
              <w:bottom w:val="single" w:sz="4" w:space="0" w:color="auto"/>
              <w:right w:val="single" w:sz="4" w:space="0" w:color="auto"/>
            </w:tcBorders>
          </w:tcPr>
          <w:p w:rsidR="00E67216" w:rsidRPr="00E67216" w:rsidRDefault="00E67216" w:rsidP="0084329D">
            <w:pPr>
              <w:jc w:val="both"/>
              <w:rPr>
                <w:b/>
              </w:rPr>
            </w:pPr>
            <w:r w:rsidRPr="00E67216">
              <w:rPr>
                <w:b/>
              </w:rPr>
              <w:t>(C). Potentially Productive Years of Life Lost</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1 – 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2.5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58</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46.5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5 – 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53.5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46.5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10 – 14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12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48.5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46.5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15 – 19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17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43.5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43.5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20 – 24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22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38.5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38.5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25 – 29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27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33.5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33.5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30 – 34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32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28.5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28.5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35 – 39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37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23.5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23.5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40 – 44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42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18.5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18.5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45 – 49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47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13.5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13.5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50 – 54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52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8.5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8.5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55 – 59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57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3.5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3.5</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60 – 64</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62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65 – 69</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67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70 – 74</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72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75 – 79</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77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80 – 84*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82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85 – 89</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87</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90 – 94</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92</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r w:rsidR="00E67216" w:rsidRPr="00457E7C" w:rsidTr="0084329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=&gt;95</w:t>
            </w:r>
            <w:r w:rsidRPr="00457E7C">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67216" w:rsidRPr="00457E7C" w:rsidRDefault="00E67216" w:rsidP="0084329D">
            <w:pPr>
              <w:jc w:val="both"/>
            </w:pPr>
            <w:r w:rsidRPr="00457E7C">
              <w:t>95</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c>
          <w:tcPr>
            <w:tcW w:w="2126" w:type="dxa"/>
            <w:tcBorders>
              <w:top w:val="nil"/>
              <w:left w:val="nil"/>
              <w:bottom w:val="single" w:sz="4" w:space="0" w:color="auto"/>
              <w:right w:val="single" w:sz="4" w:space="0" w:color="auto"/>
            </w:tcBorders>
          </w:tcPr>
          <w:p w:rsidR="00E67216" w:rsidRPr="00457E7C" w:rsidRDefault="00E67216" w:rsidP="0084329D">
            <w:pPr>
              <w:jc w:val="both"/>
            </w:pPr>
            <w:r w:rsidRPr="00457E7C">
              <w:t>0</w:t>
            </w:r>
          </w:p>
        </w:tc>
      </w:tr>
    </w:tbl>
    <w:p w:rsidR="004B591B" w:rsidRDefault="00E67216">
      <w:r w:rsidRPr="00457E7C">
        <w:t xml:space="preserve">Source: </w:t>
      </w:r>
      <w:r>
        <w:t>Authors calculations</w:t>
      </w:r>
      <w:r w:rsidRPr="00457E7C">
        <w:t xml:space="preserve">. Note: </w:t>
      </w:r>
      <w:r w:rsidRPr="00457E7C">
        <w:rPr>
          <w:vertAlign w:val="superscript"/>
        </w:rPr>
        <w:t>*</w:t>
      </w:r>
      <w:r w:rsidRPr="00457E7C">
        <w:t>PYLL cannot be negative. Thus, for age groups with average age at death greater than DRC life average life expectancy of 60.5 years, their PYLL are assumed to be equal to zero [31].</w:t>
      </w:r>
    </w:p>
    <w:sectPr w:rsidR="004B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16"/>
    <w:rsid w:val="003028A8"/>
    <w:rsid w:val="00474B30"/>
    <w:rsid w:val="00504031"/>
    <w:rsid w:val="00514542"/>
    <w:rsid w:val="00694317"/>
    <w:rsid w:val="006C67C4"/>
    <w:rsid w:val="00B818DC"/>
    <w:rsid w:val="00BD46CA"/>
    <w:rsid w:val="00D20BBC"/>
    <w:rsid w:val="00D719E6"/>
    <w:rsid w:val="00E67216"/>
    <w:rsid w:val="00F3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C6F02-2CD6-4579-A822-70078439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tbc admin</dc:creator>
  <cp:keywords/>
  <dc:description/>
  <cp:lastModifiedBy>tbc admin</cp:lastModifiedBy>
  <cp:revision>2</cp:revision>
  <dcterms:created xsi:type="dcterms:W3CDTF">2019-08-15T15:15:00Z</dcterms:created>
  <dcterms:modified xsi:type="dcterms:W3CDTF">2019-08-15T15:43:00Z</dcterms:modified>
</cp:coreProperties>
</file>