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65EB" w14:textId="451BC215" w:rsidR="00AF054D" w:rsidRPr="003A6822" w:rsidRDefault="00555156" w:rsidP="00AF054D">
      <w:pPr>
        <w:pStyle w:val="Heading1"/>
        <w:rPr>
          <w:rFonts w:asciiTheme="majorHAnsi" w:hAnsiTheme="majorHAnsi"/>
          <w:color w:val="365F91" w:themeColor="accent1" w:themeShade="BF"/>
          <w:sz w:val="28"/>
          <w:lang w:val="en-US"/>
        </w:rPr>
      </w:pPr>
      <w:r>
        <w:rPr>
          <w:rFonts w:asciiTheme="majorHAnsi" w:hAnsiTheme="majorHAnsi"/>
          <w:color w:val="365F91" w:themeColor="accent1" w:themeShade="BF"/>
          <w:sz w:val="28"/>
          <w:lang w:val="en-US"/>
        </w:rPr>
        <w:t>Additional File</w:t>
      </w:r>
    </w:p>
    <w:p w14:paraId="132AD50F" w14:textId="6A3B8F02" w:rsidR="00AF054D" w:rsidRPr="003A6822" w:rsidRDefault="001F32F0" w:rsidP="00AF05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 w:rsidRPr="001F32F0">
        <w:rPr>
          <w:noProof/>
          <w:lang w:val="en-IN" w:eastAsia="en-IN"/>
        </w:rPr>
        <w:drawing>
          <wp:inline distT="0" distB="0" distL="0" distR="0" wp14:anchorId="5A880ED2" wp14:editId="298AA823">
            <wp:extent cx="5731510" cy="575684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5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52CC" w14:textId="77777777" w:rsidR="00AF054D" w:rsidRPr="00274A3C" w:rsidRDefault="00AF054D" w:rsidP="00274A3C">
      <w:pPr>
        <w:pStyle w:val="Heading2"/>
        <w:spacing w:before="0" w:line="480" w:lineRule="auto"/>
        <w:rPr>
          <w:lang w:val="en-US"/>
        </w:rPr>
      </w:pPr>
      <w:r w:rsidRPr="003A6822">
        <w:rPr>
          <w:lang w:val="en-US"/>
        </w:rPr>
        <w:t xml:space="preserve">Figure S1: VAC054 dC-1 ELISA results, converted to </w:t>
      </w:r>
      <w:r w:rsidR="004A6E21">
        <w:rPr>
          <w:lang w:val="en-US"/>
        </w:rPr>
        <w:t>a</w:t>
      </w:r>
      <w:r w:rsidRPr="003A6822">
        <w:rPr>
          <w:lang w:val="en-US"/>
        </w:rPr>
        <w:t xml:space="preserve">nti-AMA1 (3D7) </w:t>
      </w:r>
      <w:proofErr w:type="spellStart"/>
      <w:r w:rsidRPr="003A6822">
        <w:rPr>
          <w:lang w:val="en-US"/>
        </w:rPr>
        <w:t>IgG</w:t>
      </w:r>
      <w:proofErr w:type="spellEnd"/>
      <w:r w:rsidRPr="003A6822">
        <w:rPr>
          <w:lang w:val="en-US"/>
        </w:rPr>
        <w:t xml:space="preserve"> (</w:t>
      </w:r>
      <w:proofErr w:type="spellStart"/>
      <w:r w:rsidRPr="003A6822">
        <w:rPr>
          <w:lang w:val="en-US"/>
        </w:rPr>
        <w:t>μg</w:t>
      </w:r>
      <w:proofErr w:type="spellEnd"/>
      <w:r w:rsidRPr="003A6822">
        <w:rPr>
          <w:lang w:val="en-US"/>
        </w:rPr>
        <w:t xml:space="preserve">/mL) using independent </w:t>
      </w:r>
      <w:proofErr w:type="spellStart"/>
      <w:r w:rsidRPr="003A6822">
        <w:rPr>
          <w:lang w:val="en-US"/>
        </w:rPr>
        <w:t>vs</w:t>
      </w:r>
      <w:proofErr w:type="spellEnd"/>
      <w:r w:rsidRPr="003A6822">
        <w:rPr>
          <w:lang w:val="en-US"/>
        </w:rPr>
        <w:t xml:space="preserve"> harmonized conversion factors.</w:t>
      </w:r>
    </w:p>
    <w:p w14:paraId="3E415EB6" w14:textId="31AD84F3" w:rsidR="00AF054D" w:rsidRDefault="00AF054D" w:rsidP="00E775AE">
      <w:pPr>
        <w:spacing w:after="0" w:line="480" w:lineRule="auto"/>
        <w:rPr>
          <w:lang w:val="en-US"/>
        </w:rPr>
      </w:pPr>
      <w:r w:rsidRPr="003A6822">
        <w:rPr>
          <w:rFonts w:cs="Calibri"/>
          <w:lang w:val="en-US"/>
        </w:rPr>
        <w:t>Spearman’s correlation and linear regression analyses</w:t>
      </w:r>
      <w:r w:rsidRPr="003A6822">
        <w:rPr>
          <w:lang w:val="en-US"/>
        </w:rPr>
        <w:t xml:space="preserve"> of ELISA data (n</w:t>
      </w:r>
      <w:r w:rsidR="004A6E21">
        <w:rPr>
          <w:lang w:val="en-US"/>
        </w:rPr>
        <w:t xml:space="preserve"> </w:t>
      </w:r>
      <w:r w:rsidRPr="003A6822">
        <w:rPr>
          <w:lang w:val="en-US"/>
        </w:rPr>
        <w:t>=</w:t>
      </w:r>
      <w:r w:rsidR="004A6E21">
        <w:rPr>
          <w:lang w:val="en-US"/>
        </w:rPr>
        <w:t xml:space="preserve"> </w:t>
      </w:r>
      <w:r w:rsidRPr="003A6822">
        <w:rPr>
          <w:lang w:val="en-US"/>
        </w:rPr>
        <w:t>12) from the three laboratories when applying independently established, versus harmonized conversion factors. Data from independently established conversion factors, showing corre</w:t>
      </w:r>
      <w:r w:rsidR="00CF70AB">
        <w:rPr>
          <w:lang w:val="en-US"/>
        </w:rPr>
        <w:t>lated not concordant results, are</w:t>
      </w:r>
      <w:r w:rsidRPr="003A6822">
        <w:rPr>
          <w:lang w:val="en-US"/>
        </w:rPr>
        <w:t xml:space="preserve"> i</w:t>
      </w:r>
      <w:r w:rsidR="00CF70AB">
        <w:rPr>
          <w:lang w:val="en-US"/>
        </w:rPr>
        <w:t>ncluded here for clarity but were</w:t>
      </w:r>
      <w:r w:rsidRPr="003A6822">
        <w:rPr>
          <w:lang w:val="en-US"/>
        </w:rPr>
        <w:t xml:space="preserve"> previously published</w:t>
      </w:r>
      <w:r w:rsidR="00F82643" w:rsidRPr="003A6822">
        <w:rPr>
          <w:lang w:val="en-US"/>
        </w:rPr>
        <w:t xml:space="preserve"> in</w:t>
      </w:r>
      <w:r w:rsidRPr="003A6822">
        <w:rPr>
          <w:lang w:val="en-US"/>
        </w:rPr>
        <w:t xml:space="preserve"> </w:t>
      </w:r>
      <w:r w:rsidR="00F82643" w:rsidRPr="003A6822">
        <w:rPr>
          <w:lang w:val="en-US"/>
        </w:rPr>
        <w:fldChar w:fldCharType="begin">
          <w:fldData xml:space="preserve">PEVuZE5vdGU+PENpdGU+PEF1dGhvcj5QYXluZTwvQXV0aG9yPjxZZWFyPjIwMTY8L1llYXI+PFJl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=
</w:fldData>
        </w:fldChar>
      </w:r>
      <w:r w:rsidR="000C23D4">
        <w:rPr>
          <w:lang w:val="en-US"/>
        </w:rPr>
        <w:instrText xml:space="preserve"> ADDIN EN.CITE </w:instrText>
      </w:r>
      <w:r w:rsidR="000C23D4">
        <w:rPr>
          <w:lang w:val="en-US"/>
        </w:rPr>
        <w:fldChar w:fldCharType="begin">
          <w:fldData xml:space="preserve">PEVuZE5vdGU+PENpdGU+PEF1dGhvcj5QYXluZTwvQXV0aG9yPjxZZWFyPjIwMTY8L1llYXI+PFJl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=
</w:fldData>
        </w:fldChar>
      </w:r>
      <w:r w:rsidR="000C23D4">
        <w:rPr>
          <w:lang w:val="en-US"/>
        </w:rPr>
        <w:instrText xml:space="preserve"> ADDIN EN.CITE.DATA </w:instrText>
      </w:r>
      <w:r w:rsidR="000C23D4">
        <w:rPr>
          <w:lang w:val="en-US"/>
        </w:rPr>
      </w:r>
      <w:r w:rsidR="000C23D4">
        <w:rPr>
          <w:lang w:val="en-US"/>
        </w:rPr>
        <w:fldChar w:fldCharType="end"/>
      </w:r>
      <w:r w:rsidR="00F82643" w:rsidRPr="003A6822">
        <w:rPr>
          <w:lang w:val="en-US"/>
        </w:rPr>
      </w:r>
      <w:r w:rsidR="00F82643" w:rsidRPr="003A6822">
        <w:rPr>
          <w:lang w:val="en-US"/>
        </w:rPr>
        <w:fldChar w:fldCharType="separate"/>
      </w:r>
      <w:r w:rsidR="000C23D4">
        <w:rPr>
          <w:noProof/>
          <w:lang w:val="en-US"/>
        </w:rPr>
        <w:t>[1]</w:t>
      </w:r>
      <w:r w:rsidR="00F82643" w:rsidRPr="003A6822">
        <w:rPr>
          <w:lang w:val="en-US"/>
        </w:rPr>
        <w:fldChar w:fldCharType="end"/>
      </w:r>
      <w:r w:rsidRPr="003A6822">
        <w:rPr>
          <w:lang w:val="en-US"/>
        </w:rPr>
        <w:t xml:space="preserve">. </w:t>
      </w:r>
      <w:r w:rsidR="001F32F0">
        <w:rPr>
          <w:lang w:val="en-US"/>
        </w:rPr>
        <w:t>Reference lines of equality are plotted as a dashed line.</w:t>
      </w:r>
    </w:p>
    <w:p w14:paraId="6CDB36AB" w14:textId="77777777" w:rsidR="00274A3C" w:rsidRDefault="00274A3C" w:rsidP="00E775AE">
      <w:pPr>
        <w:spacing w:after="0" w:line="480" w:lineRule="auto"/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2236"/>
        <w:gridCol w:w="2237"/>
        <w:gridCol w:w="2237"/>
      </w:tblGrid>
      <w:tr w:rsidR="00274A3C" w14:paraId="425CF450" w14:textId="77777777" w:rsidTr="003D3B8D"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D340F" w14:textId="77777777" w:rsidR="00274A3C" w:rsidRPr="00CF70AB" w:rsidRDefault="00274A3C" w:rsidP="00CF70AB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23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B52F9B1" w14:textId="77777777" w:rsidR="00274A3C" w:rsidRPr="00CF70AB" w:rsidRDefault="00274A3C" w:rsidP="00CF70AB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F70AB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Oxford</w:t>
            </w:r>
          </w:p>
        </w:tc>
        <w:tc>
          <w:tcPr>
            <w:tcW w:w="2237" w:type="dxa"/>
            <w:tcBorders>
              <w:bottom w:val="double" w:sz="4" w:space="0" w:color="auto"/>
            </w:tcBorders>
            <w:vAlign w:val="center"/>
          </w:tcPr>
          <w:p w14:paraId="4941D7C3" w14:textId="77777777" w:rsidR="00274A3C" w:rsidRPr="00CF70AB" w:rsidRDefault="00274A3C" w:rsidP="00CF70AB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F70AB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WRAIR</w:t>
            </w:r>
          </w:p>
        </w:tc>
        <w:tc>
          <w:tcPr>
            <w:tcW w:w="2237" w:type="dxa"/>
            <w:tcBorders>
              <w:bottom w:val="double" w:sz="4" w:space="0" w:color="auto"/>
            </w:tcBorders>
            <w:vAlign w:val="center"/>
          </w:tcPr>
          <w:p w14:paraId="7DFF3338" w14:textId="77777777" w:rsidR="00274A3C" w:rsidRPr="00CF70AB" w:rsidRDefault="00274A3C" w:rsidP="00CF70AB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F70AB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NIH</w:t>
            </w:r>
          </w:p>
        </w:tc>
      </w:tr>
      <w:tr w:rsidR="00887FA7" w:rsidRPr="00274A3C" w14:paraId="0188A44E" w14:textId="77777777" w:rsidTr="003D3B8D">
        <w:trPr>
          <w:trHeight w:val="612"/>
        </w:trPr>
        <w:tc>
          <w:tcPr>
            <w:tcW w:w="2311" w:type="dxa"/>
            <w:tcBorders>
              <w:top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3157C67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Plate Coating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6A523F00" w14:textId="77777777" w:rsidR="00887FA7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2 µ</w:t>
            </w:r>
            <w:r>
              <w:rPr>
                <w:rFonts w:eastAsia="Times New Roman" w:cs="Times New Roman"/>
                <w:color w:val="000000"/>
                <w:lang w:eastAsia="en-GB"/>
              </w:rPr>
              <w:t>g/mL of AMA1</w:t>
            </w:r>
          </w:p>
          <w:p w14:paraId="7047DD0F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RT overnight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vAlign w:val="center"/>
            <w:hideMark/>
          </w:tcPr>
          <w:p w14:paraId="0FF8752C" w14:textId="77777777" w:rsidR="00887FA7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1 </w:t>
            </w:r>
            <w:r w:rsidRPr="00274A3C">
              <w:rPr>
                <w:rFonts w:eastAsia="Times New Roman" w:cs="Times New Roman"/>
                <w:color w:val="000000"/>
                <w:lang w:eastAsia="en-GB"/>
              </w:rPr>
              <w:t>µ</w:t>
            </w:r>
            <w:r>
              <w:rPr>
                <w:rFonts w:eastAsia="Times New Roman" w:cs="Times New Roman"/>
                <w:color w:val="000000"/>
                <w:lang w:eastAsia="en-GB"/>
              </w:rPr>
              <w:t>g/mL of AMA1</w:t>
            </w:r>
          </w:p>
          <w:p w14:paraId="49B3E20A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4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274A3C">
              <w:rPr>
                <w:rFonts w:eastAsia="Times New Roman" w:cs="Times New Roman"/>
                <w:color w:val="000000"/>
                <w:lang w:eastAsia="en-GB"/>
              </w:rPr>
              <w:t>°C overnight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vAlign w:val="center"/>
            <w:hideMark/>
          </w:tcPr>
          <w:p w14:paraId="14F3774C" w14:textId="77777777" w:rsidR="00887FA7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10 µg/mL of AMA1</w:t>
            </w:r>
          </w:p>
          <w:p w14:paraId="5B345408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4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274A3C">
              <w:rPr>
                <w:rFonts w:eastAsia="Times New Roman" w:cs="Times New Roman"/>
                <w:color w:val="000000"/>
                <w:lang w:eastAsia="en-GB"/>
              </w:rPr>
              <w:t>°C overnight</w:t>
            </w:r>
          </w:p>
        </w:tc>
      </w:tr>
      <w:tr w:rsidR="00887FA7" w:rsidRPr="00274A3C" w14:paraId="190EB9B4" w14:textId="77777777" w:rsidTr="003D3B8D">
        <w:trPr>
          <w:trHeight w:val="600"/>
        </w:trPr>
        <w:tc>
          <w:tcPr>
            <w:tcW w:w="231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7213FF4D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B</w:t>
            </w:r>
            <w:r w:rsidRPr="00274A3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locking</w:t>
            </w: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  <w:hideMark/>
          </w:tcPr>
          <w:p w14:paraId="04362B4F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Casein block</w:t>
            </w:r>
            <w:r w:rsidRPr="00274A3C">
              <w:rPr>
                <w:rFonts w:eastAsia="Times New Roman" w:cs="Times New Roman"/>
                <w:color w:val="000000"/>
                <w:lang w:eastAsia="en-GB"/>
              </w:rPr>
              <w:t xml:space="preserve"> solution RT for 1 h</w:t>
            </w:r>
          </w:p>
        </w:tc>
        <w:tc>
          <w:tcPr>
            <w:tcW w:w="2237" w:type="dxa"/>
            <w:vAlign w:val="center"/>
            <w:hideMark/>
          </w:tcPr>
          <w:p w14:paraId="2D2817CB" w14:textId="77777777" w:rsidR="003D3B8D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Casein block</w:t>
            </w:r>
            <w:r w:rsidRPr="00274A3C">
              <w:rPr>
                <w:rFonts w:eastAsia="Times New Roman" w:cs="Times New Roman"/>
                <w:color w:val="000000"/>
                <w:lang w:eastAsia="en-GB"/>
              </w:rPr>
              <w:t xml:space="preserve"> solution </w:t>
            </w:r>
          </w:p>
          <w:p w14:paraId="76259305" w14:textId="77777777" w:rsidR="00887FA7" w:rsidRPr="00274A3C" w:rsidRDefault="00887FA7" w:rsidP="003D3B8D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RT for 1</w:t>
            </w:r>
            <w:r>
              <w:rPr>
                <w:rFonts w:eastAsia="Times New Roman" w:cs="Times New Roman"/>
                <w:color w:val="000000"/>
                <w:lang w:eastAsia="en-GB"/>
              </w:rPr>
              <w:t>-2</w:t>
            </w:r>
            <w:r w:rsidR="003D3B8D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n-GB"/>
              </w:rPr>
              <w:t>h</w:t>
            </w:r>
          </w:p>
        </w:tc>
        <w:tc>
          <w:tcPr>
            <w:tcW w:w="2237" w:type="dxa"/>
            <w:vAlign w:val="center"/>
            <w:hideMark/>
          </w:tcPr>
          <w:p w14:paraId="1A862393" w14:textId="4374D81F" w:rsidR="00887FA7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5</w:t>
            </w:r>
            <w:r w:rsidR="00CF4D19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n-GB"/>
              </w:rPr>
              <w:t>% milk</w:t>
            </w:r>
          </w:p>
          <w:p w14:paraId="270F8284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RT for 2 h</w:t>
            </w:r>
          </w:p>
        </w:tc>
      </w:tr>
      <w:tr w:rsidR="00887FA7" w:rsidRPr="00274A3C" w14:paraId="3AC27961" w14:textId="77777777" w:rsidTr="003D3B8D">
        <w:trPr>
          <w:trHeight w:val="312"/>
        </w:trPr>
        <w:tc>
          <w:tcPr>
            <w:tcW w:w="231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64F6E742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Primary A</w:t>
            </w:r>
            <w:r w:rsidRPr="00274A3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ntibody</w:t>
            </w: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  <w:hideMark/>
          </w:tcPr>
          <w:p w14:paraId="6F12CA02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RT for 2 h</w:t>
            </w:r>
          </w:p>
        </w:tc>
        <w:tc>
          <w:tcPr>
            <w:tcW w:w="2237" w:type="dxa"/>
            <w:vAlign w:val="center"/>
            <w:hideMark/>
          </w:tcPr>
          <w:p w14:paraId="3EDC924F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274A3C">
              <w:rPr>
                <w:rFonts w:eastAsia="Times New Roman" w:cs="Times New Roman"/>
                <w:color w:val="000000"/>
                <w:lang w:eastAsia="en-GB"/>
              </w:rPr>
              <w:t>RT for 2 h</w:t>
            </w:r>
          </w:p>
        </w:tc>
        <w:tc>
          <w:tcPr>
            <w:tcW w:w="2237" w:type="dxa"/>
            <w:vAlign w:val="center"/>
            <w:hideMark/>
          </w:tcPr>
          <w:p w14:paraId="2EE5A39D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RT for 2 h</w:t>
            </w:r>
          </w:p>
        </w:tc>
      </w:tr>
      <w:tr w:rsidR="00887FA7" w:rsidRPr="00274A3C" w14:paraId="3FA82FCF" w14:textId="77777777" w:rsidTr="003D3B8D">
        <w:trPr>
          <w:trHeight w:val="1305"/>
        </w:trPr>
        <w:tc>
          <w:tcPr>
            <w:tcW w:w="231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51B752AF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Secondary A</w:t>
            </w:r>
            <w:r w:rsidRPr="00274A3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ntibody</w:t>
            </w: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  <w:hideMark/>
          </w:tcPr>
          <w:p w14:paraId="00EBD241" w14:textId="77777777" w:rsidR="00887FA7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AP-label</w:t>
            </w:r>
            <w:r>
              <w:rPr>
                <w:rFonts w:eastAsia="Times New Roman" w:cs="Times New Roman"/>
                <w:color w:val="000000"/>
                <w:lang w:eastAsia="en-GB"/>
              </w:rPr>
              <w:t>l</w:t>
            </w:r>
            <w:r w:rsidRPr="00274A3C">
              <w:rPr>
                <w:rFonts w:eastAsia="Times New Roman" w:cs="Times New Roman"/>
                <w:color w:val="000000"/>
                <w:lang w:eastAsia="en-GB"/>
              </w:rPr>
              <w:t>ed goat anti-hum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an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IgG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(γ-chain) (Sigma A3187)</w:t>
            </w:r>
          </w:p>
          <w:p w14:paraId="71EDB072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RT for 1 h</w:t>
            </w:r>
          </w:p>
        </w:tc>
        <w:tc>
          <w:tcPr>
            <w:tcW w:w="2237" w:type="dxa"/>
            <w:vAlign w:val="center"/>
            <w:hideMark/>
          </w:tcPr>
          <w:p w14:paraId="46970565" w14:textId="77777777" w:rsidR="00887FA7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Peroxidase-Labelled antibody to human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IgG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>(γ-chain)</w:t>
            </w:r>
            <w:r w:rsidR="003D3B8D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>
              <w:rPr>
                <w:rFonts w:eastAsia="Times New Roman" w:cs="Times New Roman"/>
                <w:color w:val="000000"/>
                <w:lang w:eastAsia="en-GB"/>
              </w:rPr>
              <w:t>(KPL/074-1002)</w:t>
            </w:r>
          </w:p>
          <w:p w14:paraId="2AB6BC00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RT for 1 h</w:t>
            </w:r>
          </w:p>
        </w:tc>
        <w:tc>
          <w:tcPr>
            <w:tcW w:w="2237" w:type="dxa"/>
            <w:vAlign w:val="center"/>
            <w:hideMark/>
          </w:tcPr>
          <w:p w14:paraId="3F570A57" w14:textId="77777777" w:rsidR="00887FA7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AP-label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led goat anti-human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IgG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(H+L) (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Kirkegaard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&amp; Perry Labs, 075-106)</w:t>
            </w:r>
          </w:p>
          <w:p w14:paraId="09348A3E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RT for 2 h</w:t>
            </w:r>
          </w:p>
        </w:tc>
      </w:tr>
      <w:tr w:rsidR="00887FA7" w:rsidRPr="00274A3C" w14:paraId="2FCABA44" w14:textId="77777777" w:rsidTr="003D3B8D">
        <w:trPr>
          <w:trHeight w:val="312"/>
        </w:trPr>
        <w:tc>
          <w:tcPr>
            <w:tcW w:w="231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323EF663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OD R</w:t>
            </w:r>
            <w:r w:rsidRPr="00274A3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eading</w:t>
            </w: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  <w:hideMark/>
          </w:tcPr>
          <w:p w14:paraId="347EF3CE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405 nm</w:t>
            </w:r>
          </w:p>
        </w:tc>
        <w:tc>
          <w:tcPr>
            <w:tcW w:w="2237" w:type="dxa"/>
            <w:vAlign w:val="center"/>
            <w:hideMark/>
          </w:tcPr>
          <w:p w14:paraId="055BF663" w14:textId="69928BD8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414</w:t>
            </w:r>
            <w:r w:rsidR="0019551F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n-GB"/>
              </w:rPr>
              <w:t>nm</w:t>
            </w:r>
          </w:p>
        </w:tc>
        <w:tc>
          <w:tcPr>
            <w:tcW w:w="2237" w:type="dxa"/>
            <w:vAlign w:val="center"/>
            <w:hideMark/>
          </w:tcPr>
          <w:p w14:paraId="3407F18F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405/650 nm</w:t>
            </w:r>
          </w:p>
        </w:tc>
      </w:tr>
      <w:tr w:rsidR="00887FA7" w:rsidRPr="00274A3C" w14:paraId="5E4AC722" w14:textId="77777777" w:rsidTr="003D3B8D">
        <w:trPr>
          <w:trHeight w:val="1500"/>
        </w:trPr>
        <w:tc>
          <w:tcPr>
            <w:tcW w:w="231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0F5888D7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Convert OD to AU</w:t>
            </w: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  <w:hideMark/>
          </w:tcPr>
          <w:p w14:paraId="5286542E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AU of a test sample is determined relative to the serially diluted ELISA standard tested in the same plate</w:t>
            </w:r>
          </w:p>
        </w:tc>
        <w:tc>
          <w:tcPr>
            <w:tcW w:w="2237" w:type="dxa"/>
            <w:vAlign w:val="center"/>
            <w:hideMark/>
          </w:tcPr>
          <w:p w14:paraId="06584BC5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011CF2">
              <w:rPr>
                <w:rFonts w:eastAsia="Times New Roman" w:cs="Times New Roman"/>
                <w:color w:val="000000"/>
                <w:lang w:eastAsia="en-GB"/>
              </w:rPr>
              <w:t>AU of a test sample is determined relative to the serially diluted ELISA standard tested in the same plate</w:t>
            </w:r>
          </w:p>
        </w:tc>
        <w:tc>
          <w:tcPr>
            <w:tcW w:w="2237" w:type="dxa"/>
            <w:vAlign w:val="center"/>
            <w:hideMark/>
          </w:tcPr>
          <w:p w14:paraId="045F7CFE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color w:val="000000"/>
                <w:lang w:eastAsia="en-GB"/>
              </w:rPr>
              <w:t>AU of a test sample is determined relative to the serially diluted ELISA standard tested in the same plate</w:t>
            </w:r>
          </w:p>
        </w:tc>
      </w:tr>
      <w:tr w:rsidR="00887FA7" w:rsidRPr="00274A3C" w14:paraId="644C0F4B" w14:textId="77777777" w:rsidTr="003D3B8D">
        <w:trPr>
          <w:trHeight w:val="705"/>
        </w:trPr>
        <w:tc>
          <w:tcPr>
            <w:tcW w:w="231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75C6394B" w14:textId="77777777" w:rsidR="00887FA7" w:rsidRPr="00274A3C" w:rsidRDefault="00887FA7" w:rsidP="00887FA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74A3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Reference(s)</w:t>
            </w: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  <w:hideMark/>
          </w:tcPr>
          <w:p w14:paraId="5090D932" w14:textId="72B7234E" w:rsidR="00887FA7" w:rsidRPr="00274A3C" w:rsidRDefault="00887FA7" w:rsidP="000C23D4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PEVuZE5vdGU+PENpdGU+PEF1dGhvcj5Ib2Rnc29uPC9BdXRob3I+PFllYXI+MjAxNDwvWWVhcj48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</w:fldData>
              </w:fldChar>
            </w:r>
            <w:r w:rsidR="000C23D4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0C23D4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PEVuZE5vdGU+PENpdGU+PEF1dGhvcj5Ib2Rnc29uPC9BdXRob3I+PFllYXI+MjAxNDwvWWVhcj48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</w:fldData>
              </w:fldChar>
            </w:r>
            <w:r w:rsidR="000C23D4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0C23D4">
              <w:rPr>
                <w:rFonts w:eastAsia="Times New Roman" w:cs="Times New Roman"/>
                <w:color w:val="000000"/>
                <w:lang w:eastAsia="en-GB"/>
              </w:rPr>
            </w:r>
            <w:r w:rsidR="000C23D4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>
              <w:rPr>
                <w:rFonts w:eastAsia="Times New Roman" w:cs="Times New Roman"/>
                <w:color w:val="000000"/>
                <w:lang w:eastAsia="en-GB"/>
              </w:rPr>
            </w:r>
            <w:r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0C23D4">
              <w:rPr>
                <w:rFonts w:eastAsia="Times New Roman" w:cs="Times New Roman"/>
                <w:noProof/>
                <w:color w:val="000000"/>
                <w:lang w:eastAsia="en-GB"/>
              </w:rPr>
              <w:t>[2, 3]</w:t>
            </w:r>
            <w:r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2237" w:type="dxa"/>
            <w:noWrap/>
            <w:vAlign w:val="center"/>
            <w:hideMark/>
          </w:tcPr>
          <w:p w14:paraId="5FE9432E" w14:textId="71070FE8" w:rsidR="00887FA7" w:rsidRPr="00274A3C" w:rsidRDefault="003D3B8D" w:rsidP="000C23D4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PEVuZE5vdGU+PENpdGU+PEF1dGhvcj5TcHJpbmc8L0F1dGhvcj48WWVhcj4yMDA5PC9ZZWFyPjxS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=
</w:fldData>
              </w:fldChar>
            </w:r>
            <w:r w:rsidR="000C23D4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0C23D4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PEVuZE5vdGU+PENpdGU+PEF1dGhvcj5TcHJpbmc8L0F1dGhvcj48WWVhcj4yMDA5PC9ZZWFyPjxS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=
</w:fldData>
              </w:fldChar>
            </w:r>
            <w:r w:rsidR="000C23D4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0C23D4">
              <w:rPr>
                <w:rFonts w:eastAsia="Times New Roman" w:cs="Times New Roman"/>
                <w:color w:val="000000"/>
                <w:lang w:eastAsia="en-GB"/>
              </w:rPr>
            </w:r>
            <w:r w:rsidR="000C23D4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>
              <w:rPr>
                <w:rFonts w:eastAsia="Times New Roman" w:cs="Times New Roman"/>
                <w:color w:val="000000"/>
                <w:lang w:eastAsia="en-GB"/>
              </w:rPr>
            </w:r>
            <w:r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0C23D4">
              <w:rPr>
                <w:rFonts w:eastAsia="Times New Roman" w:cs="Times New Roman"/>
                <w:noProof/>
                <w:color w:val="000000"/>
                <w:lang w:eastAsia="en-GB"/>
              </w:rPr>
              <w:t>[4]</w:t>
            </w:r>
            <w:r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2237" w:type="dxa"/>
            <w:vAlign w:val="center"/>
            <w:hideMark/>
          </w:tcPr>
          <w:p w14:paraId="12C32AC2" w14:textId="42F6E429" w:rsidR="00887FA7" w:rsidRPr="00274A3C" w:rsidRDefault="00887FA7" w:rsidP="000C23D4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fldChar w:fldCharType="begin"/>
            </w:r>
            <w:r w:rsidR="000C23D4">
              <w:rPr>
                <w:rFonts w:eastAsia="Times New Roman" w:cs="Times New Roman"/>
                <w:color w:val="000000"/>
                <w:lang w:eastAsia="en-GB"/>
              </w:rPr>
              <w:instrText xml:space="preserve"> ADDIN EN.CITE &lt;EndNote&gt;&lt;Cite&gt;&lt;Author&gt;Miura&lt;/Author&gt;&lt;Year&gt;2008&lt;/Year&gt;&lt;RecNum&gt;677&lt;/RecNum&gt;&lt;DisplayText&gt;[5]&lt;/DisplayText&gt;&lt;record&gt;&lt;rec-number&gt;677&lt;/rec-number&gt;&lt;foreign-keys&gt;&lt;key app="EN" db-id="tepxf5fv4frd5rertsn50x5x9fpxtdr5d00r"&gt;677&lt;/key&gt;&lt;/foreign-keys&gt;&lt;ref-type name="Journal Article"&gt;17&lt;/ref-type&gt;&lt;contributors&gt;&lt;authors&gt;&lt;author&gt;Miura, K.&lt;/author&gt;&lt;author&gt;Orcutt, A. C.&lt;/author&gt;&lt;author&gt;Muratova, O. V.&lt;/author&gt;&lt;author&gt;Miller, L. H.&lt;/author&gt;&lt;author&gt;Saul, A.&lt;/author&gt;&lt;author&gt;Long, C. A.&lt;/author&gt;&lt;/authors&gt;&lt;/contributors&gt;&lt;auth-address&gt;Malaria Vaccine Development Branch, National Institute of Allergy and Infectious Diseases, National Institutes of Health, Rockville, MD 20852, USA. kmiura@niaid.nih.gov &amp;lt;kmiura@niaid.nih.gov&amp;gt;&lt;/auth-address&gt;&lt;titles&gt;&lt;title&gt;Development and characterization of a standardized ELISA including a reference serum on each plate to detect antibodies induced by experimental malaria vaccines&lt;/title&gt;&lt;secondary-title&gt;Vaccine&lt;/secondary-title&gt;&lt;/titles&gt;&lt;periodical&gt;&lt;full-title&gt;Vaccine&lt;/full-title&gt;&lt;/periodical&gt;&lt;pages&gt;193-200&lt;/pages&gt;&lt;volume&gt;26&lt;/volume&gt;&lt;number&gt;2&lt;/number&gt;&lt;keywords&gt;&lt;keyword&gt;Animals&lt;/keyword&gt;&lt;keyword&gt;Antibodies, Protozoan/*blood&lt;/keyword&gt;&lt;keyword&gt;Enzyme-Linked Immunosorbent Assay/*methods/*standards&lt;/keyword&gt;&lt;keyword&gt;Macaca mulatta&lt;/keyword&gt;&lt;keyword&gt;Malaria Vaccines/*immunology&lt;/keyword&gt;&lt;keyword&gt;Mice&lt;/keyword&gt;&lt;keyword&gt;Mice, Inbred BALB C&lt;/keyword&gt;&lt;keyword&gt;Reproducibility of Results&lt;/keyword&gt;&lt;/keywords&gt;&lt;dates&gt;&lt;year&gt;2008&lt;/year&gt;&lt;pub-dates&gt;&lt;date&gt;Jan 10&lt;/date&gt;&lt;/pub-dates&gt;&lt;/dates&gt;&lt;accession-num&gt;18054414&lt;/accession-num&gt;&lt;urls&gt;&lt;related-urls&gt;&lt;url&gt;http://www.ncbi.nlm.nih.gov/entrez/query.fcgi?cmd=Retrieve&amp;amp;db=PubMed&amp;amp;dopt=Citation&amp;amp;list_uids=18054414 &lt;/url&gt;&lt;/related-urls&gt;&lt;/urls&gt;&lt;/record&gt;&lt;/Cite&gt;&lt;/EndNote&gt;</w:instrText>
            </w:r>
            <w:r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0C23D4">
              <w:rPr>
                <w:rFonts w:eastAsia="Times New Roman" w:cs="Times New Roman"/>
                <w:noProof/>
                <w:color w:val="000000"/>
                <w:lang w:eastAsia="en-GB"/>
              </w:rPr>
              <w:t>[5]</w:t>
            </w:r>
            <w:r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</w:tr>
    </w:tbl>
    <w:p w14:paraId="54F3A0A3" w14:textId="77777777" w:rsidR="00274A3C" w:rsidRDefault="00274A3C" w:rsidP="00E775AE">
      <w:pPr>
        <w:spacing w:after="0" w:line="480" w:lineRule="auto"/>
        <w:rPr>
          <w:lang w:val="en-US"/>
        </w:rPr>
      </w:pPr>
    </w:p>
    <w:p w14:paraId="35EDEAA1" w14:textId="77777777" w:rsidR="000C23D4" w:rsidRDefault="00274A3C" w:rsidP="001F32F0">
      <w:pPr>
        <w:pStyle w:val="Heading2"/>
        <w:spacing w:before="0" w:line="480" w:lineRule="auto"/>
        <w:rPr>
          <w:lang w:val="en-US"/>
        </w:rPr>
      </w:pPr>
      <w:r w:rsidRPr="00274A3C">
        <w:rPr>
          <w:lang w:val="en-US"/>
        </w:rPr>
        <w:t>Table</w:t>
      </w:r>
      <w:r w:rsidRPr="003A6822">
        <w:rPr>
          <w:lang w:val="en-US"/>
        </w:rPr>
        <w:t xml:space="preserve"> S1: </w:t>
      </w:r>
      <w:r>
        <w:rPr>
          <w:lang w:val="en-US"/>
        </w:rPr>
        <w:t>ELISA methods in the three laboratories</w:t>
      </w:r>
      <w:r w:rsidRPr="003A6822">
        <w:rPr>
          <w:lang w:val="en-US"/>
        </w:rPr>
        <w:t>.</w:t>
      </w:r>
    </w:p>
    <w:p w14:paraId="06EB42EF" w14:textId="77777777" w:rsidR="000C23D4" w:rsidRDefault="000C23D4" w:rsidP="001F32F0">
      <w:pPr>
        <w:pStyle w:val="Heading2"/>
        <w:spacing w:before="0" w:line="480" w:lineRule="auto"/>
        <w:rPr>
          <w:lang w:val="en-US"/>
        </w:rPr>
      </w:pPr>
    </w:p>
    <w:p w14:paraId="283A72FA" w14:textId="3AAB94E1" w:rsidR="00FF7462" w:rsidRDefault="00FF7462">
      <w:pPr>
        <w:rPr>
          <w:lang w:val="en-US"/>
        </w:rPr>
      </w:pPr>
      <w:r>
        <w:rPr>
          <w:lang w:val="en-US"/>
        </w:rPr>
        <w:br w:type="page"/>
      </w:r>
    </w:p>
    <w:p w14:paraId="00CE2634" w14:textId="77777777" w:rsidR="00FF7462" w:rsidRPr="00FF7462" w:rsidRDefault="00FF7462" w:rsidP="00FF7462">
      <w:pPr>
        <w:pStyle w:val="Heading1"/>
        <w:rPr>
          <w:rFonts w:asciiTheme="majorHAnsi" w:hAnsiTheme="majorHAnsi"/>
          <w:color w:val="365F91" w:themeColor="accent1" w:themeShade="BF"/>
          <w:sz w:val="28"/>
          <w:lang w:val="en-US"/>
        </w:rPr>
      </w:pPr>
      <w:r w:rsidRPr="00FF7462">
        <w:rPr>
          <w:rFonts w:asciiTheme="majorHAnsi" w:hAnsiTheme="majorHAnsi"/>
          <w:color w:val="365F91" w:themeColor="accent1" w:themeShade="BF"/>
          <w:sz w:val="28"/>
          <w:lang w:val="en-US"/>
        </w:rPr>
        <w:lastRenderedPageBreak/>
        <w:t>Competing Interests</w:t>
      </w:r>
    </w:p>
    <w:p w14:paraId="7F9C3822" w14:textId="77777777" w:rsidR="00FF7462" w:rsidRPr="00FF7462" w:rsidRDefault="00FF7462" w:rsidP="00FF7462">
      <w:pPr>
        <w:spacing w:after="0" w:line="480" w:lineRule="auto"/>
        <w:rPr>
          <w:rFonts w:cstheme="minorHAnsi"/>
          <w:color w:val="000000" w:themeColor="text1"/>
          <w:lang w:val="en-US"/>
        </w:rPr>
      </w:pPr>
      <w:r w:rsidRPr="00FF7462">
        <w:rPr>
          <w:rFonts w:cstheme="minorHAnsi"/>
          <w:color w:val="000000" w:themeColor="text1"/>
          <w:lang w:val="en-US"/>
        </w:rPr>
        <w:t>SJD is a named inventor on patent applications relating to malaria vaccines and immunization regimens. SD has a patent on the FMP2.1 vaccine antigen.</w:t>
      </w:r>
    </w:p>
    <w:p w14:paraId="393ED1E9" w14:textId="77777777" w:rsidR="000C23D4" w:rsidRDefault="000C23D4" w:rsidP="000C23D4">
      <w:pPr>
        <w:rPr>
          <w:lang w:val="en-US"/>
        </w:rPr>
      </w:pPr>
    </w:p>
    <w:p w14:paraId="578A4C42" w14:textId="77777777" w:rsidR="000C23D4" w:rsidRDefault="000C23D4" w:rsidP="000C23D4">
      <w:pPr>
        <w:rPr>
          <w:lang w:val="en-US"/>
        </w:rPr>
      </w:pPr>
    </w:p>
    <w:p w14:paraId="445A614A" w14:textId="70C7F655" w:rsidR="000C23D4" w:rsidRPr="000C23D4" w:rsidRDefault="007A55A0" w:rsidP="000C23D4">
      <w:pPr>
        <w:pStyle w:val="Heading1"/>
        <w:rPr>
          <w:lang w:val="en-US"/>
        </w:rPr>
      </w:pPr>
      <w:r>
        <w:rPr>
          <w:rFonts w:asciiTheme="majorHAnsi" w:hAnsiTheme="majorHAnsi"/>
          <w:color w:val="365F91" w:themeColor="accent1" w:themeShade="BF"/>
          <w:sz w:val="28"/>
          <w:lang w:val="en-US"/>
        </w:rPr>
        <w:t>Additional</w:t>
      </w:r>
      <w:bookmarkStart w:id="0" w:name="_GoBack"/>
      <w:bookmarkEnd w:id="0"/>
      <w:r w:rsidR="000C23D4" w:rsidRPr="003A6822">
        <w:rPr>
          <w:rFonts w:asciiTheme="majorHAnsi" w:hAnsiTheme="majorHAnsi"/>
          <w:color w:val="365F91" w:themeColor="accent1" w:themeShade="BF"/>
          <w:sz w:val="28"/>
          <w:lang w:val="en-US"/>
        </w:rPr>
        <w:t xml:space="preserve"> </w:t>
      </w:r>
      <w:r w:rsidR="000C23D4">
        <w:rPr>
          <w:rFonts w:asciiTheme="majorHAnsi" w:hAnsiTheme="majorHAnsi"/>
          <w:color w:val="365F91" w:themeColor="accent1" w:themeShade="BF"/>
          <w:sz w:val="28"/>
          <w:lang w:val="en-US"/>
        </w:rPr>
        <w:t>References</w:t>
      </w:r>
    </w:p>
    <w:p w14:paraId="42034E50" w14:textId="77777777" w:rsidR="000C23D4" w:rsidRPr="000C23D4" w:rsidRDefault="000C23D4" w:rsidP="000C23D4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C23D4">
        <w:t>1.</w:t>
      </w:r>
      <w:r w:rsidRPr="000C23D4">
        <w:tab/>
        <w:t xml:space="preserve">Payne RO, Milne KH, Elias SC, Edwards NJ, Douglas AD, Brown RE, Silk SE, Biswas S, Miura K, Roberts R, et al: </w:t>
      </w:r>
      <w:r w:rsidRPr="000C23D4">
        <w:rPr>
          <w:b/>
        </w:rPr>
        <w:t>Demonstration of the Blood-Stage Controlled Human Malaria Infection Model to Assess Efficacy of the Plasmodium falciparum AMA1 Vaccine FMP2.1/AS01.</w:t>
      </w:r>
      <w:r w:rsidRPr="000C23D4">
        <w:t xml:space="preserve"> </w:t>
      </w:r>
      <w:r w:rsidRPr="000C23D4">
        <w:rPr>
          <w:i/>
        </w:rPr>
        <w:t xml:space="preserve">J Infect Dis </w:t>
      </w:r>
      <w:r w:rsidRPr="000C23D4">
        <w:t xml:space="preserve">2016, </w:t>
      </w:r>
      <w:r w:rsidRPr="000C23D4">
        <w:rPr>
          <w:b/>
        </w:rPr>
        <w:t>213:</w:t>
      </w:r>
      <w:r w:rsidRPr="000C23D4">
        <w:t>1743-1751.</w:t>
      </w:r>
    </w:p>
    <w:p w14:paraId="28BC549E" w14:textId="77777777" w:rsidR="000C23D4" w:rsidRPr="000C23D4" w:rsidRDefault="000C23D4" w:rsidP="000C23D4">
      <w:pPr>
        <w:pStyle w:val="EndNoteBibliography"/>
        <w:spacing w:after="0"/>
        <w:ind w:left="720" w:hanging="720"/>
      </w:pPr>
      <w:r w:rsidRPr="000C23D4">
        <w:t>2.</w:t>
      </w:r>
      <w:r w:rsidRPr="000C23D4">
        <w:tab/>
        <w:t xml:space="preserve">Hodgson SH, Choudhary P, Elias SC, Milne KH, Rampling TW, Biswas S, Poulton ID, Miura K, Douglas AD, Alanine DG, et al: </w:t>
      </w:r>
      <w:r w:rsidRPr="000C23D4">
        <w:rPr>
          <w:b/>
        </w:rPr>
        <w:t>Combining Viral Vectored and Protein-in-adjuvant Vaccines Against the Blood-stage Malaria Antigen AMA1: Report on a Phase 1a Clinical Trial.</w:t>
      </w:r>
      <w:r w:rsidRPr="000C23D4">
        <w:t xml:space="preserve"> </w:t>
      </w:r>
      <w:r w:rsidRPr="000C23D4">
        <w:rPr>
          <w:i/>
        </w:rPr>
        <w:t xml:space="preserve">Mol Ther </w:t>
      </w:r>
      <w:r w:rsidRPr="000C23D4">
        <w:t xml:space="preserve">2014, </w:t>
      </w:r>
      <w:r w:rsidRPr="000C23D4">
        <w:rPr>
          <w:b/>
        </w:rPr>
        <w:t>22:</w:t>
      </w:r>
      <w:r w:rsidRPr="000C23D4">
        <w:t>2142-2154.</w:t>
      </w:r>
    </w:p>
    <w:p w14:paraId="2755FC98" w14:textId="77777777" w:rsidR="000C23D4" w:rsidRPr="000C23D4" w:rsidRDefault="000C23D4" w:rsidP="000C23D4">
      <w:pPr>
        <w:pStyle w:val="EndNoteBibliography"/>
        <w:spacing w:after="0"/>
        <w:ind w:left="720" w:hanging="720"/>
      </w:pPr>
      <w:r w:rsidRPr="000C23D4">
        <w:t>3.</w:t>
      </w:r>
      <w:r w:rsidRPr="000C23D4">
        <w:tab/>
        <w:t xml:space="preserve">Sheehy SH, Duncan CJ, Elias SC, Biswas S, Collins KA, O'Hara GA, Halstead FD, Ewer KJ, Mahungu T, Spencer AJ, et al: </w:t>
      </w:r>
      <w:r w:rsidRPr="000C23D4">
        <w:rPr>
          <w:b/>
        </w:rPr>
        <w:t>Phase Ia Clinical Evaluation of the Safety and Immunogenicity of the Plasmodium falciparum Blood-Stage Antigen AMA1 in ChAd63 and MVA Vaccine Vectors.</w:t>
      </w:r>
      <w:r w:rsidRPr="000C23D4">
        <w:t xml:space="preserve"> </w:t>
      </w:r>
      <w:r w:rsidRPr="000C23D4">
        <w:rPr>
          <w:i/>
        </w:rPr>
        <w:t xml:space="preserve">PLoS One </w:t>
      </w:r>
      <w:r w:rsidRPr="000C23D4">
        <w:t xml:space="preserve">2012, </w:t>
      </w:r>
      <w:r w:rsidRPr="000C23D4">
        <w:rPr>
          <w:b/>
        </w:rPr>
        <w:t>7:</w:t>
      </w:r>
      <w:r w:rsidRPr="000C23D4">
        <w:t>e31208.</w:t>
      </w:r>
    </w:p>
    <w:p w14:paraId="437B8EBA" w14:textId="77777777" w:rsidR="000C23D4" w:rsidRPr="000C23D4" w:rsidRDefault="000C23D4" w:rsidP="000C23D4">
      <w:pPr>
        <w:pStyle w:val="EndNoteBibliography"/>
        <w:spacing w:after="0"/>
        <w:ind w:left="720" w:hanging="720"/>
      </w:pPr>
      <w:r w:rsidRPr="000C23D4">
        <w:t>4.</w:t>
      </w:r>
      <w:r w:rsidRPr="000C23D4">
        <w:tab/>
        <w:t xml:space="preserve">Spring MD, Cummings JF, Ockenhouse CF, Dutta S, Reidler R, Angov E, Bergmann-Leitner E, Stewart VA, Bittner S, Juompan L, et al: </w:t>
      </w:r>
      <w:r w:rsidRPr="000C23D4">
        <w:rPr>
          <w:b/>
        </w:rPr>
        <w:t>Phase 1/2a study of the malaria vaccine candidate apical membrane antigen-1 (AMA-1) administered in adjuvant system AS01B or AS02A.</w:t>
      </w:r>
      <w:r w:rsidRPr="000C23D4">
        <w:t xml:space="preserve"> </w:t>
      </w:r>
      <w:r w:rsidRPr="000C23D4">
        <w:rPr>
          <w:i/>
        </w:rPr>
        <w:t xml:space="preserve">PLoS ONE </w:t>
      </w:r>
      <w:r w:rsidRPr="000C23D4">
        <w:t xml:space="preserve">2009, </w:t>
      </w:r>
      <w:r w:rsidRPr="000C23D4">
        <w:rPr>
          <w:b/>
        </w:rPr>
        <w:t>4:</w:t>
      </w:r>
      <w:r w:rsidRPr="000C23D4">
        <w:t>e5254.</w:t>
      </w:r>
    </w:p>
    <w:p w14:paraId="0802FCD2" w14:textId="77777777" w:rsidR="000C23D4" w:rsidRPr="000C23D4" w:rsidRDefault="000C23D4" w:rsidP="000C23D4">
      <w:pPr>
        <w:pStyle w:val="EndNoteBibliography"/>
        <w:ind w:left="720" w:hanging="720"/>
      </w:pPr>
      <w:r w:rsidRPr="000C23D4">
        <w:t>5.</w:t>
      </w:r>
      <w:r w:rsidRPr="000C23D4">
        <w:tab/>
        <w:t xml:space="preserve">Miura K, Orcutt AC, Muratova OV, Miller LH, Saul A, Long CA: </w:t>
      </w:r>
      <w:r w:rsidRPr="000C23D4">
        <w:rPr>
          <w:b/>
        </w:rPr>
        <w:t>Development and characterization of a standardized ELISA including a reference serum on each plate to detect antibodies induced by experimental malaria vaccines.</w:t>
      </w:r>
      <w:r w:rsidRPr="000C23D4">
        <w:t xml:space="preserve"> </w:t>
      </w:r>
      <w:r w:rsidRPr="000C23D4">
        <w:rPr>
          <w:i/>
        </w:rPr>
        <w:t xml:space="preserve">Vaccine </w:t>
      </w:r>
      <w:r w:rsidRPr="000C23D4">
        <w:t xml:space="preserve">2008, </w:t>
      </w:r>
      <w:r w:rsidRPr="000C23D4">
        <w:rPr>
          <w:b/>
        </w:rPr>
        <w:t>26:</w:t>
      </w:r>
      <w:r w:rsidRPr="000C23D4">
        <w:t>193-200.</w:t>
      </w:r>
    </w:p>
    <w:p w14:paraId="20941ECE" w14:textId="47D511FD" w:rsidR="00F12550" w:rsidRPr="00F12550" w:rsidRDefault="000C23D4" w:rsidP="001F32F0">
      <w:pPr>
        <w:pStyle w:val="Heading2"/>
        <w:spacing w:before="0" w:line="480" w:lineRule="auto"/>
        <w:rPr>
          <w:lang w:val="en-US"/>
        </w:rPr>
      </w:pPr>
      <w:r>
        <w:rPr>
          <w:lang w:val="en-US"/>
        </w:rPr>
        <w:fldChar w:fldCharType="end"/>
      </w:r>
    </w:p>
    <w:sectPr w:rsidR="00F12550" w:rsidRPr="00F12550" w:rsidSect="000C23D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CC051" w14:textId="77777777" w:rsidR="003B605B" w:rsidRDefault="003B605B" w:rsidP="00797E25">
      <w:pPr>
        <w:spacing w:after="0" w:line="240" w:lineRule="auto"/>
      </w:pPr>
      <w:r>
        <w:separator/>
      </w:r>
    </w:p>
  </w:endnote>
  <w:endnote w:type="continuationSeparator" w:id="0">
    <w:p w14:paraId="4E5C2DE8" w14:textId="77777777" w:rsidR="003B605B" w:rsidRDefault="003B605B" w:rsidP="00797E25">
      <w:pPr>
        <w:spacing w:after="0" w:line="240" w:lineRule="auto"/>
      </w:pPr>
      <w:r>
        <w:continuationSeparator/>
      </w:r>
    </w:p>
  </w:endnote>
  <w:endnote w:type="continuationNotice" w:id="1">
    <w:p w14:paraId="318467CA" w14:textId="77777777" w:rsidR="003B605B" w:rsidRDefault="003B60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9051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7F2AB4A" w14:textId="37BE110B" w:rsidR="002B65DF" w:rsidRDefault="002B65D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5A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3A20E00" w14:textId="77777777" w:rsidR="002B65DF" w:rsidRDefault="002B6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DB457" w14:textId="77777777" w:rsidR="003B605B" w:rsidRDefault="003B605B" w:rsidP="00797E25">
      <w:pPr>
        <w:spacing w:after="0" w:line="240" w:lineRule="auto"/>
      </w:pPr>
      <w:r>
        <w:separator/>
      </w:r>
    </w:p>
  </w:footnote>
  <w:footnote w:type="continuationSeparator" w:id="0">
    <w:p w14:paraId="74A7444D" w14:textId="77777777" w:rsidR="003B605B" w:rsidRDefault="003B605B" w:rsidP="00797E25">
      <w:pPr>
        <w:spacing w:after="0" w:line="240" w:lineRule="auto"/>
      </w:pPr>
      <w:r>
        <w:continuationSeparator/>
      </w:r>
    </w:p>
  </w:footnote>
  <w:footnote w:type="continuationNotice" w:id="1">
    <w:p w14:paraId="67C898AE" w14:textId="77777777" w:rsidR="003B605B" w:rsidRDefault="003B60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F0911" w14:textId="6787949B" w:rsidR="002B65DF" w:rsidRDefault="002B65DF" w:rsidP="00797E25">
    <w:pPr>
      <w:pStyle w:val="Header"/>
      <w:jc w:val="right"/>
    </w:pPr>
    <w:proofErr w:type="spellStart"/>
    <w:r>
      <w:t>Labbé</w:t>
    </w:r>
    <w:proofErr w:type="spellEnd"/>
    <w:r>
      <w:t xml:space="preserve"> GM </w:t>
    </w:r>
    <w:r w:rsidRPr="00797E25">
      <w:rPr>
        <w:i/>
      </w:rPr>
      <w:t>et al.</w:t>
    </w:r>
    <w:r w:rsidR="000C23D4">
      <w:rPr>
        <w:i/>
      </w:rPr>
      <w:t xml:space="preserve"> </w:t>
    </w:r>
    <w:r w:rsidR="000C23D4" w:rsidRPr="000C23D4">
      <w:t>Supplementary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C11"/>
    <w:multiLevelType w:val="multilevel"/>
    <w:tmpl w:val="BAC0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251EF"/>
    <w:multiLevelType w:val="hybridMultilevel"/>
    <w:tmpl w:val="E4A29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1AD4"/>
    <w:multiLevelType w:val="hybridMultilevel"/>
    <w:tmpl w:val="056678EE"/>
    <w:lvl w:ilvl="0" w:tplc="3650229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54148"/>
    <w:multiLevelType w:val="hybridMultilevel"/>
    <w:tmpl w:val="531A8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E0542"/>
    <w:multiLevelType w:val="hybridMultilevel"/>
    <w:tmpl w:val="2D187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9047D"/>
    <w:multiLevelType w:val="hybridMultilevel"/>
    <w:tmpl w:val="243EC1CC"/>
    <w:lvl w:ilvl="0" w:tplc="9D2AF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alaria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pxf5fv4frd5rertsn50x5x9fpxtdr5d00r&quot;&gt;endnote - simon draper&lt;record-ids&gt;&lt;item&gt;677&lt;/item&gt;&lt;item&gt;913&lt;/item&gt;&lt;item&gt;1372&lt;/item&gt;&lt;item&gt;2502&lt;/item&gt;&lt;item&gt;2788&lt;/item&gt;&lt;/record-ids&gt;&lt;/item&gt;&lt;/Libraries&gt;"/>
  </w:docVars>
  <w:rsids>
    <w:rsidRoot w:val="00E365E0"/>
    <w:rsid w:val="000016F1"/>
    <w:rsid w:val="0000578D"/>
    <w:rsid w:val="00005BCE"/>
    <w:rsid w:val="0000739F"/>
    <w:rsid w:val="0002558F"/>
    <w:rsid w:val="000339B3"/>
    <w:rsid w:val="00033D19"/>
    <w:rsid w:val="00037E0A"/>
    <w:rsid w:val="000400F2"/>
    <w:rsid w:val="00041A58"/>
    <w:rsid w:val="00045BA0"/>
    <w:rsid w:val="00056093"/>
    <w:rsid w:val="000636B7"/>
    <w:rsid w:val="0007611C"/>
    <w:rsid w:val="00083DAE"/>
    <w:rsid w:val="00087236"/>
    <w:rsid w:val="00087F23"/>
    <w:rsid w:val="00092311"/>
    <w:rsid w:val="00097CA5"/>
    <w:rsid w:val="000A28D6"/>
    <w:rsid w:val="000A358D"/>
    <w:rsid w:val="000B40BC"/>
    <w:rsid w:val="000B435C"/>
    <w:rsid w:val="000C1CB3"/>
    <w:rsid w:val="000C23D4"/>
    <w:rsid w:val="000C2ADC"/>
    <w:rsid w:val="000C3B83"/>
    <w:rsid w:val="000C3DA7"/>
    <w:rsid w:val="000F1E6C"/>
    <w:rsid w:val="000F2985"/>
    <w:rsid w:val="000F2DBB"/>
    <w:rsid w:val="001015EA"/>
    <w:rsid w:val="001034AC"/>
    <w:rsid w:val="0011026C"/>
    <w:rsid w:val="00115620"/>
    <w:rsid w:val="00115762"/>
    <w:rsid w:val="0012291E"/>
    <w:rsid w:val="001300E0"/>
    <w:rsid w:val="00131002"/>
    <w:rsid w:val="00131259"/>
    <w:rsid w:val="001338C3"/>
    <w:rsid w:val="00135D51"/>
    <w:rsid w:val="00143F42"/>
    <w:rsid w:val="00153C05"/>
    <w:rsid w:val="001541E1"/>
    <w:rsid w:val="00157E32"/>
    <w:rsid w:val="001657D8"/>
    <w:rsid w:val="001724F0"/>
    <w:rsid w:val="00172783"/>
    <w:rsid w:val="00174BA6"/>
    <w:rsid w:val="00180658"/>
    <w:rsid w:val="0019551F"/>
    <w:rsid w:val="001959A5"/>
    <w:rsid w:val="001A2040"/>
    <w:rsid w:val="001A3462"/>
    <w:rsid w:val="001A57B1"/>
    <w:rsid w:val="001A675F"/>
    <w:rsid w:val="001B43EC"/>
    <w:rsid w:val="001D0A60"/>
    <w:rsid w:val="001D2804"/>
    <w:rsid w:val="001D531A"/>
    <w:rsid w:val="001E1C37"/>
    <w:rsid w:val="001E2E88"/>
    <w:rsid w:val="001F32F0"/>
    <w:rsid w:val="00202F5C"/>
    <w:rsid w:val="00204DD4"/>
    <w:rsid w:val="0020521B"/>
    <w:rsid w:val="002062BC"/>
    <w:rsid w:val="002141CF"/>
    <w:rsid w:val="00221562"/>
    <w:rsid w:val="00222A89"/>
    <w:rsid w:val="00230A01"/>
    <w:rsid w:val="00232417"/>
    <w:rsid w:val="002407A9"/>
    <w:rsid w:val="00245228"/>
    <w:rsid w:val="002500AB"/>
    <w:rsid w:val="00251AD7"/>
    <w:rsid w:val="002748CD"/>
    <w:rsid w:val="00274A3C"/>
    <w:rsid w:val="0027772B"/>
    <w:rsid w:val="00281B23"/>
    <w:rsid w:val="00282789"/>
    <w:rsid w:val="002854F0"/>
    <w:rsid w:val="00285C5F"/>
    <w:rsid w:val="00290303"/>
    <w:rsid w:val="00291713"/>
    <w:rsid w:val="002A2FA9"/>
    <w:rsid w:val="002A3655"/>
    <w:rsid w:val="002B0FC3"/>
    <w:rsid w:val="002B1B02"/>
    <w:rsid w:val="002B2CA2"/>
    <w:rsid w:val="002B35C1"/>
    <w:rsid w:val="002B65DF"/>
    <w:rsid w:val="002C1A69"/>
    <w:rsid w:val="002C37C3"/>
    <w:rsid w:val="002C38A0"/>
    <w:rsid w:val="002C7ED1"/>
    <w:rsid w:val="002D1CB1"/>
    <w:rsid w:val="002E1981"/>
    <w:rsid w:val="002E1F47"/>
    <w:rsid w:val="002E4AB8"/>
    <w:rsid w:val="002F0A69"/>
    <w:rsid w:val="002F2079"/>
    <w:rsid w:val="002F2BA8"/>
    <w:rsid w:val="002F34D2"/>
    <w:rsid w:val="003212E0"/>
    <w:rsid w:val="003251A1"/>
    <w:rsid w:val="00330A7E"/>
    <w:rsid w:val="00335620"/>
    <w:rsid w:val="003374E0"/>
    <w:rsid w:val="003445F2"/>
    <w:rsid w:val="00347818"/>
    <w:rsid w:val="003526C9"/>
    <w:rsid w:val="00361B5A"/>
    <w:rsid w:val="0036494E"/>
    <w:rsid w:val="003707E2"/>
    <w:rsid w:val="003835E8"/>
    <w:rsid w:val="00384608"/>
    <w:rsid w:val="00384E75"/>
    <w:rsid w:val="00386C1A"/>
    <w:rsid w:val="003932FA"/>
    <w:rsid w:val="003946DB"/>
    <w:rsid w:val="003A1DDA"/>
    <w:rsid w:val="003A6822"/>
    <w:rsid w:val="003B605B"/>
    <w:rsid w:val="003C1150"/>
    <w:rsid w:val="003C4FA8"/>
    <w:rsid w:val="003D3B8D"/>
    <w:rsid w:val="003D65EF"/>
    <w:rsid w:val="003F2048"/>
    <w:rsid w:val="003F31F4"/>
    <w:rsid w:val="003F6391"/>
    <w:rsid w:val="00407458"/>
    <w:rsid w:val="00422168"/>
    <w:rsid w:val="00430FD3"/>
    <w:rsid w:val="00443F9F"/>
    <w:rsid w:val="00445059"/>
    <w:rsid w:val="0044739A"/>
    <w:rsid w:val="0045047C"/>
    <w:rsid w:val="00463409"/>
    <w:rsid w:val="00467E7A"/>
    <w:rsid w:val="00487EA2"/>
    <w:rsid w:val="004908EF"/>
    <w:rsid w:val="00491B28"/>
    <w:rsid w:val="00495BE7"/>
    <w:rsid w:val="00495C35"/>
    <w:rsid w:val="004A500F"/>
    <w:rsid w:val="004A6E21"/>
    <w:rsid w:val="004B58C8"/>
    <w:rsid w:val="004B64FA"/>
    <w:rsid w:val="004C2AF2"/>
    <w:rsid w:val="004C3706"/>
    <w:rsid w:val="004D16E5"/>
    <w:rsid w:val="004D31B5"/>
    <w:rsid w:val="004D5B58"/>
    <w:rsid w:val="004D62E9"/>
    <w:rsid w:val="004F2A36"/>
    <w:rsid w:val="00503F85"/>
    <w:rsid w:val="00504BCC"/>
    <w:rsid w:val="005122D4"/>
    <w:rsid w:val="00515919"/>
    <w:rsid w:val="00515C37"/>
    <w:rsid w:val="0051704B"/>
    <w:rsid w:val="00524732"/>
    <w:rsid w:val="00530701"/>
    <w:rsid w:val="0053181B"/>
    <w:rsid w:val="00544575"/>
    <w:rsid w:val="00555156"/>
    <w:rsid w:val="00562161"/>
    <w:rsid w:val="005955B8"/>
    <w:rsid w:val="005A5278"/>
    <w:rsid w:val="005B0A37"/>
    <w:rsid w:val="005B25F9"/>
    <w:rsid w:val="005C15BB"/>
    <w:rsid w:val="005C40DA"/>
    <w:rsid w:val="005D1202"/>
    <w:rsid w:val="005D5CB5"/>
    <w:rsid w:val="005E162F"/>
    <w:rsid w:val="005E5799"/>
    <w:rsid w:val="005E6F01"/>
    <w:rsid w:val="005F7A65"/>
    <w:rsid w:val="00600F02"/>
    <w:rsid w:val="00605359"/>
    <w:rsid w:val="00605AB2"/>
    <w:rsid w:val="0061044B"/>
    <w:rsid w:val="00624A8B"/>
    <w:rsid w:val="00631D47"/>
    <w:rsid w:val="0063708D"/>
    <w:rsid w:val="006375BB"/>
    <w:rsid w:val="00641501"/>
    <w:rsid w:val="00663FFD"/>
    <w:rsid w:val="00670066"/>
    <w:rsid w:val="00672A79"/>
    <w:rsid w:val="00673CB0"/>
    <w:rsid w:val="006746CC"/>
    <w:rsid w:val="00677542"/>
    <w:rsid w:val="006817D2"/>
    <w:rsid w:val="006856EC"/>
    <w:rsid w:val="006859E0"/>
    <w:rsid w:val="00685FE1"/>
    <w:rsid w:val="00693FFF"/>
    <w:rsid w:val="006A7571"/>
    <w:rsid w:val="006B31F6"/>
    <w:rsid w:val="006C6FC7"/>
    <w:rsid w:val="006D221E"/>
    <w:rsid w:val="006D2D58"/>
    <w:rsid w:val="006D5480"/>
    <w:rsid w:val="006D5E33"/>
    <w:rsid w:val="006D75AF"/>
    <w:rsid w:val="006E0E6D"/>
    <w:rsid w:val="006E7D36"/>
    <w:rsid w:val="006F088B"/>
    <w:rsid w:val="006F19B4"/>
    <w:rsid w:val="006F6740"/>
    <w:rsid w:val="00715BB7"/>
    <w:rsid w:val="00736107"/>
    <w:rsid w:val="007473AF"/>
    <w:rsid w:val="00750E1E"/>
    <w:rsid w:val="00752481"/>
    <w:rsid w:val="00753C11"/>
    <w:rsid w:val="00754440"/>
    <w:rsid w:val="00757009"/>
    <w:rsid w:val="00757543"/>
    <w:rsid w:val="00764D11"/>
    <w:rsid w:val="007652C5"/>
    <w:rsid w:val="00776183"/>
    <w:rsid w:val="00782362"/>
    <w:rsid w:val="00787C9F"/>
    <w:rsid w:val="00796AF0"/>
    <w:rsid w:val="0079715E"/>
    <w:rsid w:val="007974B2"/>
    <w:rsid w:val="00797E25"/>
    <w:rsid w:val="007A1E8C"/>
    <w:rsid w:val="007A419A"/>
    <w:rsid w:val="007A55A0"/>
    <w:rsid w:val="007B2DB4"/>
    <w:rsid w:val="007B5E51"/>
    <w:rsid w:val="007C2887"/>
    <w:rsid w:val="007C44C0"/>
    <w:rsid w:val="007E7729"/>
    <w:rsid w:val="007F3A2A"/>
    <w:rsid w:val="00801B72"/>
    <w:rsid w:val="00802545"/>
    <w:rsid w:val="0080412D"/>
    <w:rsid w:val="00805E6F"/>
    <w:rsid w:val="00823DB3"/>
    <w:rsid w:val="008259D1"/>
    <w:rsid w:val="00826883"/>
    <w:rsid w:val="00826994"/>
    <w:rsid w:val="00853AB5"/>
    <w:rsid w:val="00854159"/>
    <w:rsid w:val="008643D4"/>
    <w:rsid w:val="0088018E"/>
    <w:rsid w:val="00883BA4"/>
    <w:rsid w:val="00887FA7"/>
    <w:rsid w:val="00892590"/>
    <w:rsid w:val="0089270E"/>
    <w:rsid w:val="008951FB"/>
    <w:rsid w:val="00895DB6"/>
    <w:rsid w:val="008A55D9"/>
    <w:rsid w:val="008A77D0"/>
    <w:rsid w:val="008B1363"/>
    <w:rsid w:val="008B6875"/>
    <w:rsid w:val="008C2995"/>
    <w:rsid w:val="008D1EAF"/>
    <w:rsid w:val="008E0344"/>
    <w:rsid w:val="008E2488"/>
    <w:rsid w:val="008E5096"/>
    <w:rsid w:val="008F01A0"/>
    <w:rsid w:val="008F56AC"/>
    <w:rsid w:val="00901CD8"/>
    <w:rsid w:val="0090266A"/>
    <w:rsid w:val="0091245F"/>
    <w:rsid w:val="00922974"/>
    <w:rsid w:val="009243E4"/>
    <w:rsid w:val="009246B9"/>
    <w:rsid w:val="00934289"/>
    <w:rsid w:val="00934F44"/>
    <w:rsid w:val="00946F89"/>
    <w:rsid w:val="00954002"/>
    <w:rsid w:val="009636B6"/>
    <w:rsid w:val="00963CC3"/>
    <w:rsid w:val="00973C6A"/>
    <w:rsid w:val="009778D3"/>
    <w:rsid w:val="00980A02"/>
    <w:rsid w:val="0098491A"/>
    <w:rsid w:val="00995BA8"/>
    <w:rsid w:val="009A2E0D"/>
    <w:rsid w:val="009A415D"/>
    <w:rsid w:val="009B25BD"/>
    <w:rsid w:val="009B4171"/>
    <w:rsid w:val="009B5BE6"/>
    <w:rsid w:val="009B63A3"/>
    <w:rsid w:val="009D410A"/>
    <w:rsid w:val="009F08C8"/>
    <w:rsid w:val="009F3085"/>
    <w:rsid w:val="00A00A96"/>
    <w:rsid w:val="00A03E2A"/>
    <w:rsid w:val="00A056F3"/>
    <w:rsid w:val="00A05C82"/>
    <w:rsid w:val="00A17E94"/>
    <w:rsid w:val="00A41FD0"/>
    <w:rsid w:val="00A43810"/>
    <w:rsid w:val="00A53392"/>
    <w:rsid w:val="00A545A3"/>
    <w:rsid w:val="00A56517"/>
    <w:rsid w:val="00A5778E"/>
    <w:rsid w:val="00A903FB"/>
    <w:rsid w:val="00A939EE"/>
    <w:rsid w:val="00AA3453"/>
    <w:rsid w:val="00AB5DCF"/>
    <w:rsid w:val="00AB5F19"/>
    <w:rsid w:val="00AC217D"/>
    <w:rsid w:val="00AC4422"/>
    <w:rsid w:val="00AD1448"/>
    <w:rsid w:val="00AD433B"/>
    <w:rsid w:val="00AE2C19"/>
    <w:rsid w:val="00AE46AA"/>
    <w:rsid w:val="00AF054D"/>
    <w:rsid w:val="00AF1EC8"/>
    <w:rsid w:val="00AF564E"/>
    <w:rsid w:val="00AF7608"/>
    <w:rsid w:val="00B056E6"/>
    <w:rsid w:val="00B068D2"/>
    <w:rsid w:val="00B07BD3"/>
    <w:rsid w:val="00B1194C"/>
    <w:rsid w:val="00B216E8"/>
    <w:rsid w:val="00B222EB"/>
    <w:rsid w:val="00B22445"/>
    <w:rsid w:val="00B304F9"/>
    <w:rsid w:val="00B34478"/>
    <w:rsid w:val="00B40BA8"/>
    <w:rsid w:val="00B44761"/>
    <w:rsid w:val="00B45A87"/>
    <w:rsid w:val="00B54CB5"/>
    <w:rsid w:val="00B56468"/>
    <w:rsid w:val="00B57496"/>
    <w:rsid w:val="00B65210"/>
    <w:rsid w:val="00B659A9"/>
    <w:rsid w:val="00B66BCE"/>
    <w:rsid w:val="00B7137E"/>
    <w:rsid w:val="00B71770"/>
    <w:rsid w:val="00B7285E"/>
    <w:rsid w:val="00B7690E"/>
    <w:rsid w:val="00B84957"/>
    <w:rsid w:val="00B869D7"/>
    <w:rsid w:val="00B93646"/>
    <w:rsid w:val="00BA1CDB"/>
    <w:rsid w:val="00BC5607"/>
    <w:rsid w:val="00BC5977"/>
    <w:rsid w:val="00BD1646"/>
    <w:rsid w:val="00BE111A"/>
    <w:rsid w:val="00BE5D54"/>
    <w:rsid w:val="00BE66E4"/>
    <w:rsid w:val="00C01111"/>
    <w:rsid w:val="00C1036F"/>
    <w:rsid w:val="00C110A2"/>
    <w:rsid w:val="00C14682"/>
    <w:rsid w:val="00C30D24"/>
    <w:rsid w:val="00C31D99"/>
    <w:rsid w:val="00C405BA"/>
    <w:rsid w:val="00C44763"/>
    <w:rsid w:val="00C50EC7"/>
    <w:rsid w:val="00C56F4D"/>
    <w:rsid w:val="00C605D3"/>
    <w:rsid w:val="00C6071E"/>
    <w:rsid w:val="00C620F5"/>
    <w:rsid w:val="00C708AD"/>
    <w:rsid w:val="00C750CF"/>
    <w:rsid w:val="00C813CA"/>
    <w:rsid w:val="00C84E20"/>
    <w:rsid w:val="00C85C98"/>
    <w:rsid w:val="00C86C8F"/>
    <w:rsid w:val="00C91C3F"/>
    <w:rsid w:val="00C9545A"/>
    <w:rsid w:val="00C95A2D"/>
    <w:rsid w:val="00C96376"/>
    <w:rsid w:val="00C971B1"/>
    <w:rsid w:val="00CA0317"/>
    <w:rsid w:val="00CA31B2"/>
    <w:rsid w:val="00CB165F"/>
    <w:rsid w:val="00CB427C"/>
    <w:rsid w:val="00CB4B42"/>
    <w:rsid w:val="00CB714E"/>
    <w:rsid w:val="00CD0E8D"/>
    <w:rsid w:val="00CD330E"/>
    <w:rsid w:val="00CF195D"/>
    <w:rsid w:val="00CF4D19"/>
    <w:rsid w:val="00CF541C"/>
    <w:rsid w:val="00CF70AB"/>
    <w:rsid w:val="00D049F1"/>
    <w:rsid w:val="00D11DFB"/>
    <w:rsid w:val="00D21E12"/>
    <w:rsid w:val="00D246EB"/>
    <w:rsid w:val="00D25F75"/>
    <w:rsid w:val="00D36091"/>
    <w:rsid w:val="00D4119A"/>
    <w:rsid w:val="00D54921"/>
    <w:rsid w:val="00D56463"/>
    <w:rsid w:val="00D624CC"/>
    <w:rsid w:val="00D67717"/>
    <w:rsid w:val="00D72119"/>
    <w:rsid w:val="00D72945"/>
    <w:rsid w:val="00D75AF0"/>
    <w:rsid w:val="00D951C6"/>
    <w:rsid w:val="00D977C1"/>
    <w:rsid w:val="00DA111B"/>
    <w:rsid w:val="00DB4E9E"/>
    <w:rsid w:val="00DC1E54"/>
    <w:rsid w:val="00DD1FE1"/>
    <w:rsid w:val="00DD5216"/>
    <w:rsid w:val="00DE0850"/>
    <w:rsid w:val="00DE5172"/>
    <w:rsid w:val="00DE6D16"/>
    <w:rsid w:val="00DF3A7C"/>
    <w:rsid w:val="00E00082"/>
    <w:rsid w:val="00E01B51"/>
    <w:rsid w:val="00E074CD"/>
    <w:rsid w:val="00E111AC"/>
    <w:rsid w:val="00E12BBE"/>
    <w:rsid w:val="00E133B7"/>
    <w:rsid w:val="00E14575"/>
    <w:rsid w:val="00E14FFA"/>
    <w:rsid w:val="00E17482"/>
    <w:rsid w:val="00E365E0"/>
    <w:rsid w:val="00E404A0"/>
    <w:rsid w:val="00E4168A"/>
    <w:rsid w:val="00E41B74"/>
    <w:rsid w:val="00E4209B"/>
    <w:rsid w:val="00E45B84"/>
    <w:rsid w:val="00E47A97"/>
    <w:rsid w:val="00E5366E"/>
    <w:rsid w:val="00E5580A"/>
    <w:rsid w:val="00E56B67"/>
    <w:rsid w:val="00E6542E"/>
    <w:rsid w:val="00E66C96"/>
    <w:rsid w:val="00E67B60"/>
    <w:rsid w:val="00E7017C"/>
    <w:rsid w:val="00E70EE8"/>
    <w:rsid w:val="00E724B8"/>
    <w:rsid w:val="00E73BBF"/>
    <w:rsid w:val="00E7756E"/>
    <w:rsid w:val="00E775AE"/>
    <w:rsid w:val="00E8134D"/>
    <w:rsid w:val="00E849B1"/>
    <w:rsid w:val="00E911AE"/>
    <w:rsid w:val="00EA4992"/>
    <w:rsid w:val="00EB42F5"/>
    <w:rsid w:val="00ED05D0"/>
    <w:rsid w:val="00EE3F15"/>
    <w:rsid w:val="00EE77FD"/>
    <w:rsid w:val="00F0709B"/>
    <w:rsid w:val="00F12550"/>
    <w:rsid w:val="00F129EF"/>
    <w:rsid w:val="00F13E68"/>
    <w:rsid w:val="00F1414C"/>
    <w:rsid w:val="00F1781F"/>
    <w:rsid w:val="00F32965"/>
    <w:rsid w:val="00F35703"/>
    <w:rsid w:val="00F35CBC"/>
    <w:rsid w:val="00F508CE"/>
    <w:rsid w:val="00F53A26"/>
    <w:rsid w:val="00F570E9"/>
    <w:rsid w:val="00F6104C"/>
    <w:rsid w:val="00F633D8"/>
    <w:rsid w:val="00F63E61"/>
    <w:rsid w:val="00F65F94"/>
    <w:rsid w:val="00F67A78"/>
    <w:rsid w:val="00F73483"/>
    <w:rsid w:val="00F759F2"/>
    <w:rsid w:val="00F82643"/>
    <w:rsid w:val="00F83304"/>
    <w:rsid w:val="00F84559"/>
    <w:rsid w:val="00F86C25"/>
    <w:rsid w:val="00F877C4"/>
    <w:rsid w:val="00F906BB"/>
    <w:rsid w:val="00F97760"/>
    <w:rsid w:val="00FB785F"/>
    <w:rsid w:val="00FC0CF9"/>
    <w:rsid w:val="00FD3200"/>
    <w:rsid w:val="00FD4D27"/>
    <w:rsid w:val="00FE3809"/>
    <w:rsid w:val="00FE4B4E"/>
    <w:rsid w:val="00FE675B"/>
    <w:rsid w:val="00FE7329"/>
    <w:rsid w:val="00FF4A49"/>
    <w:rsid w:val="00FF4E47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3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F85"/>
    <w:pPr>
      <w:keepNext/>
      <w:keepLines/>
      <w:spacing w:after="0" w:line="48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D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5607"/>
    <w:rPr>
      <w:i/>
      <w:iCs/>
    </w:rPr>
  </w:style>
  <w:style w:type="character" w:styleId="Hyperlink">
    <w:name w:val="Hyperlink"/>
    <w:basedOn w:val="DefaultParagraphFont"/>
    <w:uiPriority w:val="99"/>
    <w:unhideWhenUsed/>
    <w:rsid w:val="00B056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5BD"/>
    <w:pPr>
      <w:ind w:left="720"/>
      <w:contextualSpacing/>
    </w:pPr>
  </w:style>
  <w:style w:type="character" w:customStyle="1" w:styleId="underline">
    <w:name w:val="underline"/>
    <w:basedOn w:val="DefaultParagraphFont"/>
    <w:rsid w:val="009B25BD"/>
  </w:style>
  <w:style w:type="paragraph" w:styleId="Title">
    <w:name w:val="Title"/>
    <w:basedOn w:val="Normal"/>
    <w:next w:val="Normal"/>
    <w:link w:val="TitleChar"/>
    <w:uiPriority w:val="10"/>
    <w:qFormat/>
    <w:rsid w:val="00503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3F85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2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E1"/>
    <w:rPr>
      <w:rFonts w:ascii="Tahoma" w:hAnsi="Tahoma" w:cs="Tahoma"/>
      <w:sz w:val="16"/>
      <w:szCs w:val="16"/>
    </w:rPr>
  </w:style>
  <w:style w:type="character" w:customStyle="1" w:styleId="jrnl">
    <w:name w:val="jrnl"/>
    <w:basedOn w:val="DefaultParagraphFont"/>
    <w:rsid w:val="00B34478"/>
  </w:style>
  <w:style w:type="paragraph" w:styleId="Revision">
    <w:name w:val="Revision"/>
    <w:hidden/>
    <w:uiPriority w:val="99"/>
    <w:semiHidden/>
    <w:rsid w:val="006856EC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504BC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4BC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04BC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04BCC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7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25"/>
  </w:style>
  <w:style w:type="paragraph" w:styleId="Footer">
    <w:name w:val="footer"/>
    <w:basedOn w:val="Normal"/>
    <w:link w:val="FooterChar"/>
    <w:uiPriority w:val="99"/>
    <w:unhideWhenUsed/>
    <w:rsid w:val="00797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25"/>
  </w:style>
  <w:style w:type="character" w:styleId="LineNumber">
    <w:name w:val="line number"/>
    <w:basedOn w:val="DefaultParagraphFont"/>
    <w:uiPriority w:val="99"/>
    <w:semiHidden/>
    <w:unhideWhenUsed/>
    <w:rsid w:val="00C91C3F"/>
  </w:style>
  <w:style w:type="paragraph" w:styleId="PlainText">
    <w:name w:val="Plain Text"/>
    <w:basedOn w:val="Normal"/>
    <w:link w:val="PlainTextChar"/>
    <w:uiPriority w:val="99"/>
    <w:semiHidden/>
    <w:unhideWhenUsed/>
    <w:rsid w:val="00A41FD0"/>
    <w:pPr>
      <w:spacing w:after="0" w:line="240" w:lineRule="auto"/>
    </w:pPr>
    <w:rPr>
      <w:rFonts w:ascii="Calibri" w:eastAsiaTheme="minorEastAsia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1FD0"/>
    <w:rPr>
      <w:rFonts w:ascii="Calibri" w:eastAsiaTheme="minorEastAsia" w:hAnsi="Calibri" w:cs="Consolas"/>
      <w:szCs w:val="21"/>
      <w:lang w:eastAsia="en-GB"/>
    </w:rPr>
  </w:style>
  <w:style w:type="table" w:styleId="TableGrid">
    <w:name w:val="Table Grid"/>
    <w:basedOn w:val="TableNormal"/>
    <w:uiPriority w:val="59"/>
    <w:rsid w:val="0027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E5D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F85"/>
    <w:pPr>
      <w:keepNext/>
      <w:keepLines/>
      <w:spacing w:after="0" w:line="48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D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5607"/>
    <w:rPr>
      <w:i/>
      <w:iCs/>
    </w:rPr>
  </w:style>
  <w:style w:type="character" w:styleId="Hyperlink">
    <w:name w:val="Hyperlink"/>
    <w:basedOn w:val="DefaultParagraphFont"/>
    <w:uiPriority w:val="99"/>
    <w:unhideWhenUsed/>
    <w:rsid w:val="00B056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5BD"/>
    <w:pPr>
      <w:ind w:left="720"/>
      <w:contextualSpacing/>
    </w:pPr>
  </w:style>
  <w:style w:type="character" w:customStyle="1" w:styleId="underline">
    <w:name w:val="underline"/>
    <w:basedOn w:val="DefaultParagraphFont"/>
    <w:rsid w:val="009B25BD"/>
  </w:style>
  <w:style w:type="paragraph" w:styleId="Title">
    <w:name w:val="Title"/>
    <w:basedOn w:val="Normal"/>
    <w:next w:val="Normal"/>
    <w:link w:val="TitleChar"/>
    <w:uiPriority w:val="10"/>
    <w:qFormat/>
    <w:rsid w:val="00503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3F85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2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E1"/>
    <w:rPr>
      <w:rFonts w:ascii="Tahoma" w:hAnsi="Tahoma" w:cs="Tahoma"/>
      <w:sz w:val="16"/>
      <w:szCs w:val="16"/>
    </w:rPr>
  </w:style>
  <w:style w:type="character" w:customStyle="1" w:styleId="jrnl">
    <w:name w:val="jrnl"/>
    <w:basedOn w:val="DefaultParagraphFont"/>
    <w:rsid w:val="00B34478"/>
  </w:style>
  <w:style w:type="paragraph" w:styleId="Revision">
    <w:name w:val="Revision"/>
    <w:hidden/>
    <w:uiPriority w:val="99"/>
    <w:semiHidden/>
    <w:rsid w:val="006856EC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504BC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4BC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04BC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04BCC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7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25"/>
  </w:style>
  <w:style w:type="paragraph" w:styleId="Footer">
    <w:name w:val="footer"/>
    <w:basedOn w:val="Normal"/>
    <w:link w:val="FooterChar"/>
    <w:uiPriority w:val="99"/>
    <w:unhideWhenUsed/>
    <w:rsid w:val="00797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25"/>
  </w:style>
  <w:style w:type="character" w:styleId="LineNumber">
    <w:name w:val="line number"/>
    <w:basedOn w:val="DefaultParagraphFont"/>
    <w:uiPriority w:val="99"/>
    <w:semiHidden/>
    <w:unhideWhenUsed/>
    <w:rsid w:val="00C91C3F"/>
  </w:style>
  <w:style w:type="paragraph" w:styleId="PlainText">
    <w:name w:val="Plain Text"/>
    <w:basedOn w:val="Normal"/>
    <w:link w:val="PlainTextChar"/>
    <w:uiPriority w:val="99"/>
    <w:semiHidden/>
    <w:unhideWhenUsed/>
    <w:rsid w:val="00A41FD0"/>
    <w:pPr>
      <w:spacing w:after="0" w:line="240" w:lineRule="auto"/>
    </w:pPr>
    <w:rPr>
      <w:rFonts w:ascii="Calibri" w:eastAsiaTheme="minorEastAsia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1FD0"/>
    <w:rPr>
      <w:rFonts w:ascii="Calibri" w:eastAsiaTheme="minorEastAsia" w:hAnsi="Calibri" w:cs="Consolas"/>
      <w:szCs w:val="21"/>
      <w:lang w:eastAsia="en-GB"/>
    </w:rPr>
  </w:style>
  <w:style w:type="table" w:styleId="TableGrid">
    <w:name w:val="Table Grid"/>
    <w:basedOn w:val="TableNormal"/>
    <w:uiPriority w:val="59"/>
    <w:rsid w:val="0027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E5D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B84A-ED2E-4435-BA0C-35BF7499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glabbe</dc:creator>
  <cp:lastModifiedBy>Shine David S.A.</cp:lastModifiedBy>
  <cp:revision>6</cp:revision>
  <cp:lastPrinted>2019-02-06T16:34:00Z</cp:lastPrinted>
  <dcterms:created xsi:type="dcterms:W3CDTF">2019-07-18T21:42:00Z</dcterms:created>
  <dcterms:modified xsi:type="dcterms:W3CDTF">2019-08-30T10:17:00Z</dcterms:modified>
</cp:coreProperties>
</file>