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C6" w:rsidRPr="00891E2E" w:rsidRDefault="001B7AC6" w:rsidP="001B7AC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Additional fi8le 3: T</w:t>
      </w:r>
      <w:r w:rsidRPr="005F5301">
        <w:rPr>
          <w:rFonts w:ascii="Times New Roman" w:eastAsia="Times New Roman" w:hAnsi="Times New Roman" w:cs="Times New Roman"/>
          <w:b/>
          <w:sz w:val="20"/>
          <w:szCs w:val="20"/>
        </w:rPr>
        <w:t xml:space="preserve">able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5F5301">
        <w:rPr>
          <w:rFonts w:ascii="Times New Roman" w:eastAsia="Times New Roman" w:hAnsi="Times New Roman" w:cs="Times New Roman"/>
          <w:b/>
          <w:sz w:val="20"/>
          <w:szCs w:val="20"/>
        </w:rPr>
        <w:t xml:space="preserve">3. Comparison of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180-day </w:t>
      </w:r>
      <w:r w:rsidRPr="005F5301">
        <w:rPr>
          <w:rFonts w:ascii="Times New Roman" w:eastAsia="Times New Roman" w:hAnsi="Times New Roman" w:cs="Times New Roman"/>
          <w:b/>
          <w:sz w:val="20"/>
          <w:szCs w:val="20"/>
        </w:rPr>
        <w:t>mortality of MI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</w:t>
      </w:r>
      <w:r w:rsidRPr="005F5301">
        <w:rPr>
          <w:rFonts w:ascii="Times New Roman" w:eastAsia="Times New Roman" w:hAnsi="Times New Roman" w:cs="Times New Roman"/>
          <w:b/>
          <w:sz w:val="20"/>
          <w:szCs w:val="20"/>
        </w:rPr>
        <w:t xml:space="preserve">stroke in sepsis and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propensity score</w:t>
      </w:r>
      <w:r w:rsidRPr="005F5301">
        <w:rPr>
          <w:rFonts w:ascii="Times New Roman" w:eastAsia="Times New Roman" w:hAnsi="Times New Roman" w:cs="Times New Roman"/>
          <w:b/>
          <w:sz w:val="20"/>
          <w:szCs w:val="20"/>
        </w:rPr>
        <w:t>-matched non-sepsis cohorts</w:t>
      </w:r>
    </w:p>
    <w:tbl>
      <w:tblPr>
        <w:tblW w:w="9798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77"/>
        <w:gridCol w:w="3686"/>
        <w:gridCol w:w="2835"/>
      </w:tblGrid>
      <w:tr w:rsidR="001B7AC6" w:rsidTr="00326EC8">
        <w:trPr>
          <w:trHeight w:val="314"/>
        </w:trPr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C6" w:rsidRDefault="001B7AC6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Mortality of sepsis patients with MI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C6" w:rsidRDefault="001B7AC6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Mortality of non-sepsis patients with MI 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C6" w:rsidRDefault="001B7AC6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HR (95% confidence interval)</w:t>
            </w:r>
          </w:p>
        </w:tc>
      </w:tr>
      <w:tr w:rsidR="001B7AC6" w:rsidTr="00326EC8">
        <w:trPr>
          <w:trHeight w:val="79"/>
        </w:trPr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C6" w:rsidRDefault="001B7AC6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/ 172 (13%)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C6" w:rsidRDefault="001B7AC6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/ 109 (13%)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C6" w:rsidRDefault="001B7AC6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0.99 (0.82,1.18)</w:t>
            </w:r>
          </w:p>
        </w:tc>
      </w:tr>
      <w:tr w:rsidR="001B7AC6" w:rsidTr="00326EC8">
        <w:trPr>
          <w:trHeight w:val="443"/>
        </w:trPr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C6" w:rsidRPr="004F6A85" w:rsidRDefault="001B7AC6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Mortality of sepsis patients with stroke (ICD-9 433-438)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C6" w:rsidRDefault="001B7AC6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Mortality of non-sepsis patients with stroke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C6" w:rsidRDefault="001B7AC6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HR (95% confidence interval)</w:t>
            </w:r>
          </w:p>
        </w:tc>
      </w:tr>
      <w:tr w:rsidR="001B7AC6" w:rsidTr="00326EC8">
        <w:trPr>
          <w:trHeight w:val="79"/>
        </w:trPr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C6" w:rsidRDefault="001B7AC6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732 / 796 (9%)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C6" w:rsidRDefault="001B7AC6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 / 335 (10%)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C6" w:rsidRDefault="001B7AC6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0.92 (0.82,1.02)</w:t>
            </w:r>
          </w:p>
        </w:tc>
      </w:tr>
      <w:tr w:rsidR="001B7AC6" w:rsidTr="00326EC8">
        <w:trPr>
          <w:trHeight w:val="366"/>
        </w:trPr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C6" w:rsidRDefault="001B7AC6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Mortality of sepsis patients with composite MI/stroke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C6" w:rsidRDefault="001B7AC6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Mortality of non-sepsis patients with composite MI/stroke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C6" w:rsidRDefault="001B7AC6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HR (95% confidence interval)</w:t>
            </w:r>
          </w:p>
        </w:tc>
      </w:tr>
      <w:tr w:rsidR="001B7AC6" w:rsidTr="00326EC8">
        <w:trPr>
          <w:trHeight w:val="25"/>
        </w:trPr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C6" w:rsidRDefault="001B7AC6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122 / 1171 (10%)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C6" w:rsidRDefault="001B7AC6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 / 507 (11%)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AC6" w:rsidRDefault="001B7AC6" w:rsidP="00326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0.95 (0.87,1.02)</w:t>
            </w:r>
          </w:p>
        </w:tc>
      </w:tr>
    </w:tbl>
    <w:p w:rsidR="007F5099" w:rsidRDefault="001B7AC6">
      <w:r>
        <w:rPr>
          <w:rFonts w:ascii="Times New Roman" w:eastAsia="Times New Roman" w:hAnsi="Times New Roman" w:cs="Times New Roman"/>
        </w:rPr>
        <w:t xml:space="preserve">Caption: </w:t>
      </w:r>
      <w:r w:rsidRPr="003A693F">
        <w:rPr>
          <w:rFonts w:ascii="Times" w:hAnsi="Times"/>
          <w:i/>
        </w:rPr>
        <w:t>Representation of the survival analysis results using Cox regression model summarizing survival impact of sepsis on the mortality of MI, stroke and MI/stroke while accounting for potential confounders.</w:t>
      </w:r>
      <w:r w:rsidRPr="00C34AA6">
        <w:rPr>
          <w:rFonts w:ascii="Times" w:hAnsi="Times"/>
          <w:i/>
        </w:rPr>
        <w:t xml:space="preserve"> </w:t>
      </w:r>
      <w:r w:rsidRPr="003A693F">
        <w:rPr>
          <w:rFonts w:ascii="Times" w:hAnsi="Times"/>
          <w:i/>
        </w:rPr>
        <w:t>Abbreviation</w:t>
      </w:r>
      <w:r>
        <w:rPr>
          <w:rFonts w:ascii="Times" w:hAnsi="Times"/>
          <w:i/>
        </w:rPr>
        <w:t>s</w:t>
      </w:r>
      <w:r w:rsidRPr="003A693F">
        <w:rPr>
          <w:rFonts w:ascii="Times" w:hAnsi="Times"/>
          <w:i/>
        </w:rPr>
        <w:t>: MI, myocardial infarction</w:t>
      </w:r>
      <w:r>
        <w:rPr>
          <w:rFonts w:ascii="Times" w:hAnsi="Times"/>
          <w:i/>
        </w:rPr>
        <w:t xml:space="preserve">; </w:t>
      </w:r>
      <w:bookmarkStart w:id="0" w:name="_Hlk11488767"/>
      <w:r>
        <w:rPr>
          <w:rFonts w:ascii="Times" w:hAnsi="Times"/>
          <w:i/>
        </w:rPr>
        <w:t>HR, hazard ratio</w:t>
      </w:r>
      <w:bookmarkStart w:id="1" w:name="_GoBack"/>
      <w:bookmarkEnd w:id="0"/>
      <w:bookmarkEnd w:id="1"/>
    </w:p>
    <w:sectPr w:rsidR="007F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C6"/>
    <w:rsid w:val="001B7AC6"/>
    <w:rsid w:val="0042031C"/>
    <w:rsid w:val="00694125"/>
    <w:rsid w:val="007F5099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C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42031C"/>
    <w:pPr>
      <w:keepNext/>
      <w:widowControl/>
      <w:spacing w:before="180" w:after="60"/>
      <w:ind w:left="480" w:hanging="240"/>
      <w:jc w:val="both"/>
      <w:outlineLvl w:val="0"/>
    </w:pPr>
    <w:rPr>
      <w:rFonts w:ascii="Myriad Pro Light" w:eastAsia="Times New Roman" w:hAnsi="Myriad Pro Light" w:cs="Arial"/>
      <w:b/>
      <w:bCs/>
      <w:kern w:val="32"/>
      <w:sz w:val="2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2031C"/>
    <w:pPr>
      <w:keepNext/>
      <w:widowControl/>
      <w:spacing w:before="60" w:after="60"/>
      <w:jc w:val="both"/>
      <w:outlineLvl w:val="1"/>
    </w:pPr>
    <w:rPr>
      <w:rFonts w:ascii="Myriad Pro Light" w:eastAsia="Times New Roman" w:hAnsi="Myriad Pro Light" w:cs="Arial"/>
      <w:b/>
      <w:bCs/>
      <w:iCs/>
      <w:kern w:val="0"/>
      <w:sz w:val="2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2031C"/>
    <w:pPr>
      <w:keepNext/>
      <w:widowControl/>
      <w:spacing w:before="60" w:after="60"/>
      <w:ind w:left="180"/>
      <w:jc w:val="both"/>
      <w:outlineLvl w:val="2"/>
    </w:pPr>
    <w:rPr>
      <w:rFonts w:ascii="Myriad Pro Light" w:eastAsia="Times New Roman" w:hAnsi="Myriad Pro Light" w:cs="Arial"/>
      <w:b/>
      <w:bCs/>
      <w:kern w:val="0"/>
      <w:sz w:val="2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31C"/>
    <w:rPr>
      <w:rFonts w:ascii="Myriad Pro Light" w:hAnsi="Myriad Pro Light" w:cs="Arial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42031C"/>
    <w:rPr>
      <w:rFonts w:ascii="Myriad Pro Light" w:hAnsi="Myriad Pro Light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42031C"/>
    <w:rPr>
      <w:rFonts w:ascii="Myriad Pro Light" w:hAnsi="Myriad Pro Light" w:cs="Arial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42031C"/>
    <w:pPr>
      <w:widowControl/>
      <w:spacing w:after="160" w:line="259" w:lineRule="auto"/>
      <w:ind w:left="720"/>
      <w:contextualSpacing/>
    </w:pPr>
    <w:rPr>
      <w:rFonts w:eastAsiaTheme="minorHAnsi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C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42031C"/>
    <w:pPr>
      <w:keepNext/>
      <w:widowControl/>
      <w:spacing w:before="180" w:after="60"/>
      <w:ind w:left="480" w:hanging="240"/>
      <w:jc w:val="both"/>
      <w:outlineLvl w:val="0"/>
    </w:pPr>
    <w:rPr>
      <w:rFonts w:ascii="Myriad Pro Light" w:eastAsia="Times New Roman" w:hAnsi="Myriad Pro Light" w:cs="Arial"/>
      <w:b/>
      <w:bCs/>
      <w:kern w:val="32"/>
      <w:sz w:val="2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2031C"/>
    <w:pPr>
      <w:keepNext/>
      <w:widowControl/>
      <w:spacing w:before="60" w:after="60"/>
      <w:jc w:val="both"/>
      <w:outlineLvl w:val="1"/>
    </w:pPr>
    <w:rPr>
      <w:rFonts w:ascii="Myriad Pro Light" w:eastAsia="Times New Roman" w:hAnsi="Myriad Pro Light" w:cs="Arial"/>
      <w:b/>
      <w:bCs/>
      <w:iCs/>
      <w:kern w:val="0"/>
      <w:sz w:val="20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2031C"/>
    <w:pPr>
      <w:keepNext/>
      <w:widowControl/>
      <w:spacing w:before="60" w:after="60"/>
      <w:ind w:left="180"/>
      <w:jc w:val="both"/>
      <w:outlineLvl w:val="2"/>
    </w:pPr>
    <w:rPr>
      <w:rFonts w:ascii="Myriad Pro Light" w:eastAsia="Times New Roman" w:hAnsi="Myriad Pro Light" w:cs="Arial"/>
      <w:b/>
      <w:bCs/>
      <w:kern w:val="0"/>
      <w:sz w:val="2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31C"/>
    <w:rPr>
      <w:rFonts w:ascii="Myriad Pro Light" w:hAnsi="Myriad Pro Light" w:cs="Arial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42031C"/>
    <w:rPr>
      <w:rFonts w:ascii="Myriad Pro Light" w:hAnsi="Myriad Pro Light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42031C"/>
    <w:rPr>
      <w:rFonts w:ascii="Myriad Pro Light" w:hAnsi="Myriad Pro Light" w:cs="Arial"/>
      <w:b/>
      <w:bCs/>
      <w:szCs w:val="26"/>
    </w:rPr>
  </w:style>
  <w:style w:type="paragraph" w:styleId="ListParagraph">
    <w:name w:val="List Paragraph"/>
    <w:basedOn w:val="Normal"/>
    <w:uiPriority w:val="34"/>
    <w:qFormat/>
    <w:rsid w:val="0042031C"/>
    <w:pPr>
      <w:widowControl/>
      <w:spacing w:after="160" w:line="259" w:lineRule="auto"/>
      <w:ind w:left="720"/>
      <w:contextualSpacing/>
    </w:pPr>
    <w:rPr>
      <w:rFonts w:eastAsiaTheme="minorHAns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MCALORING</dc:creator>
  <cp:lastModifiedBy>MCALORING</cp:lastModifiedBy>
  <cp:revision>1</cp:revision>
  <dcterms:created xsi:type="dcterms:W3CDTF">2019-08-24T01:37:00Z</dcterms:created>
  <dcterms:modified xsi:type="dcterms:W3CDTF">2019-08-24T01:37:00Z</dcterms:modified>
</cp:coreProperties>
</file>