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D0BF" w14:textId="7CFF28AF" w:rsidR="001976F5" w:rsidRPr="001976F5" w:rsidRDefault="00473D15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r w:rsidRPr="001976F5">
        <w:rPr>
          <w:rFonts w:ascii="Times New Roman" w:hAnsi="Times New Roman"/>
        </w:rPr>
        <w:fldChar w:fldCharType="begin"/>
      </w:r>
      <w:r w:rsidRPr="001976F5">
        <w:rPr>
          <w:rFonts w:ascii="Times New Roman" w:hAnsi="Times New Roman"/>
        </w:rPr>
        <w:instrText xml:space="preserve"> TOC \o "1-1" \h \z \u </w:instrText>
      </w:r>
      <w:r w:rsidRPr="001976F5">
        <w:rPr>
          <w:rFonts w:ascii="Times New Roman" w:hAnsi="Times New Roman"/>
        </w:rPr>
        <w:fldChar w:fldCharType="separate"/>
      </w:r>
      <w:hyperlink w:anchor="_Toc501984025" w:history="1">
        <w:r w:rsidR="001976F5" w:rsidRPr="001976F5">
          <w:rPr>
            <w:rStyle w:val="a9"/>
            <w:rFonts w:ascii="Times New Roman" w:hAnsi="Times New Roman"/>
            <w:noProof/>
          </w:rPr>
          <w:t xml:space="preserve">a. Forest 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</w:rPr>
          <w:t>. Effect of antiresorptive medications preventing secondary vertebral fracture.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_Toc501984025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3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DC0BFF" w14:textId="77BC8308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26" w:history="1">
        <w:r w:rsidR="001976F5" w:rsidRPr="001976F5">
          <w:rPr>
            <w:rStyle w:val="a9"/>
            <w:rFonts w:ascii="Times New Roman" w:hAnsi="Times New Roman"/>
            <w:noProof/>
          </w:rPr>
          <w:t xml:space="preserve">b. 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Forest plot. GI complaints of bisphosphonates.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_Toc501984026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4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C522F4" w14:textId="78DDBAB0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27" w:history="1">
        <w:r w:rsidR="001976F5" w:rsidRPr="001976F5">
          <w:rPr>
            <w:rStyle w:val="a9"/>
            <w:rFonts w:ascii="Times New Roman" w:hAnsi="Times New Roman"/>
            <w:noProof/>
          </w:rPr>
          <w:t>c. Forest plot. Discontinuation due to AEs – Zoledron</w:t>
        </w:r>
        <w:r w:rsidR="00453F0F">
          <w:rPr>
            <w:rStyle w:val="a9"/>
            <w:rFonts w:ascii="Times New Roman" w:hAnsi="Times New Roman"/>
            <w:noProof/>
          </w:rPr>
          <w:t>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_Toc501984027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5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DDAEB5D" w14:textId="58CD7854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28" w:history="1">
        <w:r w:rsidR="001976F5" w:rsidRPr="001976F5">
          <w:rPr>
            <w:rStyle w:val="a9"/>
            <w:rFonts w:ascii="Times New Roman" w:hAnsi="Times New Roman"/>
            <w:noProof/>
          </w:rPr>
          <w:t>d. Forest plot. Preventing non-vertebral fracture – Zoledro</w:t>
        </w:r>
        <w:r w:rsidR="0018503D">
          <w:rPr>
            <w:rStyle w:val="a9"/>
            <w:rFonts w:ascii="Times New Roman" w:hAnsi="Times New Roman"/>
            <w:noProof/>
          </w:rPr>
          <w:t>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_Toc501984028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5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84513D" w14:textId="5C929527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29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e. Forest plot. GI complaints - Alendronate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_Toc501984029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5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2D4DC7" w14:textId="2A558F57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0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f. Forest plot. Discontinuation due to AEs – Alendronate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_Toc501984030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5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A0DA31C" w14:textId="75393B48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1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g. Forest </w:t>
        </w:r>
        <w:r w:rsidR="001976F5" w:rsidRPr="001976F5">
          <w:rPr>
            <w:rStyle w:val="a9"/>
            <w:rFonts w:ascii="Times New Roman" w:hAnsi="Times New Roman"/>
            <w:noProof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. Non-vertebral fracture – Alendronate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_Toc501984031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6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8375586" w14:textId="087693AD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2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h. Forest plot. GI </w:t>
        </w:r>
        <w:r w:rsidR="001976F5" w:rsidRPr="001976F5">
          <w:rPr>
            <w:rStyle w:val="a9"/>
            <w:rFonts w:ascii="Times New Roman" w:hAnsi="Times New Roman"/>
            <w:noProof/>
          </w:rPr>
          <w:t>complaints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– Risedronate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_Toc501984032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7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DD89BD1" w14:textId="5BC29704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3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i. Forest </w:t>
        </w:r>
        <w:r w:rsidR="001976F5" w:rsidRPr="001976F5">
          <w:rPr>
            <w:rStyle w:val="a9"/>
            <w:rFonts w:ascii="Times New Roman" w:hAnsi="Times New Roman"/>
            <w:noProof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. Discontinuation due to AEs - Risedronate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_Toc501984033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7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9DE8C3A" w14:textId="6837E24D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4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j. Forest </w:t>
        </w:r>
        <w:r w:rsidR="001976F5" w:rsidRPr="001976F5">
          <w:rPr>
            <w:rStyle w:val="a9"/>
            <w:rFonts w:ascii="Times New Roman" w:hAnsi="Times New Roman"/>
            <w:noProof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. Non-vertebral fracture – Risedronate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_Toc501984034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7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9B644BE" w14:textId="06BA9D94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5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k. Forest </w:t>
        </w:r>
        <w:r w:rsidR="001976F5" w:rsidRPr="001976F5">
          <w:rPr>
            <w:rStyle w:val="a9"/>
            <w:rFonts w:ascii="Times New Roman" w:hAnsi="Times New Roman"/>
            <w:noProof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. Sensitivity test. Excluding a study with a small sample size and big variance with other studies.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_Toc501984035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8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078054B" w14:textId="4C8D5170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6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l. Forest plot. GI complaints – Etidronate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_Toc501984036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8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6FC0AC" w14:textId="64F2BA97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7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m. Forest </w:t>
        </w:r>
        <w:r w:rsidR="001976F5" w:rsidRPr="001976F5">
          <w:rPr>
            <w:rStyle w:val="a9"/>
            <w:rFonts w:ascii="Times New Roman" w:hAnsi="Times New Roman"/>
            <w:noProof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. Discontinuation – Etidronate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_Toc501984037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8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53F69B0" w14:textId="5345C130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8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n. Forest plot. Non-vertebral fracture – Etidronate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_Toc501984038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9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CC671A8" w14:textId="04EC6099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39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o.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Discontinuation due to AEs – Ibandronate (sufficient dose)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_Toc501984039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9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03295F" w14:textId="6FC16420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0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p. Forest </w:t>
        </w:r>
        <w:r w:rsidR="001976F5" w:rsidRPr="001976F5">
          <w:rPr>
            <w:rStyle w:val="a9"/>
            <w:rFonts w:ascii="Times New Roman" w:hAnsi="Times New Roman"/>
            <w:noProof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. Discontinuation due to AEs – Ibandronate (insufficient dose)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_Toc501984040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9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571EB7" w14:textId="115303A5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1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q. Forest </w:t>
        </w:r>
        <w:r w:rsidR="001976F5" w:rsidRPr="001976F5">
          <w:rPr>
            <w:rStyle w:val="a9"/>
            <w:rFonts w:ascii="Times New Roman" w:hAnsi="Times New Roman"/>
            <w:noProof/>
          </w:rPr>
          <w:t>plot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. Non-vertebral fracture – Ibandronate (sufficient dose)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_Toc501984041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9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1424053" w14:textId="04A05F9E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2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r.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Non-vertebral fracture – Ibandronate (insufficient dose)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_Toc501984042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10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AA94EF" w14:textId="0C2A3706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3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s. Forest plot. Non-vertebral fracture – Minodronate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_Toc501984043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10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205423" w14:textId="115A2BEC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4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t. Forest plot. Non-vertebral fracture – Pamidronate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_Toc501984044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10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F48AF37" w14:textId="669CB8E7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5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u.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Non-vertebral fracture – HRT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_Toc501984045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10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276850E" w14:textId="2DDF5E68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6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v.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Discontinuation due to AEs – HRT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_Toc501984046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11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DB4D24" w14:textId="47BB6D79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7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w. Forest plot. Discontinuation due to AEs – PTH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_Toc501984047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11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32B3D03" w14:textId="06668CE2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8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x.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Non-vertebral fracture – PTH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_Toc501984048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12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CD07B3F" w14:textId="2BB4B97A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49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y.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Discontinuation due to AEs – Denosumab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_Toc501984049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12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51513F4" w14:textId="02EABCD9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50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z.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Non-vertebral fracture – Denosumab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_Toc501984050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12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4AB390D" w14:textId="783B8A3C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51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aa.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Discontinuation – Risedronate vs. PTH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_Toc501984051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13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B89785" w14:textId="17DA6968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52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bb.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Non-vertebral fracture – Teriparatide vs. Risedronate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_Toc501984052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13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997D18" w14:textId="5B652E60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53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cc. </w:t>
        </w:r>
        <w:r w:rsidR="001976F5" w:rsidRPr="001976F5">
          <w:rPr>
            <w:rStyle w:val="a9"/>
            <w:rFonts w:ascii="Times New Roman" w:hAnsi="Times New Roman"/>
            <w:noProof/>
          </w:rPr>
          <w:t>Forest</w:t>
        </w:r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 xml:space="preserve"> plot. Non-vertebral fracture – Alendronate vs. Denosumab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_Toc501984053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13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E60C8E6" w14:textId="7D753CBA" w:rsidR="001976F5" w:rsidRPr="001976F5" w:rsidRDefault="00A75128">
      <w:pPr>
        <w:pStyle w:val="10"/>
        <w:tabs>
          <w:tab w:val="right" w:leader="dot" w:pos="9016"/>
        </w:tabs>
        <w:rPr>
          <w:rFonts w:ascii="Times New Roman" w:hAnsi="Times New Roman"/>
          <w:noProof/>
          <w:kern w:val="2"/>
          <w:sz w:val="20"/>
        </w:rPr>
      </w:pPr>
      <w:hyperlink w:anchor="_Toc501984054" w:history="1">
        <w:r w:rsidR="001976F5" w:rsidRPr="001976F5">
          <w:rPr>
            <w:rStyle w:val="a9"/>
            <w:rFonts w:ascii="Times New Roman" w:hAnsi="Times New Roman"/>
            <w:noProof/>
            <w:lang w:eastAsia="zh-CN"/>
          </w:rPr>
          <w:t>cc. Forest plot. Non-vertebral fracture – Romosozumab vs. Alendronate</w:t>
        </w:r>
        <w:r w:rsidR="001976F5" w:rsidRPr="001976F5">
          <w:rPr>
            <w:rFonts w:ascii="Times New Roman" w:hAnsi="Times New Roman"/>
            <w:noProof/>
            <w:webHidden/>
          </w:rPr>
          <w:tab/>
        </w:r>
        <w:r w:rsidR="001976F5" w:rsidRPr="001976F5">
          <w:rPr>
            <w:rFonts w:ascii="Times New Roman" w:hAnsi="Times New Roman"/>
            <w:noProof/>
            <w:webHidden/>
          </w:rPr>
          <w:fldChar w:fldCharType="begin"/>
        </w:r>
        <w:r w:rsidR="001976F5" w:rsidRPr="001976F5">
          <w:rPr>
            <w:rFonts w:ascii="Times New Roman" w:hAnsi="Times New Roman"/>
            <w:noProof/>
            <w:webHidden/>
          </w:rPr>
          <w:instrText xml:space="preserve"> PAGEREF _Toc501984054 \h </w:instrText>
        </w:r>
        <w:r w:rsidR="001976F5" w:rsidRPr="001976F5">
          <w:rPr>
            <w:rFonts w:ascii="Times New Roman" w:hAnsi="Times New Roman"/>
            <w:noProof/>
            <w:webHidden/>
          </w:rPr>
        </w:r>
        <w:r w:rsidR="001976F5" w:rsidRPr="001976F5">
          <w:rPr>
            <w:rFonts w:ascii="Times New Roman" w:hAnsi="Times New Roman"/>
            <w:noProof/>
            <w:webHidden/>
          </w:rPr>
          <w:fldChar w:fldCharType="separate"/>
        </w:r>
        <w:r w:rsidR="001976F5" w:rsidRPr="001976F5">
          <w:rPr>
            <w:rFonts w:ascii="Times New Roman" w:hAnsi="Times New Roman"/>
            <w:noProof/>
            <w:webHidden/>
          </w:rPr>
          <w:t>13</w:t>
        </w:r>
        <w:r w:rsidR="001976F5" w:rsidRPr="001976F5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1F1F5FD" w14:textId="0F43FC54" w:rsidR="00D77F33" w:rsidRPr="001976F5" w:rsidRDefault="00473D15">
      <w:pPr>
        <w:widowControl/>
        <w:autoSpaceDE/>
        <w:autoSpaceDN/>
        <w:ind w:firstLineChars="0" w:firstLine="0"/>
        <w:rPr>
          <w:rFonts w:eastAsiaTheme="minorEastAsia" w:cs="Times New Roman"/>
        </w:rPr>
      </w:pPr>
      <w:r w:rsidRPr="001976F5">
        <w:rPr>
          <w:rFonts w:eastAsiaTheme="minorEastAsia" w:cs="Times New Roman"/>
        </w:rPr>
        <w:fldChar w:fldCharType="end"/>
      </w:r>
    </w:p>
    <w:p w14:paraId="660808B9" w14:textId="05B1B450" w:rsidR="006926C2" w:rsidRPr="00473D15" w:rsidRDefault="00D77F33" w:rsidP="00473D15">
      <w:pPr>
        <w:pStyle w:val="1"/>
      </w:pPr>
      <w:r>
        <w:br w:type="page"/>
      </w:r>
      <w:bookmarkStart w:id="0" w:name="_Toc501984025"/>
      <w:r w:rsidR="00473D15">
        <w:lastRenderedPageBreak/>
        <w:t xml:space="preserve">a. </w:t>
      </w:r>
      <w:r w:rsidR="006A1A21">
        <w:rPr>
          <w:rFonts w:hint="eastAsia"/>
        </w:rPr>
        <w:t>F</w:t>
      </w:r>
      <w:r w:rsidR="006A1A21">
        <w:t xml:space="preserve">orest </w:t>
      </w:r>
      <w:r w:rsidR="006A1A21">
        <w:rPr>
          <w:lang w:eastAsia="zh-CN"/>
        </w:rPr>
        <w:t>plot</w:t>
      </w:r>
      <w:r w:rsidR="006A1A21">
        <w:t>. Effect of antiresorptive medications preventing secondary vertebral fracture.</w:t>
      </w:r>
      <w:bookmarkEnd w:id="0"/>
    </w:p>
    <w:p w14:paraId="09FE3D55" w14:textId="4F1DDD78" w:rsidR="006A6B8B" w:rsidRDefault="006A6B8B" w:rsidP="006A6B8B">
      <w:pPr>
        <w:ind w:firstLine="199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2D14327D" wp14:editId="40C5FDCB">
            <wp:extent cx="5734050" cy="7334250"/>
            <wp:effectExtent l="0" t="0" r="0" b="0"/>
            <wp:docPr id="1" name="그림 1" descr="F:\1 论文\conservative treatment of osteoporotic fracture\1 medication for prevention of OPVF\For BONE\Supplementary materials\Supplementary material 3. Forest plot anti resorptive med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论文\conservative treatment of osteoporotic fracture\1 medication for prevention of OPVF\For BONE\Supplementary materials\Supplementary material 3. Forest plot anti resorptive medic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2BF32" w14:textId="0AC4EDA9" w:rsidR="006A6B8B" w:rsidRDefault="006A6B8B" w:rsidP="00473D15">
      <w:pPr>
        <w:pStyle w:val="1"/>
      </w:pPr>
      <w:r>
        <w:br w:type="page"/>
      </w:r>
      <w:bookmarkStart w:id="1" w:name="_Toc501984026"/>
      <w:r w:rsidR="00473D15">
        <w:lastRenderedPageBreak/>
        <w:t xml:space="preserve">b. </w:t>
      </w:r>
      <w:r w:rsidR="005504CA">
        <w:rPr>
          <w:lang w:eastAsia="zh-CN"/>
        </w:rPr>
        <w:t>Forest plot</w:t>
      </w:r>
      <w:r w:rsidR="0094429D">
        <w:rPr>
          <w:lang w:eastAsia="zh-CN"/>
        </w:rPr>
        <w:t>.</w:t>
      </w:r>
      <w:r w:rsidR="005504CA">
        <w:rPr>
          <w:lang w:eastAsia="zh-CN"/>
        </w:rPr>
        <w:t xml:space="preserve"> GI complaints of bisphosphonates.</w:t>
      </w:r>
      <w:bookmarkEnd w:id="1"/>
    </w:p>
    <w:p w14:paraId="476EC8B7" w14:textId="4BEFD8F2" w:rsidR="00C56A22" w:rsidRDefault="003821AD" w:rsidP="006A6B8B">
      <w:pPr>
        <w:ind w:firstLine="199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BB126E2" wp14:editId="72FD827B">
            <wp:extent cx="5727700" cy="4044950"/>
            <wp:effectExtent l="0" t="0" r="6350" b="0"/>
            <wp:docPr id="2" name="그림 2" descr="F:\1 论文\conservative treatment of osteoporotic fracture\1 medication for prevention of OPVF\For BONE\Supplementary materials\Supplementary material 4. Forest plot. GI com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论文\conservative treatment of osteoporotic fracture\1 medication for prevention of OPVF\For BONE\Supplementary materials\Supplementary material 4. Forest plot. GI compl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4936" w14:textId="29B819C7" w:rsidR="00C56A22" w:rsidRDefault="00C56A22" w:rsidP="00BC0AA7">
      <w:pPr>
        <w:pStyle w:val="1"/>
      </w:pPr>
      <w:r>
        <w:rPr>
          <w:lang w:eastAsia="zh-CN"/>
        </w:rPr>
        <w:br w:type="page"/>
      </w:r>
      <w:bookmarkStart w:id="2" w:name="_Toc501984027"/>
      <w:r w:rsidR="00663712">
        <w:rPr>
          <w:rFonts w:hint="eastAsia"/>
        </w:rPr>
        <w:lastRenderedPageBreak/>
        <w:t>c</w:t>
      </w:r>
      <w:r w:rsidR="00663712">
        <w:t xml:space="preserve">. Forest plot. </w:t>
      </w:r>
      <w:r w:rsidR="00BC0AA7">
        <w:t>Discontinuation due to AEs</w:t>
      </w:r>
      <w:r w:rsidR="00783691">
        <w:t xml:space="preserve"> – Zoledron</w:t>
      </w:r>
      <w:r w:rsidR="001B1DB5">
        <w:t>ate</w:t>
      </w:r>
      <w:bookmarkEnd w:id="2"/>
    </w:p>
    <w:p w14:paraId="1E52FA98" w14:textId="0B0EF98A" w:rsidR="001A2EDE" w:rsidRPr="001A2EDE" w:rsidRDefault="001A2EDE" w:rsidP="001A2EDE">
      <w:pPr>
        <w:ind w:firstLine="199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1CAC738F" wp14:editId="03811BAA">
            <wp:extent cx="5727700" cy="1002030"/>
            <wp:effectExtent l="0" t="0" r="6350" b="7620"/>
            <wp:docPr id="3" name="그림 3" descr="F:\1 论文\conservative treatment of osteoporotic fracture\1 medication for prevention of OPVF\For BONE\Supplementary materials\Forest plot Discontinuation zoledronic 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论文\conservative treatment of osteoporotic fracture\1 medication for prevention of OPVF\For BONE\Supplementary materials\Forest plot Discontinuation zoledronic aci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81BC" w14:textId="6011C5F2" w:rsidR="003821AD" w:rsidRDefault="001A2EDE" w:rsidP="001A2EDE">
      <w:pPr>
        <w:pStyle w:val="1"/>
      </w:pPr>
      <w:bookmarkStart w:id="3" w:name="_Toc501984028"/>
      <w:r>
        <w:rPr>
          <w:rFonts w:hint="eastAsia"/>
        </w:rPr>
        <w:t>d</w:t>
      </w:r>
      <w:r>
        <w:t>. Forest plot.</w:t>
      </w:r>
      <w:r w:rsidR="004269CD">
        <w:t xml:space="preserve"> </w:t>
      </w:r>
      <w:r w:rsidR="00F8025A">
        <w:t>P</w:t>
      </w:r>
      <w:r w:rsidR="008546F3">
        <w:t>reventing n</w:t>
      </w:r>
      <w:r w:rsidR="004269CD">
        <w:t xml:space="preserve">on-vertebral fracture </w:t>
      </w:r>
      <w:r w:rsidR="00F8025A">
        <w:t>– Zoledron</w:t>
      </w:r>
      <w:r w:rsidR="001B1DB5">
        <w:t>ate</w:t>
      </w:r>
      <w:bookmarkEnd w:id="3"/>
      <w:r w:rsidR="00F8025A">
        <w:t xml:space="preserve"> </w:t>
      </w:r>
    </w:p>
    <w:p w14:paraId="15A1B650" w14:textId="0671A6DA" w:rsidR="004903E9" w:rsidRDefault="004903E9" w:rsidP="008546F3">
      <w:pPr>
        <w:ind w:firstLine="199"/>
        <w:rPr>
          <w:lang w:eastAsia="en-US"/>
        </w:rPr>
      </w:pPr>
      <w:r w:rsidRPr="004903E9">
        <w:rPr>
          <w:noProof/>
          <w:lang w:eastAsia="en-US"/>
        </w:rPr>
        <w:drawing>
          <wp:inline distT="0" distB="0" distL="0" distR="0" wp14:anchorId="511AAFD1" wp14:editId="3477D0C5">
            <wp:extent cx="5731510" cy="962025"/>
            <wp:effectExtent l="0" t="0" r="2540" b="952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E76A" w14:textId="4A6B43FB" w:rsidR="00F37F0A" w:rsidRDefault="00EE1596" w:rsidP="00E32587">
      <w:pPr>
        <w:pStyle w:val="1"/>
        <w:rPr>
          <w:lang w:eastAsia="zh-CN"/>
        </w:rPr>
      </w:pPr>
      <w:bookmarkStart w:id="4" w:name="_Toc501984029"/>
      <w:r>
        <w:rPr>
          <w:rFonts w:hint="eastAsia"/>
          <w:lang w:eastAsia="zh-CN"/>
        </w:rPr>
        <w:t>e</w:t>
      </w:r>
      <w:r>
        <w:rPr>
          <w:lang w:eastAsia="zh-CN"/>
        </w:rPr>
        <w:t xml:space="preserve">. Forest plot. GI complaints </w:t>
      </w:r>
      <w:r w:rsidR="00F8025A">
        <w:rPr>
          <w:lang w:eastAsia="zh-CN"/>
        </w:rPr>
        <w:t>-</w:t>
      </w:r>
      <w:r>
        <w:rPr>
          <w:lang w:eastAsia="zh-CN"/>
        </w:rPr>
        <w:t xml:space="preserve"> </w:t>
      </w:r>
      <w:r w:rsidR="001111A3">
        <w:rPr>
          <w:lang w:eastAsia="zh-CN"/>
        </w:rPr>
        <w:t>Alendronate</w:t>
      </w:r>
      <w:bookmarkEnd w:id="4"/>
    </w:p>
    <w:p w14:paraId="14999D32" w14:textId="7023A00A" w:rsidR="00595E2F" w:rsidRDefault="00A34D9D" w:rsidP="008546F3">
      <w:pPr>
        <w:ind w:firstLine="19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7CF0DB6" wp14:editId="0ACF7D42">
            <wp:extent cx="5727700" cy="1097280"/>
            <wp:effectExtent l="0" t="0" r="6350" b="7620"/>
            <wp:docPr id="5" name="그림 5" descr="F:\1 论文\conservative treatment of osteoporotic fracture\1 medication for prevention of OPVF\For BONE\Supplementary materials\GI complaints\Forest plot A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论文\conservative treatment of osteoporotic fracture\1 medication for prevention of OPVF\For BONE\Supplementary materials\GI complaints\Forest plot AL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9F63" w14:textId="15914D84" w:rsidR="00A34D9D" w:rsidRDefault="00A34D9D" w:rsidP="00E32587">
      <w:pPr>
        <w:pStyle w:val="1"/>
        <w:rPr>
          <w:lang w:eastAsia="zh-CN"/>
        </w:rPr>
      </w:pPr>
      <w:bookmarkStart w:id="5" w:name="_Toc501984030"/>
      <w:r>
        <w:rPr>
          <w:rFonts w:hint="eastAsia"/>
          <w:lang w:eastAsia="zh-CN"/>
        </w:rPr>
        <w:t>f</w:t>
      </w:r>
      <w:r>
        <w:rPr>
          <w:lang w:eastAsia="zh-CN"/>
        </w:rPr>
        <w:t xml:space="preserve">. Forest plot. Discontinuation due to AEs </w:t>
      </w:r>
      <w:r w:rsidR="00BC2398">
        <w:rPr>
          <w:lang w:eastAsia="zh-CN"/>
        </w:rPr>
        <w:t>–</w:t>
      </w:r>
      <w:r>
        <w:rPr>
          <w:lang w:eastAsia="zh-CN"/>
        </w:rPr>
        <w:t xml:space="preserve"> Alendronate</w:t>
      </w:r>
      <w:bookmarkEnd w:id="5"/>
    </w:p>
    <w:p w14:paraId="0E850313" w14:textId="5E3D0E82" w:rsidR="00BC2398" w:rsidRDefault="00BC2398" w:rsidP="008546F3">
      <w:pPr>
        <w:ind w:firstLine="199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AC86BA2" wp14:editId="42BD4F93">
            <wp:extent cx="5720080" cy="1148080"/>
            <wp:effectExtent l="0" t="0" r="0" b="0"/>
            <wp:docPr id="6" name="그림 6" descr="F:\1 论文\conservative treatment of osteoporotic fracture\1 medication for prevention of OPVF\outcome\Figure\Discontinuation\Forest plot ALN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 论文\conservative treatment of osteoporotic fracture\1 medication for prevention of OPVF\outcome\Figure\Discontinuation\Forest plot ALN vs control 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8404" w14:textId="1E6BC3F2" w:rsidR="00BC2398" w:rsidRDefault="00BC2398" w:rsidP="00E32587">
      <w:pPr>
        <w:pStyle w:val="1"/>
        <w:rPr>
          <w:lang w:eastAsia="zh-CN"/>
        </w:rPr>
      </w:pPr>
      <w:bookmarkStart w:id="6" w:name="_Toc501984031"/>
      <w:r>
        <w:rPr>
          <w:rFonts w:hint="eastAsia"/>
          <w:lang w:eastAsia="zh-CN"/>
        </w:rPr>
        <w:lastRenderedPageBreak/>
        <w:t>g</w:t>
      </w:r>
      <w:r>
        <w:rPr>
          <w:lang w:eastAsia="zh-CN"/>
        </w:rPr>
        <w:t xml:space="preserve">. Forest </w:t>
      </w:r>
      <w:r>
        <w:t>plot</w:t>
      </w:r>
      <w:r>
        <w:rPr>
          <w:lang w:eastAsia="zh-CN"/>
        </w:rPr>
        <w:t>. Non-vertebral fracture – Alendronate</w:t>
      </w:r>
      <w:bookmarkEnd w:id="6"/>
    </w:p>
    <w:p w14:paraId="279198AA" w14:textId="71008686" w:rsidR="00F97F95" w:rsidRDefault="005341EE" w:rsidP="008546F3">
      <w:pPr>
        <w:ind w:firstLine="19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38D7D81B" wp14:editId="15A586E9">
            <wp:extent cx="5730875" cy="977900"/>
            <wp:effectExtent l="0" t="0" r="3175" b="0"/>
            <wp:docPr id="7" name="그림 7" descr="F:\1 论文\conservative treatment of osteoporotic fracture\1 medication for prevention of OPVF\For BONE\Supplementary materials\Non-vertebral fracture\A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 论文\conservative treatment of osteoporotic fracture\1 medication for prevention of OPVF\For BONE\Supplementary materials\Non-vertebral fracture\AL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BC37" w14:textId="77777777" w:rsidR="00F97F95" w:rsidRDefault="00F97F95">
      <w:pPr>
        <w:widowControl/>
        <w:autoSpaceDE/>
        <w:autoSpaceDN/>
        <w:ind w:firstLineChars="0" w:firstLine="0"/>
        <w:rPr>
          <w:lang w:eastAsia="zh-CN"/>
        </w:rPr>
      </w:pPr>
      <w:r>
        <w:rPr>
          <w:lang w:eastAsia="zh-CN"/>
        </w:rPr>
        <w:br w:type="page"/>
      </w:r>
    </w:p>
    <w:p w14:paraId="343F071C" w14:textId="77777777" w:rsidR="00BC2398" w:rsidRDefault="00BC2398" w:rsidP="008546F3">
      <w:pPr>
        <w:ind w:firstLine="199"/>
        <w:rPr>
          <w:lang w:eastAsia="zh-CN"/>
        </w:rPr>
      </w:pPr>
    </w:p>
    <w:p w14:paraId="26AEC7FC" w14:textId="079E9CF1" w:rsidR="005341EE" w:rsidRDefault="00AF5213" w:rsidP="00E32587">
      <w:pPr>
        <w:pStyle w:val="1"/>
        <w:rPr>
          <w:lang w:eastAsia="zh-CN"/>
        </w:rPr>
      </w:pPr>
      <w:bookmarkStart w:id="7" w:name="_Toc501984032"/>
      <w:r>
        <w:rPr>
          <w:rFonts w:hint="eastAsia"/>
          <w:lang w:eastAsia="zh-CN"/>
        </w:rPr>
        <w:t>h</w:t>
      </w:r>
      <w:r>
        <w:rPr>
          <w:lang w:eastAsia="zh-CN"/>
        </w:rPr>
        <w:t xml:space="preserve">. Forest plot. </w:t>
      </w:r>
      <w:r w:rsidR="00FE5174">
        <w:rPr>
          <w:lang w:eastAsia="zh-CN"/>
        </w:rPr>
        <w:t xml:space="preserve">GI </w:t>
      </w:r>
      <w:r w:rsidR="00FE5174">
        <w:t>complaints</w:t>
      </w:r>
      <w:r w:rsidR="00FE5174">
        <w:rPr>
          <w:lang w:eastAsia="zh-CN"/>
        </w:rPr>
        <w:t xml:space="preserve"> </w:t>
      </w:r>
      <w:r w:rsidR="00806617">
        <w:rPr>
          <w:lang w:eastAsia="zh-CN"/>
        </w:rPr>
        <w:t>–</w:t>
      </w:r>
      <w:r w:rsidR="00FE5174">
        <w:rPr>
          <w:lang w:eastAsia="zh-CN"/>
        </w:rPr>
        <w:t xml:space="preserve"> </w:t>
      </w:r>
      <w:r w:rsidR="00183D38">
        <w:rPr>
          <w:lang w:eastAsia="zh-CN"/>
        </w:rPr>
        <w:t>Risedronate</w:t>
      </w:r>
      <w:bookmarkEnd w:id="7"/>
    </w:p>
    <w:p w14:paraId="749A7DEC" w14:textId="1F94D784" w:rsidR="00806617" w:rsidRDefault="00F97F95" w:rsidP="008546F3">
      <w:pPr>
        <w:ind w:firstLine="19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EB23957" wp14:editId="772371DD">
            <wp:extent cx="5720080" cy="1308100"/>
            <wp:effectExtent l="0" t="0" r="0" b="6350"/>
            <wp:docPr id="8" name="그림 8" descr="F:\1 论文\conservative treatment of osteoporotic fracture\1 medication for prevention of OPVF\For BONE\Supplementary materials\GI complaints\RSN vs control GI compl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 论文\conservative treatment of osteoporotic fracture\1 medication for prevention of OPVF\For BONE\Supplementary materials\GI complaints\RSN vs control GI complain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983B" w14:textId="10311CBA" w:rsidR="00F97F95" w:rsidRDefault="00F97F95" w:rsidP="00E32587">
      <w:pPr>
        <w:pStyle w:val="1"/>
        <w:rPr>
          <w:lang w:eastAsia="zh-CN"/>
        </w:rPr>
      </w:pPr>
      <w:bookmarkStart w:id="8" w:name="_Toc501984033"/>
      <w:proofErr w:type="spellStart"/>
      <w:r>
        <w:rPr>
          <w:rFonts w:hint="eastAsia"/>
          <w:lang w:eastAsia="zh-CN"/>
        </w:rPr>
        <w:t>i</w:t>
      </w:r>
      <w:proofErr w:type="spellEnd"/>
      <w:r>
        <w:rPr>
          <w:lang w:eastAsia="zh-CN"/>
        </w:rPr>
        <w:t xml:space="preserve">. Forest </w:t>
      </w:r>
      <w:r>
        <w:t>plot</w:t>
      </w:r>
      <w:r>
        <w:rPr>
          <w:lang w:eastAsia="zh-CN"/>
        </w:rPr>
        <w:t xml:space="preserve">. </w:t>
      </w:r>
      <w:r w:rsidR="00E90DC9">
        <w:rPr>
          <w:lang w:eastAsia="zh-CN"/>
        </w:rPr>
        <w:t>Discontinuation due to AEs - Risedronate</w:t>
      </w:r>
      <w:bookmarkEnd w:id="8"/>
    </w:p>
    <w:p w14:paraId="4727D586" w14:textId="39D5FAB3" w:rsidR="00562614" w:rsidRDefault="00F60E28" w:rsidP="00F97F95">
      <w:pPr>
        <w:ind w:firstLineChars="0" w:firstLine="19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20578985" wp14:editId="67950FE7">
            <wp:extent cx="5720080" cy="1201420"/>
            <wp:effectExtent l="0" t="0" r="0" b="0"/>
            <wp:docPr id="9" name="그림 9" descr="F:\1 论文\conservative treatment of osteoporotic fracture\1 medication for prevention of OPVF\outcome\Figure\Discontinuation\Forest plot RSN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论文\conservative treatment of osteoporotic fracture\1 medication for prevention of OPVF\outcome\Figure\Discontinuation\Forest plot RSN vs control 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8143" w14:textId="46B7B9C5" w:rsidR="00F60E28" w:rsidRDefault="00F60E28" w:rsidP="00E32587">
      <w:pPr>
        <w:pStyle w:val="1"/>
        <w:rPr>
          <w:lang w:eastAsia="zh-CN"/>
        </w:rPr>
      </w:pPr>
      <w:bookmarkStart w:id="9" w:name="_Toc501984034"/>
      <w:r>
        <w:rPr>
          <w:rFonts w:hint="eastAsia"/>
          <w:lang w:eastAsia="zh-CN"/>
        </w:rPr>
        <w:t>j</w:t>
      </w:r>
      <w:r>
        <w:rPr>
          <w:lang w:eastAsia="zh-CN"/>
        </w:rPr>
        <w:t xml:space="preserve">. Forest </w:t>
      </w:r>
      <w:r>
        <w:t>plot</w:t>
      </w:r>
      <w:r>
        <w:rPr>
          <w:lang w:eastAsia="zh-CN"/>
        </w:rPr>
        <w:t xml:space="preserve">. </w:t>
      </w:r>
      <w:r w:rsidR="0034383F">
        <w:rPr>
          <w:lang w:eastAsia="zh-CN"/>
        </w:rPr>
        <w:t>Non-vertebral fracture – Risedronate</w:t>
      </w:r>
      <w:bookmarkEnd w:id="9"/>
    </w:p>
    <w:p w14:paraId="3F129A92" w14:textId="3F641078" w:rsidR="0034383F" w:rsidRDefault="00E623BB" w:rsidP="00F97F95">
      <w:pPr>
        <w:ind w:firstLineChars="0" w:firstLine="199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66277EAE" wp14:editId="2C855570">
            <wp:extent cx="5730875" cy="1308100"/>
            <wp:effectExtent l="0" t="0" r="3175" b="6350"/>
            <wp:docPr id="10" name="그림 10" descr="F:\1 论文\conservative treatment of osteoporotic fracture\1 medication for prevention of OPVF\For BONE\Supplementary materials\Non-vertebral fracture\R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 论文\conservative treatment of osteoporotic fracture\1 medication for prevention of OPVF\For BONE\Supplementary materials\Non-vertebral fracture\RS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82A1" w14:textId="43CC30B1" w:rsidR="00BF1252" w:rsidRDefault="00BF1252" w:rsidP="00E32587">
      <w:pPr>
        <w:pStyle w:val="1"/>
        <w:rPr>
          <w:lang w:eastAsia="zh-CN"/>
        </w:rPr>
      </w:pPr>
      <w:bookmarkStart w:id="10" w:name="_Toc501984035"/>
      <w:r>
        <w:rPr>
          <w:rFonts w:hint="eastAsia"/>
          <w:lang w:eastAsia="zh-CN"/>
        </w:rPr>
        <w:lastRenderedPageBreak/>
        <w:t>k</w:t>
      </w:r>
      <w:r>
        <w:rPr>
          <w:lang w:eastAsia="zh-CN"/>
        </w:rPr>
        <w:t xml:space="preserve">. Forest </w:t>
      </w:r>
      <w:r>
        <w:t>plot</w:t>
      </w:r>
      <w:r>
        <w:rPr>
          <w:lang w:eastAsia="zh-CN"/>
        </w:rPr>
        <w:t xml:space="preserve">. Sensitivity test. </w:t>
      </w:r>
      <w:r w:rsidR="00655365">
        <w:rPr>
          <w:lang w:eastAsia="zh-CN"/>
        </w:rPr>
        <w:t>Excluding a study with a small sample size and big variance with other studies.</w:t>
      </w:r>
      <w:bookmarkEnd w:id="10"/>
    </w:p>
    <w:p w14:paraId="0B74CE92" w14:textId="421989B9" w:rsidR="00655365" w:rsidRDefault="00655365" w:rsidP="00BF1252">
      <w:pPr>
        <w:ind w:firstLineChars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65BF0D56" wp14:editId="798EF283">
            <wp:extent cx="5730875" cy="2870835"/>
            <wp:effectExtent l="0" t="0" r="3175" b="5715"/>
            <wp:docPr id="12" name="그림 12" descr="F:\1 论文\conservative treatment of osteoporotic fracture\1 medication for prevention of OPVF\For BONE\Supplementary materials\Forest plot sensitive analysis etidro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论文\conservative treatment of osteoporotic fracture\1 medication for prevention of OPVF\For BONE\Supplementary materials\Forest plot sensitive analysis etidronat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5413" w14:textId="5BBE6D7F" w:rsidR="00402785" w:rsidRDefault="00402785" w:rsidP="00E32587">
      <w:pPr>
        <w:pStyle w:val="1"/>
        <w:rPr>
          <w:lang w:eastAsia="zh-CN"/>
        </w:rPr>
      </w:pPr>
      <w:bookmarkStart w:id="11" w:name="_Toc501984036"/>
      <w:r>
        <w:rPr>
          <w:rFonts w:hint="eastAsia"/>
          <w:lang w:eastAsia="zh-CN"/>
        </w:rPr>
        <w:t>l</w:t>
      </w:r>
      <w:r>
        <w:rPr>
          <w:lang w:eastAsia="zh-CN"/>
        </w:rPr>
        <w:t xml:space="preserve">. Forest plot. </w:t>
      </w:r>
      <w:r w:rsidR="0064257A">
        <w:rPr>
          <w:lang w:eastAsia="zh-CN"/>
        </w:rPr>
        <w:t>GI complaints</w:t>
      </w:r>
      <w:r w:rsidR="00360516">
        <w:rPr>
          <w:lang w:eastAsia="zh-CN"/>
        </w:rPr>
        <w:t xml:space="preserve"> </w:t>
      </w:r>
      <w:r w:rsidR="006E5DD2">
        <w:rPr>
          <w:lang w:eastAsia="zh-CN"/>
        </w:rPr>
        <w:t>–</w:t>
      </w:r>
      <w:r w:rsidR="00360516">
        <w:rPr>
          <w:lang w:eastAsia="zh-CN"/>
        </w:rPr>
        <w:t xml:space="preserve"> Etidronate</w:t>
      </w:r>
      <w:bookmarkEnd w:id="11"/>
    </w:p>
    <w:p w14:paraId="285EF6E7" w14:textId="676B9D03" w:rsidR="006E5DD2" w:rsidRDefault="00F4701B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FED4C0F" wp14:editId="51619B2B">
            <wp:extent cx="5730875" cy="1052830"/>
            <wp:effectExtent l="0" t="0" r="3175" b="0"/>
            <wp:docPr id="13" name="그림 13" descr="F:\1 论文\conservative treatment of osteoporotic fracture\1 medication for prevention of OPVF\For BONE\Supplementary materials\GI complaints\Forest plot E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论文\conservative treatment of osteoporotic fracture\1 medication for prevention of OPVF\For BONE\Supplementary materials\GI complaints\Forest plot ET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7061" w14:textId="596D157C" w:rsidR="00F4701B" w:rsidRDefault="00F4701B" w:rsidP="00E32587">
      <w:pPr>
        <w:pStyle w:val="1"/>
        <w:rPr>
          <w:lang w:eastAsia="zh-CN"/>
        </w:rPr>
      </w:pPr>
      <w:bookmarkStart w:id="12" w:name="_Toc501984037"/>
      <w:r>
        <w:rPr>
          <w:rFonts w:hint="eastAsia"/>
          <w:lang w:eastAsia="zh-CN"/>
        </w:rPr>
        <w:t>m</w:t>
      </w:r>
      <w:r>
        <w:rPr>
          <w:lang w:eastAsia="zh-CN"/>
        </w:rPr>
        <w:t xml:space="preserve">. </w:t>
      </w:r>
      <w:r w:rsidR="0058722C">
        <w:rPr>
          <w:lang w:eastAsia="zh-CN"/>
        </w:rPr>
        <w:t xml:space="preserve">Forest </w:t>
      </w:r>
      <w:r w:rsidR="0058722C">
        <w:t>plot</w:t>
      </w:r>
      <w:r w:rsidR="0058722C">
        <w:rPr>
          <w:lang w:eastAsia="zh-CN"/>
        </w:rPr>
        <w:t xml:space="preserve">. </w:t>
      </w:r>
      <w:r w:rsidR="00C03BE8">
        <w:rPr>
          <w:lang w:eastAsia="zh-CN"/>
        </w:rPr>
        <w:t>Discontinuation – Etidronate</w:t>
      </w:r>
      <w:bookmarkEnd w:id="12"/>
    </w:p>
    <w:p w14:paraId="767B49BD" w14:textId="4E7A5954" w:rsidR="00C03BE8" w:rsidRDefault="00C31A64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7C688A19" wp14:editId="10979948">
            <wp:extent cx="5730875" cy="1212215"/>
            <wp:effectExtent l="0" t="0" r="3175" b="6985"/>
            <wp:docPr id="14" name="그림 14" descr="F:\1 论文\conservative treatment of osteoporotic fracture\1 medication for prevention of OPVF\outcome\Figure\Discontinuation\Forest plot EDN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论文\conservative treatment of osteoporotic fracture\1 medication for prevention of OPVF\outcome\Figure\Discontinuation\Forest plot EDN vs control 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DBC2" w14:textId="1A02E5D5" w:rsidR="00C31A64" w:rsidRDefault="00C31A64" w:rsidP="00E32587">
      <w:pPr>
        <w:pStyle w:val="1"/>
        <w:rPr>
          <w:lang w:eastAsia="zh-CN"/>
        </w:rPr>
      </w:pPr>
      <w:bookmarkStart w:id="13" w:name="_Toc501984038"/>
      <w:r>
        <w:rPr>
          <w:rFonts w:hint="eastAsia"/>
          <w:lang w:eastAsia="zh-CN"/>
        </w:rPr>
        <w:lastRenderedPageBreak/>
        <w:t>n</w:t>
      </w:r>
      <w:r>
        <w:rPr>
          <w:lang w:eastAsia="zh-CN"/>
        </w:rPr>
        <w:t xml:space="preserve">. Forest plot. </w:t>
      </w:r>
      <w:r w:rsidR="005651F5">
        <w:rPr>
          <w:lang w:eastAsia="zh-CN"/>
        </w:rPr>
        <w:t xml:space="preserve">Non-vertebral fracture </w:t>
      </w:r>
      <w:r w:rsidR="00B714D0">
        <w:rPr>
          <w:lang w:eastAsia="zh-CN"/>
        </w:rPr>
        <w:t>–</w:t>
      </w:r>
      <w:r w:rsidR="005651F5">
        <w:rPr>
          <w:lang w:eastAsia="zh-CN"/>
        </w:rPr>
        <w:t xml:space="preserve"> Etidronate</w:t>
      </w:r>
      <w:bookmarkEnd w:id="13"/>
    </w:p>
    <w:p w14:paraId="27210F83" w14:textId="7C985AC0" w:rsidR="00B714D0" w:rsidRDefault="00B714D0" w:rsidP="00BF1252">
      <w:pPr>
        <w:ind w:firstLineChars="0"/>
        <w:rPr>
          <w:lang w:eastAsia="zh-CN"/>
        </w:rPr>
      </w:pPr>
      <w:r w:rsidRPr="00B714D0">
        <w:rPr>
          <w:noProof/>
          <w:lang w:eastAsia="zh-CN"/>
        </w:rPr>
        <w:drawing>
          <wp:inline distT="0" distB="0" distL="0" distR="0" wp14:anchorId="4F57F0F7" wp14:editId="7BCA4686">
            <wp:extent cx="5731510" cy="1337662"/>
            <wp:effectExtent l="0" t="0" r="2540" b="0"/>
            <wp:docPr id="15" name="그림 15" descr="F:\1 论文\conservative treatment of osteoporotic fracture\1 medication for prevention of OPVF\For BONE\Supplementary materials\Non-vertebral fracture\E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 论文\conservative treatment of osteoporotic fracture\1 medication for prevention of OPVF\For BONE\Supplementary materials\Non-vertebral fracture\ET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E65D1" w14:textId="6FF9799F" w:rsidR="00B714D0" w:rsidRDefault="00B70ACF" w:rsidP="00E32587">
      <w:pPr>
        <w:pStyle w:val="1"/>
        <w:rPr>
          <w:lang w:eastAsia="zh-CN"/>
        </w:rPr>
      </w:pPr>
      <w:bookmarkStart w:id="14" w:name="_Toc501984039"/>
      <w:r>
        <w:rPr>
          <w:rFonts w:hint="eastAsia"/>
          <w:lang w:eastAsia="zh-CN"/>
        </w:rPr>
        <w:t>o</w:t>
      </w:r>
      <w:r>
        <w:rPr>
          <w:lang w:eastAsia="zh-CN"/>
        </w:rPr>
        <w:t xml:space="preserve">. </w:t>
      </w:r>
      <w:r>
        <w:t>Forest</w:t>
      </w:r>
      <w:r>
        <w:rPr>
          <w:lang w:eastAsia="zh-CN"/>
        </w:rPr>
        <w:t xml:space="preserve"> plot. </w:t>
      </w:r>
      <w:r w:rsidR="009F763D">
        <w:rPr>
          <w:lang w:eastAsia="zh-CN"/>
        </w:rPr>
        <w:t>Discontinuation due to AEs</w:t>
      </w:r>
      <w:r w:rsidR="004D73AD">
        <w:rPr>
          <w:lang w:eastAsia="zh-CN"/>
        </w:rPr>
        <w:t xml:space="preserve"> </w:t>
      </w:r>
      <w:r w:rsidR="00257095">
        <w:rPr>
          <w:lang w:eastAsia="zh-CN"/>
        </w:rPr>
        <w:t>–</w:t>
      </w:r>
      <w:r w:rsidR="004D73AD">
        <w:rPr>
          <w:lang w:eastAsia="zh-CN"/>
        </w:rPr>
        <w:t xml:space="preserve"> Ibandronate</w:t>
      </w:r>
      <w:r w:rsidR="009F763D">
        <w:rPr>
          <w:lang w:eastAsia="zh-CN"/>
        </w:rPr>
        <w:t xml:space="preserve"> (sufficient dose)</w:t>
      </w:r>
      <w:bookmarkEnd w:id="14"/>
    </w:p>
    <w:p w14:paraId="3F4EA89E" w14:textId="681777A0" w:rsidR="00257095" w:rsidRDefault="008901BC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0265888" wp14:editId="43F9D230">
            <wp:extent cx="5730875" cy="1020445"/>
            <wp:effectExtent l="0" t="0" r="3175" b="8255"/>
            <wp:docPr id="16" name="그림 16" descr="F:\1 论文\conservative treatment of osteoporotic fracture\1 medication for prevention of OPVF\outcome\Figure\Discontinuation\Forest plot IBN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 论文\conservative treatment of osteoporotic fracture\1 medication for prevention of OPVF\outcome\Figure\Discontinuation\Forest plot IBN vs control 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F010" w14:textId="22EB7659" w:rsidR="008901BC" w:rsidRDefault="008901BC" w:rsidP="00E32587">
      <w:pPr>
        <w:pStyle w:val="1"/>
        <w:rPr>
          <w:lang w:eastAsia="zh-CN"/>
        </w:rPr>
      </w:pPr>
      <w:bookmarkStart w:id="15" w:name="_Toc501984040"/>
      <w:r>
        <w:rPr>
          <w:lang w:eastAsia="zh-CN"/>
        </w:rPr>
        <w:t xml:space="preserve">p. Forest </w:t>
      </w:r>
      <w:r>
        <w:t>plot</w:t>
      </w:r>
      <w:r>
        <w:rPr>
          <w:lang w:eastAsia="zh-CN"/>
        </w:rPr>
        <w:t>. Discontinuation due to AEs – Ibandronate (insufficient dose)</w:t>
      </w:r>
      <w:bookmarkEnd w:id="15"/>
    </w:p>
    <w:p w14:paraId="6755339A" w14:textId="75B764C1" w:rsidR="008901BC" w:rsidRDefault="008674D6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740B0B3A" wp14:editId="29D53C60">
            <wp:extent cx="5730875" cy="1031240"/>
            <wp:effectExtent l="0" t="0" r="3175" b="0"/>
            <wp:docPr id="17" name="그림 17" descr="F:\1 论文\conservative treatment of osteoporotic fracture\1 medication for prevention of OPVF\outcome\Figure\Discontinuation\Forest plot IBN （insufficient） 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 论文\conservative treatment of osteoporotic fracture\1 medication for prevention of OPVF\outcome\Figure\Discontinuation\Forest plot IBN （insufficient）  vs control 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3395" w14:textId="2216450D" w:rsidR="008674D6" w:rsidRDefault="008674D6" w:rsidP="00E32587">
      <w:pPr>
        <w:pStyle w:val="1"/>
        <w:rPr>
          <w:lang w:eastAsia="zh-CN"/>
        </w:rPr>
      </w:pPr>
      <w:bookmarkStart w:id="16" w:name="_Toc501984041"/>
      <w:r>
        <w:rPr>
          <w:rFonts w:hint="eastAsia"/>
          <w:lang w:eastAsia="zh-CN"/>
        </w:rPr>
        <w:t>q</w:t>
      </w:r>
      <w:r>
        <w:rPr>
          <w:lang w:eastAsia="zh-CN"/>
        </w:rPr>
        <w:t xml:space="preserve">. Forest </w:t>
      </w:r>
      <w:r>
        <w:t>plot</w:t>
      </w:r>
      <w:r>
        <w:rPr>
          <w:lang w:eastAsia="zh-CN"/>
        </w:rPr>
        <w:t xml:space="preserve">. Non-vertebral fracture </w:t>
      </w:r>
      <w:r w:rsidR="003725F2">
        <w:rPr>
          <w:lang w:eastAsia="zh-CN"/>
        </w:rPr>
        <w:t>–</w:t>
      </w:r>
      <w:r>
        <w:rPr>
          <w:lang w:eastAsia="zh-CN"/>
        </w:rPr>
        <w:t xml:space="preserve"> Ibandronate</w:t>
      </w:r>
      <w:r w:rsidR="003725F2">
        <w:rPr>
          <w:lang w:eastAsia="zh-CN"/>
        </w:rPr>
        <w:t xml:space="preserve"> (sufficient dose)</w:t>
      </w:r>
      <w:bookmarkEnd w:id="16"/>
    </w:p>
    <w:p w14:paraId="093B2E30" w14:textId="7ABA373E" w:rsidR="003725F2" w:rsidRDefault="003725F2" w:rsidP="00BF1252">
      <w:pPr>
        <w:ind w:firstLineChars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E059469" wp14:editId="35D51352">
            <wp:extent cx="5730875" cy="2296795"/>
            <wp:effectExtent l="0" t="0" r="3175" b="8255"/>
            <wp:docPr id="18" name="그림 18" descr="F:\1 论文\conservative treatment of osteoporotic fracture\1 medication for prevention of OPVF\For BONE\Supplementary materials\Non-vertebral fracture\IBN-sufficient 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 论文\conservative treatment of osteoporotic fracture\1 medication for prevention of OPVF\For BONE\Supplementary materials\Non-vertebral fracture\IBN-sufficient NV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4427" w14:textId="614A3B00" w:rsidR="0034215F" w:rsidRDefault="00221038" w:rsidP="00E32587">
      <w:pPr>
        <w:pStyle w:val="1"/>
        <w:rPr>
          <w:lang w:eastAsia="zh-CN"/>
        </w:rPr>
      </w:pPr>
      <w:bookmarkStart w:id="17" w:name="_Toc501984042"/>
      <w:r>
        <w:rPr>
          <w:rFonts w:hint="eastAsia"/>
          <w:lang w:eastAsia="zh-CN"/>
        </w:rPr>
        <w:lastRenderedPageBreak/>
        <w:t>r</w:t>
      </w:r>
      <w:r>
        <w:rPr>
          <w:lang w:eastAsia="zh-CN"/>
        </w:rPr>
        <w:t xml:space="preserve">. </w:t>
      </w:r>
      <w:r>
        <w:t>Forest</w:t>
      </w:r>
      <w:r>
        <w:rPr>
          <w:lang w:eastAsia="zh-CN"/>
        </w:rPr>
        <w:t xml:space="preserve"> plot. Non-vertebral fracture </w:t>
      </w:r>
      <w:r w:rsidR="00826D8C">
        <w:rPr>
          <w:lang w:eastAsia="zh-CN"/>
        </w:rPr>
        <w:t>–</w:t>
      </w:r>
      <w:r>
        <w:rPr>
          <w:lang w:eastAsia="zh-CN"/>
        </w:rPr>
        <w:t xml:space="preserve"> </w:t>
      </w:r>
      <w:r w:rsidR="00826D8C">
        <w:rPr>
          <w:lang w:eastAsia="zh-CN"/>
        </w:rPr>
        <w:t>Ibandronate (insufficient dose)</w:t>
      </w:r>
      <w:bookmarkEnd w:id="17"/>
    </w:p>
    <w:p w14:paraId="77C65B91" w14:textId="6F93E1B0" w:rsidR="00E33577" w:rsidRDefault="00B45611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285D1DFB" wp14:editId="57A6180A">
            <wp:extent cx="5730875" cy="2296795"/>
            <wp:effectExtent l="0" t="0" r="3175" b="8255"/>
            <wp:docPr id="19" name="그림 19" descr="F:\1 论文\conservative treatment of osteoporotic fracture\1 medication for prevention of OPVF\For BONE\Supplementary materials\Non-vertebral fracture\IBN-insufficient-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 论文\conservative treatment of osteoporotic fracture\1 medication for prevention of OPVF\For BONE\Supplementary materials\Non-vertebral fracture\IBN-insufficient-hip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016B" w14:textId="62A8C8C9" w:rsidR="00B45611" w:rsidRDefault="00B45611" w:rsidP="00E32587">
      <w:pPr>
        <w:pStyle w:val="1"/>
        <w:rPr>
          <w:lang w:eastAsia="zh-CN"/>
        </w:rPr>
      </w:pPr>
      <w:bookmarkStart w:id="18" w:name="_Toc501984043"/>
      <w:r>
        <w:rPr>
          <w:rFonts w:hint="eastAsia"/>
          <w:lang w:eastAsia="zh-CN"/>
        </w:rPr>
        <w:t>s</w:t>
      </w:r>
      <w:r>
        <w:rPr>
          <w:lang w:eastAsia="zh-CN"/>
        </w:rPr>
        <w:t>. Forest plot. Non</w:t>
      </w:r>
      <w:r w:rsidR="000C57C4">
        <w:rPr>
          <w:lang w:eastAsia="zh-CN"/>
        </w:rPr>
        <w:t>-</w:t>
      </w:r>
      <w:r>
        <w:rPr>
          <w:lang w:eastAsia="zh-CN"/>
        </w:rPr>
        <w:t xml:space="preserve">vertebral fracture – </w:t>
      </w:r>
      <w:proofErr w:type="spellStart"/>
      <w:r>
        <w:rPr>
          <w:lang w:eastAsia="zh-CN"/>
        </w:rPr>
        <w:t>Minodronate</w:t>
      </w:r>
      <w:bookmarkEnd w:id="18"/>
      <w:proofErr w:type="spellEnd"/>
      <w:r>
        <w:rPr>
          <w:lang w:eastAsia="zh-CN"/>
        </w:rPr>
        <w:t xml:space="preserve"> </w:t>
      </w:r>
    </w:p>
    <w:p w14:paraId="2CB4CEA3" w14:textId="2BB882E7" w:rsidR="00F63A91" w:rsidRDefault="00AB3C1A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653C54F4" wp14:editId="2ACD7F48">
            <wp:extent cx="5720080" cy="977900"/>
            <wp:effectExtent l="0" t="0" r="0" b="0"/>
            <wp:docPr id="20" name="그림 20" descr="F:\1 论文\conservative treatment of osteoporotic fracture\1 medication for prevention of OPVF\For BONE\Supplementary materials\Non-vertebral fracture\M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 论文\conservative treatment of osteoporotic fracture\1 medication for prevention of OPVF\For BONE\Supplementary materials\Non-vertebral fracture\MN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A1B9" w14:textId="767E1A0D" w:rsidR="000E29FF" w:rsidRDefault="000E29FF" w:rsidP="00E32587">
      <w:pPr>
        <w:pStyle w:val="1"/>
        <w:rPr>
          <w:lang w:eastAsia="zh-CN"/>
        </w:rPr>
      </w:pPr>
      <w:bookmarkStart w:id="19" w:name="_Toc501984044"/>
      <w:r>
        <w:rPr>
          <w:rFonts w:hint="eastAsia"/>
          <w:lang w:eastAsia="zh-CN"/>
        </w:rPr>
        <w:t>t</w:t>
      </w:r>
      <w:r>
        <w:rPr>
          <w:lang w:eastAsia="zh-CN"/>
        </w:rPr>
        <w:t xml:space="preserve">. Forest plot. </w:t>
      </w:r>
      <w:r w:rsidR="000C57C4">
        <w:rPr>
          <w:lang w:eastAsia="zh-CN"/>
        </w:rPr>
        <w:t xml:space="preserve">Non-vertebral fracture </w:t>
      </w:r>
      <w:r w:rsidR="00DD5D38">
        <w:rPr>
          <w:lang w:eastAsia="zh-CN"/>
        </w:rPr>
        <w:t>–</w:t>
      </w:r>
      <w:r w:rsidR="000C57C4">
        <w:rPr>
          <w:lang w:eastAsia="zh-CN"/>
        </w:rPr>
        <w:t xml:space="preserve"> Pamidronate</w:t>
      </w:r>
      <w:bookmarkEnd w:id="19"/>
    </w:p>
    <w:p w14:paraId="7593C7E8" w14:textId="11495CB8" w:rsidR="00DD5D38" w:rsidRDefault="000F3BD9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41F1227B" wp14:editId="79663E89">
            <wp:extent cx="5730875" cy="977900"/>
            <wp:effectExtent l="0" t="0" r="3175" b="0"/>
            <wp:docPr id="21" name="그림 21" descr="F:\1 论文\conservative treatment of osteoporotic fracture\1 medication for prevention of OPVF\For BONE\Supplementary materials\Non-vertebral fracture\P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 论文\conservative treatment of osteoporotic fracture\1 medication for prevention of OPVF\For BONE\Supplementary materials\Non-vertebral fracture\PM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C0A1" w14:textId="2CC9F5C9" w:rsidR="0039323A" w:rsidRDefault="0039323A" w:rsidP="00E32587">
      <w:pPr>
        <w:pStyle w:val="1"/>
        <w:rPr>
          <w:lang w:eastAsia="zh-CN"/>
        </w:rPr>
      </w:pPr>
      <w:bookmarkStart w:id="20" w:name="_Toc501984045"/>
      <w:r>
        <w:rPr>
          <w:rFonts w:hint="eastAsia"/>
          <w:lang w:eastAsia="zh-CN"/>
        </w:rPr>
        <w:t>u</w:t>
      </w:r>
      <w:r>
        <w:rPr>
          <w:lang w:eastAsia="zh-CN"/>
        </w:rPr>
        <w:t xml:space="preserve">. </w:t>
      </w:r>
      <w:r w:rsidR="00333A94">
        <w:t>Forest</w:t>
      </w:r>
      <w:r w:rsidR="00333A94">
        <w:rPr>
          <w:lang w:eastAsia="zh-CN"/>
        </w:rPr>
        <w:t xml:space="preserve"> plot. </w:t>
      </w:r>
      <w:r w:rsidR="00DD20FA">
        <w:rPr>
          <w:lang w:eastAsia="zh-CN"/>
        </w:rPr>
        <w:t>Non-vertebral fracture</w:t>
      </w:r>
      <w:r w:rsidR="009568BF">
        <w:rPr>
          <w:lang w:eastAsia="zh-CN"/>
        </w:rPr>
        <w:t xml:space="preserve"> </w:t>
      </w:r>
      <w:r w:rsidR="007440EB">
        <w:rPr>
          <w:lang w:eastAsia="zh-CN"/>
        </w:rPr>
        <w:t>– HRT</w:t>
      </w:r>
      <w:bookmarkEnd w:id="20"/>
    </w:p>
    <w:p w14:paraId="2D1B31C9" w14:textId="32F2B9F0" w:rsidR="007440EB" w:rsidRDefault="00FB39F0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35B3EFCD" wp14:editId="231991A0">
            <wp:extent cx="5730875" cy="1137920"/>
            <wp:effectExtent l="0" t="0" r="3175" b="5080"/>
            <wp:docPr id="22" name="그림 22" descr="F:\1 论文\conservative treatment of osteoporotic fracture\1 medication for prevention of OPVF\For BONE\Supplementary materials\Non-vertebral fracture\H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 论文\conservative treatment of osteoporotic fracture\1 medication for prevention of OPVF\For BONE\Supplementary materials\Non-vertebral fracture\HRT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3F399" w14:textId="60BB1538" w:rsidR="003078BB" w:rsidRDefault="002A73B2" w:rsidP="00E32587">
      <w:pPr>
        <w:pStyle w:val="1"/>
        <w:rPr>
          <w:lang w:eastAsia="zh-CN"/>
        </w:rPr>
      </w:pPr>
      <w:bookmarkStart w:id="21" w:name="_Toc501984046"/>
      <w:r>
        <w:rPr>
          <w:rFonts w:hint="eastAsia"/>
          <w:lang w:eastAsia="zh-CN"/>
        </w:rPr>
        <w:lastRenderedPageBreak/>
        <w:t>v</w:t>
      </w:r>
      <w:r>
        <w:rPr>
          <w:lang w:eastAsia="zh-CN"/>
        </w:rPr>
        <w:t xml:space="preserve">. </w:t>
      </w:r>
      <w:r>
        <w:t>Forest</w:t>
      </w:r>
      <w:r>
        <w:rPr>
          <w:lang w:eastAsia="zh-CN"/>
        </w:rPr>
        <w:t xml:space="preserve"> plot. </w:t>
      </w:r>
      <w:r w:rsidR="009568BF">
        <w:rPr>
          <w:lang w:eastAsia="zh-CN"/>
        </w:rPr>
        <w:t xml:space="preserve">Discontinuation due to AEs </w:t>
      </w:r>
      <w:r w:rsidR="00DC588B">
        <w:rPr>
          <w:lang w:eastAsia="zh-CN"/>
        </w:rPr>
        <w:t>–</w:t>
      </w:r>
      <w:r w:rsidR="009568BF">
        <w:rPr>
          <w:lang w:eastAsia="zh-CN"/>
        </w:rPr>
        <w:t xml:space="preserve"> HRT</w:t>
      </w:r>
      <w:bookmarkEnd w:id="21"/>
    </w:p>
    <w:p w14:paraId="44B3590D" w14:textId="225FF5C5" w:rsidR="00DC588B" w:rsidRDefault="0072596F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0CB0C547" wp14:editId="5EA57B5A">
            <wp:extent cx="5730875" cy="1084580"/>
            <wp:effectExtent l="0" t="0" r="3175" b="1270"/>
            <wp:docPr id="23" name="그림 23" descr="F:\1 论文\conservative treatment of osteoporotic fracture\1 medication for prevention of OPVF\outcome\Figure\Discontinuation\Forest plot HRT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 论文\conservative treatment of osteoporotic fracture\1 medication for prevention of OPVF\outcome\Figure\Discontinuation\Forest plot HRT vs control 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43971" w14:textId="5C0F2052" w:rsidR="00887F6E" w:rsidRDefault="00887F6E" w:rsidP="00E32587">
      <w:pPr>
        <w:pStyle w:val="1"/>
        <w:rPr>
          <w:lang w:eastAsia="zh-CN"/>
        </w:rPr>
      </w:pPr>
      <w:bookmarkStart w:id="22" w:name="_Toc501984047"/>
      <w:r>
        <w:rPr>
          <w:rFonts w:hint="eastAsia"/>
          <w:lang w:eastAsia="zh-CN"/>
        </w:rPr>
        <w:t>w</w:t>
      </w:r>
      <w:r>
        <w:rPr>
          <w:lang w:eastAsia="zh-CN"/>
        </w:rPr>
        <w:t xml:space="preserve">. Forest plot. </w:t>
      </w:r>
      <w:r w:rsidR="00452285">
        <w:rPr>
          <w:lang w:eastAsia="zh-CN"/>
        </w:rPr>
        <w:t xml:space="preserve">Discontinuation due to AEs </w:t>
      </w:r>
      <w:r w:rsidR="003967F6">
        <w:rPr>
          <w:lang w:eastAsia="zh-CN"/>
        </w:rPr>
        <w:t>–</w:t>
      </w:r>
      <w:r w:rsidR="00452285">
        <w:rPr>
          <w:lang w:eastAsia="zh-CN"/>
        </w:rPr>
        <w:t xml:space="preserve"> PTH</w:t>
      </w:r>
      <w:bookmarkEnd w:id="22"/>
    </w:p>
    <w:p w14:paraId="2FB0101E" w14:textId="7F209963" w:rsidR="003967F6" w:rsidRDefault="003967F6" w:rsidP="00BF1252">
      <w:pPr>
        <w:ind w:firstLineChars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4BA86797" wp14:editId="33FBF88E">
            <wp:extent cx="5730875" cy="3189605"/>
            <wp:effectExtent l="0" t="0" r="3175" b="0"/>
            <wp:docPr id="24" name="그림 24" descr="F:\1 论文\conservative treatment of osteoporotic fracture\1 medication for prevention of OPVF\outcome\Figure\Discontinuation\Forest plot PTH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 论文\conservative treatment of osteoporotic fracture\1 medication for prevention of OPVF\outcome\Figure\Discontinuation\Forest plot PTH vs control 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95F8E" w14:textId="623CDA2E" w:rsidR="00EB328B" w:rsidRDefault="00EB328B" w:rsidP="00E32587">
      <w:pPr>
        <w:pStyle w:val="1"/>
        <w:rPr>
          <w:lang w:eastAsia="zh-CN"/>
        </w:rPr>
      </w:pPr>
      <w:bookmarkStart w:id="23" w:name="_Toc501984048"/>
      <w:r>
        <w:rPr>
          <w:rFonts w:hint="eastAsia"/>
          <w:lang w:eastAsia="zh-CN"/>
        </w:rPr>
        <w:lastRenderedPageBreak/>
        <w:t>x</w:t>
      </w:r>
      <w:r>
        <w:rPr>
          <w:lang w:eastAsia="zh-CN"/>
        </w:rPr>
        <w:t xml:space="preserve">. </w:t>
      </w:r>
      <w:r>
        <w:t>Forest</w:t>
      </w:r>
      <w:r>
        <w:rPr>
          <w:lang w:eastAsia="zh-CN"/>
        </w:rPr>
        <w:t xml:space="preserve"> plot. </w:t>
      </w:r>
      <w:r w:rsidR="00BF4C4F">
        <w:rPr>
          <w:lang w:eastAsia="zh-CN"/>
        </w:rPr>
        <w:t xml:space="preserve">Non-vertebral fracture </w:t>
      </w:r>
      <w:r w:rsidR="006C0B80">
        <w:rPr>
          <w:lang w:eastAsia="zh-CN"/>
        </w:rPr>
        <w:t>–</w:t>
      </w:r>
      <w:r w:rsidR="00BF4C4F">
        <w:rPr>
          <w:lang w:eastAsia="zh-CN"/>
        </w:rPr>
        <w:t xml:space="preserve"> PTH</w:t>
      </w:r>
      <w:bookmarkEnd w:id="23"/>
    </w:p>
    <w:p w14:paraId="40DEB6DA" w14:textId="56353F4C" w:rsidR="006C0B80" w:rsidRDefault="001B639A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5CB9584" wp14:editId="4EDB82C9">
            <wp:extent cx="5727700" cy="4813300"/>
            <wp:effectExtent l="0" t="0" r="6350" b="6350"/>
            <wp:docPr id="4" name="그림 4" descr="D:\1 work\1 Articles\conservative treatment of osteoporotic fracture\1 medication for prevention of OPVF\For BMC musculo\revision files\2nd revision\Figure\raw\Forest plot - non-vertebral PTH upd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work\1 Articles\conservative treatment of osteoporotic fracture\1 medication for prevention of OPVF\For BMC musculo\revision files\2nd revision\Figure\raw\Forest plot - non-vertebral PTH updated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E9F2" w14:textId="1A761846" w:rsidR="006C0B80" w:rsidRDefault="006C0B80" w:rsidP="00E32587">
      <w:pPr>
        <w:pStyle w:val="1"/>
        <w:rPr>
          <w:lang w:eastAsia="zh-CN"/>
        </w:rPr>
      </w:pPr>
      <w:bookmarkStart w:id="24" w:name="_Toc501984049"/>
      <w:r>
        <w:rPr>
          <w:rFonts w:hint="eastAsia"/>
          <w:lang w:eastAsia="zh-CN"/>
        </w:rPr>
        <w:t>y</w:t>
      </w:r>
      <w:r>
        <w:rPr>
          <w:lang w:eastAsia="zh-CN"/>
        </w:rPr>
        <w:t xml:space="preserve">. </w:t>
      </w:r>
      <w:r>
        <w:t>Forest</w:t>
      </w:r>
      <w:r>
        <w:rPr>
          <w:lang w:eastAsia="zh-CN"/>
        </w:rPr>
        <w:t xml:space="preserve"> plot. Discontinuation due to AEs – Denosumab</w:t>
      </w:r>
      <w:bookmarkEnd w:id="24"/>
    </w:p>
    <w:p w14:paraId="170EBE02" w14:textId="581FE221" w:rsidR="006C0B80" w:rsidRDefault="004572AC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615F9DAF" wp14:editId="063B5599">
            <wp:extent cx="5730875" cy="1031240"/>
            <wp:effectExtent l="0" t="0" r="3175" b="0"/>
            <wp:docPr id="26" name="그림 26" descr="F:\1 论文\conservative treatment of osteoporotic fracture\1 medication for prevention of OPVF\outcome\Figure\Discontinuation\Forest plot Dmab vs contro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1 论文\conservative treatment of osteoporotic fracture\1 medication for prevention of OPVF\outcome\Figure\Discontinuation\Forest plot Dmab vs control 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E12E" w14:textId="79C5BB1C" w:rsidR="008B0767" w:rsidRDefault="008B0767" w:rsidP="00E32587">
      <w:pPr>
        <w:pStyle w:val="1"/>
        <w:rPr>
          <w:lang w:eastAsia="zh-CN"/>
        </w:rPr>
      </w:pPr>
      <w:bookmarkStart w:id="25" w:name="_Toc501984050"/>
      <w:r>
        <w:rPr>
          <w:rFonts w:hint="eastAsia"/>
          <w:lang w:eastAsia="zh-CN"/>
        </w:rPr>
        <w:lastRenderedPageBreak/>
        <w:t>z</w:t>
      </w:r>
      <w:r>
        <w:rPr>
          <w:lang w:eastAsia="zh-CN"/>
        </w:rPr>
        <w:t xml:space="preserve">. </w:t>
      </w:r>
      <w:r>
        <w:t>Forest</w:t>
      </w:r>
      <w:r>
        <w:rPr>
          <w:lang w:eastAsia="zh-CN"/>
        </w:rPr>
        <w:t xml:space="preserve"> plot. </w:t>
      </w:r>
      <w:r w:rsidR="00A42280">
        <w:rPr>
          <w:lang w:eastAsia="zh-CN"/>
        </w:rPr>
        <w:t xml:space="preserve">Non-vertebral fracture </w:t>
      </w:r>
      <w:r w:rsidR="00616C74">
        <w:rPr>
          <w:lang w:eastAsia="zh-CN"/>
        </w:rPr>
        <w:t>–</w:t>
      </w:r>
      <w:r w:rsidR="00A42280">
        <w:rPr>
          <w:lang w:eastAsia="zh-CN"/>
        </w:rPr>
        <w:t xml:space="preserve"> </w:t>
      </w:r>
      <w:r w:rsidR="009F3646">
        <w:rPr>
          <w:lang w:eastAsia="zh-CN"/>
        </w:rPr>
        <w:t>Denosumab</w:t>
      </w:r>
      <w:bookmarkEnd w:id="25"/>
    </w:p>
    <w:p w14:paraId="4CD0E016" w14:textId="1CBC8FAF" w:rsidR="00616C74" w:rsidRDefault="00665A11" w:rsidP="00BF1252">
      <w:pPr>
        <w:ind w:firstLineChars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AE0255A" wp14:editId="5C8A3948">
            <wp:extent cx="5730875" cy="1020445"/>
            <wp:effectExtent l="0" t="0" r="3175" b="8255"/>
            <wp:docPr id="27" name="그림 27" descr="F:\1 论文\conservative treatment of osteoporotic fracture\1 medication for prevention of OPVF\For BONE\Supplementary materials\Non-vertebral fracture\Dm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1 论文\conservative treatment of osteoporotic fracture\1 medication for prevention of OPVF\For BONE\Supplementary materials\Non-vertebral fracture\Dma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EC44" w14:textId="0464679D" w:rsidR="00CE0AA6" w:rsidRDefault="00CE0AA6" w:rsidP="004742F0">
      <w:pPr>
        <w:pStyle w:val="1"/>
        <w:rPr>
          <w:lang w:eastAsia="zh-CN"/>
        </w:rPr>
      </w:pPr>
      <w:r w:rsidRPr="005B2C0D">
        <w:rPr>
          <w:rFonts w:hint="eastAsia"/>
          <w:color w:val="4F81BD" w:themeColor="accent1"/>
          <w:lang w:eastAsia="zh-CN"/>
        </w:rPr>
        <w:t>aa</w:t>
      </w:r>
      <w:r w:rsidRPr="005B2C0D">
        <w:rPr>
          <w:color w:val="4F81BD" w:themeColor="accent1"/>
          <w:lang w:eastAsia="zh-CN"/>
        </w:rPr>
        <w:t>.</w:t>
      </w:r>
      <w:r>
        <w:rPr>
          <w:lang w:eastAsia="zh-CN"/>
        </w:rPr>
        <w:t xml:space="preserve"> Forest plot. </w:t>
      </w:r>
      <w:r w:rsidR="00C91274">
        <w:rPr>
          <w:lang w:eastAsia="zh-CN"/>
        </w:rPr>
        <w:t>Non-vertebral fracture – Ibandronate vs. Risedronate</w:t>
      </w:r>
    </w:p>
    <w:p w14:paraId="1AE7ACA2" w14:textId="7A7B9DC9" w:rsidR="00C91274" w:rsidRDefault="004742F0" w:rsidP="00BF1252">
      <w:pPr>
        <w:ind w:firstLineChars="0"/>
        <w:rPr>
          <w:rFonts w:hint="eastAsia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774F5176" wp14:editId="68FE2FC6">
            <wp:extent cx="5732780" cy="2313940"/>
            <wp:effectExtent l="0" t="0" r="1270" b="0"/>
            <wp:docPr id="25" name="그림 25" descr="D:\1 work\1 Articles\conservative treatment of osteoporotic fracture\1 medication for prevention of OPVF\For BMC musculo\revision files\2nd revision\Figure\raw\Forest plot Non vertebral IBN vs 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work\1 Articles\conservative treatment of osteoporotic fracture\1 medication for prevention of OPVF\For BMC musculo\revision files\2nd revision\Figure\raw\Forest plot Non vertebral IBN vs RISE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5A062" w14:textId="25B31798" w:rsidR="007B574C" w:rsidRDefault="00AF5406" w:rsidP="00E32587">
      <w:pPr>
        <w:pStyle w:val="1"/>
        <w:rPr>
          <w:lang w:eastAsia="zh-CN"/>
        </w:rPr>
      </w:pPr>
      <w:bookmarkStart w:id="26" w:name="_Toc501984051"/>
      <w:r w:rsidRPr="005B2C0D">
        <w:rPr>
          <w:color w:val="4F81BD" w:themeColor="accent1"/>
          <w:lang w:eastAsia="zh-CN"/>
        </w:rPr>
        <w:t>bb</w:t>
      </w:r>
      <w:r w:rsidR="007B574C" w:rsidRPr="005B2C0D">
        <w:rPr>
          <w:color w:val="4F81BD" w:themeColor="accent1"/>
          <w:lang w:eastAsia="zh-CN"/>
        </w:rPr>
        <w:t>.</w:t>
      </w:r>
      <w:r w:rsidR="007B574C">
        <w:rPr>
          <w:lang w:eastAsia="zh-CN"/>
        </w:rPr>
        <w:t xml:space="preserve"> </w:t>
      </w:r>
      <w:r w:rsidR="007B574C">
        <w:t>Forest</w:t>
      </w:r>
      <w:r w:rsidR="007B574C">
        <w:rPr>
          <w:lang w:eastAsia="zh-CN"/>
        </w:rPr>
        <w:t xml:space="preserve"> plot. </w:t>
      </w:r>
      <w:r w:rsidR="00BD04C9">
        <w:rPr>
          <w:lang w:eastAsia="zh-CN"/>
        </w:rPr>
        <w:t>Discontinuation – Risedronate vs. PTH</w:t>
      </w:r>
      <w:bookmarkEnd w:id="26"/>
    </w:p>
    <w:p w14:paraId="4F3B886E" w14:textId="483E4CAF" w:rsidR="00BD04C9" w:rsidRDefault="00BD04C9" w:rsidP="00BF1252">
      <w:pPr>
        <w:ind w:firstLineChars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A18B042" wp14:editId="6B62C7AC">
            <wp:extent cx="5730875" cy="1095375"/>
            <wp:effectExtent l="0" t="0" r="3175" b="9525"/>
            <wp:docPr id="28" name="그림 28" descr="F:\1 论文\conservative treatment of osteoporotic fracture\1 medication for prevention of OPVF\For BONE\Supplementary materials\Discontinuation\Forest plot. PTH and R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1 论文\conservative treatment of osteoporotic fracture\1 medication for prevention of OPVF\For BONE\Supplementary materials\Discontinuation\Forest plot. PTH and RSN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07E9" w14:textId="56646713" w:rsidR="00290DA8" w:rsidRDefault="00BA5F86" w:rsidP="00E32587">
      <w:pPr>
        <w:pStyle w:val="1"/>
        <w:rPr>
          <w:lang w:eastAsia="zh-CN"/>
        </w:rPr>
      </w:pPr>
      <w:bookmarkStart w:id="27" w:name="_Toc501984052"/>
      <w:r w:rsidRPr="005B2C0D">
        <w:rPr>
          <w:color w:val="4F81BD" w:themeColor="accent1"/>
          <w:lang w:eastAsia="zh-CN"/>
        </w:rPr>
        <w:t>cc</w:t>
      </w:r>
      <w:r w:rsidR="00D21411" w:rsidRPr="005B2C0D">
        <w:rPr>
          <w:color w:val="4F81BD" w:themeColor="accent1"/>
          <w:lang w:eastAsia="zh-CN"/>
        </w:rPr>
        <w:t xml:space="preserve">. </w:t>
      </w:r>
      <w:r w:rsidR="00D21411">
        <w:t>Forest</w:t>
      </w:r>
      <w:r w:rsidR="00D21411">
        <w:rPr>
          <w:lang w:eastAsia="zh-CN"/>
        </w:rPr>
        <w:t xml:space="preserve"> plot. </w:t>
      </w:r>
      <w:r w:rsidR="005537A8">
        <w:rPr>
          <w:lang w:eastAsia="zh-CN"/>
        </w:rPr>
        <w:t>Non-vertebral fracture –</w:t>
      </w:r>
      <w:r w:rsidR="0059076E">
        <w:rPr>
          <w:lang w:eastAsia="zh-CN"/>
        </w:rPr>
        <w:t xml:space="preserve"> Teriparatide vs. </w:t>
      </w:r>
      <w:r w:rsidR="00290DA8">
        <w:rPr>
          <w:lang w:eastAsia="zh-CN"/>
        </w:rPr>
        <w:t>Risedronate</w:t>
      </w:r>
      <w:bookmarkEnd w:id="27"/>
    </w:p>
    <w:p w14:paraId="1910BDCD" w14:textId="6A54AEE5" w:rsidR="00D21411" w:rsidRDefault="00C21E2B" w:rsidP="00BF1252">
      <w:pPr>
        <w:ind w:firstLineChars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19685D2C" wp14:editId="642FB30A">
            <wp:extent cx="5730875" cy="1105535"/>
            <wp:effectExtent l="0" t="0" r="3175" b="0"/>
            <wp:docPr id="30" name="그림 30" descr="F:\1 论文\conservative treatment of osteoporotic fracture\1 medication for prevention of OPVF\For BONE\Supplementary materials\Non-vertebral fracture\RSN vs.Teriparat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1 论文\conservative treatment of osteoporotic fracture\1 medication for prevention of OPVF\For BONE\Supplementary materials\Non-vertebral fracture\RSN vs.Teriparatid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69CC" w14:textId="01390C8E" w:rsidR="003F0E75" w:rsidRDefault="00BA5F86" w:rsidP="00E32587">
      <w:pPr>
        <w:pStyle w:val="1"/>
        <w:rPr>
          <w:lang w:eastAsia="zh-CN"/>
        </w:rPr>
      </w:pPr>
      <w:bookmarkStart w:id="28" w:name="_Toc501984053"/>
      <w:r w:rsidRPr="005B2C0D">
        <w:rPr>
          <w:color w:val="4F81BD" w:themeColor="accent1"/>
          <w:lang w:eastAsia="zh-CN"/>
        </w:rPr>
        <w:lastRenderedPageBreak/>
        <w:t>dd</w:t>
      </w:r>
      <w:r w:rsidR="003F0E75">
        <w:rPr>
          <w:lang w:eastAsia="zh-CN"/>
        </w:rPr>
        <w:t xml:space="preserve">. </w:t>
      </w:r>
      <w:r w:rsidR="003F0E75">
        <w:t>Forest</w:t>
      </w:r>
      <w:r w:rsidR="003F0E75">
        <w:rPr>
          <w:lang w:eastAsia="zh-CN"/>
        </w:rPr>
        <w:t xml:space="preserve"> plot. </w:t>
      </w:r>
      <w:r w:rsidR="00946C94">
        <w:rPr>
          <w:lang w:eastAsia="zh-CN"/>
        </w:rPr>
        <w:t xml:space="preserve">Non-vertebral fracture </w:t>
      </w:r>
      <w:r w:rsidR="00C83CC3">
        <w:rPr>
          <w:lang w:eastAsia="zh-CN"/>
        </w:rPr>
        <w:t>–</w:t>
      </w:r>
      <w:r w:rsidR="00946C94">
        <w:rPr>
          <w:lang w:eastAsia="zh-CN"/>
        </w:rPr>
        <w:t xml:space="preserve"> </w:t>
      </w:r>
      <w:r w:rsidR="00C83CC3">
        <w:rPr>
          <w:lang w:eastAsia="zh-CN"/>
        </w:rPr>
        <w:t>Alendronate vs. Denosumab</w:t>
      </w:r>
      <w:bookmarkEnd w:id="28"/>
    </w:p>
    <w:p w14:paraId="46FFF196" w14:textId="627AC75E" w:rsidR="00C83CC3" w:rsidRDefault="00527B19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1CBBC2B9" wp14:editId="5A46A026">
            <wp:extent cx="5730875" cy="988695"/>
            <wp:effectExtent l="0" t="0" r="3175" b="1905"/>
            <wp:docPr id="31" name="그림 31" descr="F:\1 论文\conservative treatment of osteoporotic fracture\1 medication for prevention of OPVF\For BONE\Supplementary materials\Non-vertebral fracture\Forest plot.Denosumab vs. A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1 论文\conservative treatment of osteoporotic fracture\1 medication for prevention of OPVF\For BONE\Supplementary materials\Non-vertebral fracture\Forest plot.Denosumab vs. ALN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9B747" w14:textId="532E493D" w:rsidR="00D35F89" w:rsidRDefault="00BA5F86" w:rsidP="00E32587">
      <w:pPr>
        <w:pStyle w:val="1"/>
        <w:rPr>
          <w:lang w:eastAsia="zh-CN"/>
        </w:rPr>
      </w:pPr>
      <w:bookmarkStart w:id="29" w:name="_Toc501984054"/>
      <w:bookmarkStart w:id="30" w:name="_GoBack"/>
      <w:proofErr w:type="spellStart"/>
      <w:r w:rsidRPr="005B2C0D">
        <w:rPr>
          <w:color w:val="4F81BD" w:themeColor="accent1"/>
          <w:lang w:eastAsia="zh-CN"/>
        </w:rPr>
        <w:t>ee</w:t>
      </w:r>
      <w:proofErr w:type="spellEnd"/>
      <w:r w:rsidR="00D35F89" w:rsidRPr="005B2C0D">
        <w:rPr>
          <w:color w:val="4F81BD" w:themeColor="accent1"/>
          <w:lang w:eastAsia="zh-CN"/>
        </w:rPr>
        <w:t xml:space="preserve">. </w:t>
      </w:r>
      <w:bookmarkEnd w:id="30"/>
      <w:r w:rsidR="00D35F89">
        <w:rPr>
          <w:lang w:eastAsia="zh-CN"/>
        </w:rPr>
        <w:t>Forest plot. Non-vertebral fracture</w:t>
      </w:r>
      <w:r w:rsidR="00D83E96">
        <w:rPr>
          <w:lang w:eastAsia="zh-CN"/>
        </w:rPr>
        <w:t xml:space="preserve"> – Romosozumab vs. Alendronate</w:t>
      </w:r>
      <w:bookmarkEnd w:id="29"/>
    </w:p>
    <w:p w14:paraId="09E647AC" w14:textId="60B43265" w:rsidR="00D83E96" w:rsidRPr="00FB39F0" w:rsidRDefault="00995D56" w:rsidP="00BF1252">
      <w:pPr>
        <w:ind w:firstLineChars="0"/>
        <w:rPr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1BF97978" wp14:editId="1DDDCAA7">
            <wp:extent cx="5730875" cy="956945"/>
            <wp:effectExtent l="0" t="0" r="3175" b="0"/>
            <wp:docPr id="29" name="그림 29" descr="F:\1 论文\conservative treatment of osteoporotic fracture\1 medication for prevention of OPVF\For BONE\Supplementary materials\Non-vertebral fracture\Forest plot. Romosozumab vs. Alendro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1 论文\conservative treatment of osteoporotic fracture\1 medication for prevention of OPVF\For BONE\Supplementary materials\Non-vertebral fracture\Forest plot. Romosozumab vs. Alendronat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E96" w:rsidRPr="00FB39F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B28A" w14:textId="77777777" w:rsidR="00A75128" w:rsidRDefault="00A75128" w:rsidP="006127A8">
      <w:pPr>
        <w:spacing w:after="0" w:line="240" w:lineRule="auto"/>
        <w:ind w:firstLine="199"/>
      </w:pPr>
      <w:r>
        <w:separator/>
      </w:r>
    </w:p>
  </w:endnote>
  <w:endnote w:type="continuationSeparator" w:id="0">
    <w:p w14:paraId="79FDA477" w14:textId="77777777" w:rsidR="00A75128" w:rsidRDefault="00A75128" w:rsidP="006127A8">
      <w:pPr>
        <w:spacing w:after="0" w:line="240" w:lineRule="auto"/>
        <w:ind w:firstLine="19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PingFang SC Light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B3F0" w14:textId="77777777" w:rsidR="006127A8" w:rsidRDefault="006127A8">
    <w:pPr>
      <w:pStyle w:val="a7"/>
      <w:ind w:firstLine="19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D7C5" w14:textId="77777777" w:rsidR="006127A8" w:rsidRDefault="006127A8">
    <w:pPr>
      <w:pStyle w:val="a7"/>
      <w:ind w:firstLine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F49C" w14:textId="77777777" w:rsidR="006127A8" w:rsidRDefault="006127A8">
    <w:pPr>
      <w:pStyle w:val="a7"/>
      <w:ind w:firstLine="19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F2371" w14:textId="77777777" w:rsidR="00A75128" w:rsidRDefault="00A75128" w:rsidP="006127A8">
      <w:pPr>
        <w:spacing w:after="0" w:line="240" w:lineRule="auto"/>
        <w:ind w:firstLine="199"/>
      </w:pPr>
      <w:r>
        <w:separator/>
      </w:r>
    </w:p>
  </w:footnote>
  <w:footnote w:type="continuationSeparator" w:id="0">
    <w:p w14:paraId="7BC50DCC" w14:textId="77777777" w:rsidR="00A75128" w:rsidRDefault="00A75128" w:rsidP="006127A8">
      <w:pPr>
        <w:spacing w:after="0" w:line="240" w:lineRule="auto"/>
        <w:ind w:firstLine="19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BF26" w14:textId="77777777" w:rsidR="006127A8" w:rsidRDefault="006127A8">
    <w:pPr>
      <w:pStyle w:val="a6"/>
      <w:ind w:firstLine="19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3B9C" w14:textId="77777777" w:rsidR="006127A8" w:rsidRDefault="006127A8">
    <w:pPr>
      <w:pStyle w:val="a6"/>
      <w:ind w:firstLine="19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294E" w14:textId="77777777" w:rsidR="006127A8" w:rsidRDefault="006127A8">
    <w:pPr>
      <w:pStyle w:val="a6"/>
      <w:ind w:firstLine="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265B"/>
    <w:multiLevelType w:val="hybridMultilevel"/>
    <w:tmpl w:val="A7A25AB6"/>
    <w:lvl w:ilvl="0" w:tplc="E7DEDF0E">
      <w:start w:val="1"/>
      <w:numFmt w:val="low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1" w15:restartNumberingAfterBreak="0">
    <w:nsid w:val="28A50DF1"/>
    <w:multiLevelType w:val="hybridMultilevel"/>
    <w:tmpl w:val="A36AAE04"/>
    <w:lvl w:ilvl="0" w:tplc="B7B4FF5A">
      <w:start w:val="1"/>
      <w:numFmt w:val="lowerRoman"/>
      <w:lvlText w:val="%1.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2" w15:restartNumberingAfterBreak="0">
    <w:nsid w:val="44495766"/>
    <w:multiLevelType w:val="hybridMultilevel"/>
    <w:tmpl w:val="B79663DA"/>
    <w:lvl w:ilvl="0" w:tplc="3EFEFDA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46B255A"/>
    <w:multiLevelType w:val="hybridMultilevel"/>
    <w:tmpl w:val="445C1196"/>
    <w:lvl w:ilvl="0" w:tplc="234EAFF8">
      <w:start w:val="1"/>
      <w:numFmt w:val="lowerLetter"/>
      <w:lvlText w:val="%1.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4" w15:restartNumberingAfterBreak="0">
    <w:nsid w:val="7A7A5AFE"/>
    <w:multiLevelType w:val="hybridMultilevel"/>
    <w:tmpl w:val="D4D6A460"/>
    <w:lvl w:ilvl="0" w:tplc="6F5ED9B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05E1"/>
    <w:rsid w:val="000136E3"/>
    <w:rsid w:val="000737C9"/>
    <w:rsid w:val="000C139E"/>
    <w:rsid w:val="000C57C4"/>
    <w:rsid w:val="000E29FF"/>
    <w:rsid w:val="000F3BD9"/>
    <w:rsid w:val="001111A3"/>
    <w:rsid w:val="00183D38"/>
    <w:rsid w:val="0018503D"/>
    <w:rsid w:val="001976F5"/>
    <w:rsid w:val="001A2EDE"/>
    <w:rsid w:val="001B1DB5"/>
    <w:rsid w:val="001B2CB7"/>
    <w:rsid w:val="001B639A"/>
    <w:rsid w:val="001C23A7"/>
    <w:rsid w:val="002104C7"/>
    <w:rsid w:val="00221038"/>
    <w:rsid w:val="00221A2F"/>
    <w:rsid w:val="00240DEA"/>
    <w:rsid w:val="00251C71"/>
    <w:rsid w:val="00257095"/>
    <w:rsid w:val="00290DA8"/>
    <w:rsid w:val="002A73B2"/>
    <w:rsid w:val="003078BB"/>
    <w:rsid w:val="00333A94"/>
    <w:rsid w:val="0034215F"/>
    <w:rsid w:val="0034383F"/>
    <w:rsid w:val="00360516"/>
    <w:rsid w:val="00371229"/>
    <w:rsid w:val="003725F2"/>
    <w:rsid w:val="003733D6"/>
    <w:rsid w:val="003821AD"/>
    <w:rsid w:val="0039323A"/>
    <w:rsid w:val="003967F6"/>
    <w:rsid w:val="003F0E75"/>
    <w:rsid w:val="003F7C4A"/>
    <w:rsid w:val="00402785"/>
    <w:rsid w:val="0040799A"/>
    <w:rsid w:val="004205E1"/>
    <w:rsid w:val="004269CD"/>
    <w:rsid w:val="00430359"/>
    <w:rsid w:val="00452285"/>
    <w:rsid w:val="00453F0F"/>
    <w:rsid w:val="004572AC"/>
    <w:rsid w:val="00473D15"/>
    <w:rsid w:val="004742F0"/>
    <w:rsid w:val="004903E9"/>
    <w:rsid w:val="004D73AD"/>
    <w:rsid w:val="00527B19"/>
    <w:rsid w:val="005341EE"/>
    <w:rsid w:val="005504CA"/>
    <w:rsid w:val="005537A8"/>
    <w:rsid w:val="00562614"/>
    <w:rsid w:val="005651F5"/>
    <w:rsid w:val="0058722C"/>
    <w:rsid w:val="0059076E"/>
    <w:rsid w:val="00595E2F"/>
    <w:rsid w:val="005B2C0D"/>
    <w:rsid w:val="006127A8"/>
    <w:rsid w:val="00616C74"/>
    <w:rsid w:val="00632422"/>
    <w:rsid w:val="0064257A"/>
    <w:rsid w:val="00655365"/>
    <w:rsid w:val="00663712"/>
    <w:rsid w:val="00665A11"/>
    <w:rsid w:val="00691EAB"/>
    <w:rsid w:val="006926C2"/>
    <w:rsid w:val="006953BA"/>
    <w:rsid w:val="006A1A21"/>
    <w:rsid w:val="006A6B8B"/>
    <w:rsid w:val="006C0B80"/>
    <w:rsid w:val="006E5DD2"/>
    <w:rsid w:val="00711D0D"/>
    <w:rsid w:val="0072596F"/>
    <w:rsid w:val="007440EB"/>
    <w:rsid w:val="00783691"/>
    <w:rsid w:val="007B44D9"/>
    <w:rsid w:val="007B574C"/>
    <w:rsid w:val="007D790C"/>
    <w:rsid w:val="00806617"/>
    <w:rsid w:val="00826D8C"/>
    <w:rsid w:val="008546F3"/>
    <w:rsid w:val="008674D6"/>
    <w:rsid w:val="00887F6E"/>
    <w:rsid w:val="008901BC"/>
    <w:rsid w:val="008B0767"/>
    <w:rsid w:val="0094429D"/>
    <w:rsid w:val="00946C94"/>
    <w:rsid w:val="009568BF"/>
    <w:rsid w:val="00995D56"/>
    <w:rsid w:val="009F3646"/>
    <w:rsid w:val="009F763D"/>
    <w:rsid w:val="00A34D9D"/>
    <w:rsid w:val="00A42280"/>
    <w:rsid w:val="00A54FAA"/>
    <w:rsid w:val="00A75128"/>
    <w:rsid w:val="00AB3C1A"/>
    <w:rsid w:val="00AF5213"/>
    <w:rsid w:val="00AF5406"/>
    <w:rsid w:val="00B45611"/>
    <w:rsid w:val="00B602B4"/>
    <w:rsid w:val="00B70ACF"/>
    <w:rsid w:val="00B714D0"/>
    <w:rsid w:val="00BA5F86"/>
    <w:rsid w:val="00BC0AA7"/>
    <w:rsid w:val="00BC2398"/>
    <w:rsid w:val="00BD04C9"/>
    <w:rsid w:val="00BF1252"/>
    <w:rsid w:val="00BF2A54"/>
    <w:rsid w:val="00BF4C4F"/>
    <w:rsid w:val="00C03BE8"/>
    <w:rsid w:val="00C21E2B"/>
    <w:rsid w:val="00C31A64"/>
    <w:rsid w:val="00C56A22"/>
    <w:rsid w:val="00C83CC3"/>
    <w:rsid w:val="00C91274"/>
    <w:rsid w:val="00CC5C1A"/>
    <w:rsid w:val="00CD4100"/>
    <w:rsid w:val="00CE0AA6"/>
    <w:rsid w:val="00D21411"/>
    <w:rsid w:val="00D35F89"/>
    <w:rsid w:val="00D77F33"/>
    <w:rsid w:val="00D83E96"/>
    <w:rsid w:val="00DC588B"/>
    <w:rsid w:val="00DD20FA"/>
    <w:rsid w:val="00DD5D38"/>
    <w:rsid w:val="00E1623B"/>
    <w:rsid w:val="00E32587"/>
    <w:rsid w:val="00E33577"/>
    <w:rsid w:val="00E623BB"/>
    <w:rsid w:val="00E90DC9"/>
    <w:rsid w:val="00EB328B"/>
    <w:rsid w:val="00EE1596"/>
    <w:rsid w:val="00EE6D2A"/>
    <w:rsid w:val="00F37F0A"/>
    <w:rsid w:val="00F4701B"/>
    <w:rsid w:val="00F60E28"/>
    <w:rsid w:val="00F63A91"/>
    <w:rsid w:val="00F8025A"/>
    <w:rsid w:val="00F9419B"/>
    <w:rsid w:val="00F97F95"/>
    <w:rsid w:val="00FB39F0"/>
    <w:rsid w:val="00FC0E67"/>
    <w:rsid w:val="00FD5011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E4EE3"/>
  <w15:chartTrackingRefBased/>
  <w15:docId w15:val="{06DBC1C4-B1AC-4CA4-8D7F-D8C8E61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바탕"/>
        <w:kern w:val="2"/>
        <w:sz w:val="28"/>
        <w:szCs w:val="28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BC"/>
    <w:pPr>
      <w:widowControl w:val="0"/>
      <w:autoSpaceDE w:val="0"/>
      <w:autoSpaceDN w:val="0"/>
      <w:ind w:firstLineChars="71" w:firstLine="142"/>
    </w:pPr>
  </w:style>
  <w:style w:type="paragraph" w:styleId="1">
    <w:name w:val="heading 1"/>
    <w:basedOn w:val="a"/>
    <w:next w:val="a"/>
    <w:link w:val="1Char"/>
    <w:uiPriority w:val="9"/>
    <w:qFormat/>
    <w:rsid w:val="00691EAB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720" w:after="160" w:line="259" w:lineRule="auto"/>
      <w:ind w:firstLineChars="0" w:firstLine="0"/>
      <w:jc w:val="left"/>
      <w:outlineLvl w:val="0"/>
    </w:pPr>
    <w:rPr>
      <w:rFonts w:eastAsia="Arial Unicode MS" w:cstheme="majorBidi"/>
      <w:b/>
      <w:color w:val="000000"/>
      <w:kern w:val="0"/>
      <w:sz w:val="22"/>
      <w:szCs w:val="22"/>
      <w:u w:color="000000"/>
      <w:bdr w:val="nil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419B"/>
    <w:pPr>
      <w:keepNext/>
      <w:spacing w:before="480"/>
      <w:outlineLvl w:val="1"/>
    </w:pPr>
    <w:rPr>
      <w:rFonts w:eastAsia="Times New Roman"/>
      <w:b/>
    </w:rPr>
  </w:style>
  <w:style w:type="paragraph" w:styleId="3">
    <w:name w:val="heading 3"/>
    <w:basedOn w:val="a"/>
    <w:next w:val="a"/>
    <w:link w:val="3Char"/>
    <w:uiPriority w:val="9"/>
    <w:unhideWhenUsed/>
    <w:qFormat/>
    <w:rsid w:val="00F9419B"/>
    <w:pPr>
      <w:keepNext/>
      <w:spacing w:before="360"/>
      <w:ind w:leftChars="300" w:left="500" w:hangingChars="200" w:hanging="200"/>
      <w:outlineLvl w:val="2"/>
    </w:pPr>
    <w:rPr>
      <w:rFonts w:eastAsia="Times New Roman" w:cstheme="majorBidi"/>
      <w:b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419B"/>
    <w:pPr>
      <w:keepNext/>
      <w:ind w:leftChars="100" w:left="100" w:rightChars="100" w:right="100" w:hangingChars="200" w:hanging="2000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title">
    <w:name w:val="abstract title"/>
    <w:basedOn w:val="a"/>
    <w:link w:val="abstracttitleChar"/>
    <w:qFormat/>
    <w:rsid w:val="000737C9"/>
    <w:pPr>
      <w:ind w:firstLineChars="0" w:firstLine="0"/>
    </w:pPr>
    <w:rPr>
      <w:rFonts w:ascii="Microsoft YaHei" w:hAnsi="Microsoft YaHei" w:cs="Arial"/>
      <w:szCs w:val="20"/>
      <w:lang w:eastAsia="zh-CN"/>
    </w:rPr>
  </w:style>
  <w:style w:type="character" w:customStyle="1" w:styleId="abstracttitleChar">
    <w:name w:val="abstract title Char"/>
    <w:basedOn w:val="a0"/>
    <w:link w:val="abstracttitle"/>
    <w:rsid w:val="000737C9"/>
    <w:rPr>
      <w:rFonts w:ascii="Microsoft YaHei" w:hAnsi="Microsoft YaHei" w:cs="Arial"/>
      <w:szCs w:val="20"/>
      <w:lang w:eastAsia="zh-CN"/>
    </w:rPr>
  </w:style>
  <w:style w:type="paragraph" w:customStyle="1" w:styleId="manuscripttitle">
    <w:name w:val="manuscript title"/>
    <w:basedOn w:val="a"/>
    <w:link w:val="manuscripttitleChar"/>
    <w:qFormat/>
    <w:rsid w:val="007B44D9"/>
    <w:pPr>
      <w:ind w:firstLineChars="0" w:firstLine="0"/>
    </w:pPr>
    <w:rPr>
      <w:rFonts w:ascii="Microsoft YaHei" w:hAnsi="Microsoft YaHei" w:cs="Arial"/>
      <w:b/>
      <w:szCs w:val="20"/>
    </w:rPr>
  </w:style>
  <w:style w:type="character" w:customStyle="1" w:styleId="manuscripttitleChar">
    <w:name w:val="manuscript title Char"/>
    <w:basedOn w:val="a0"/>
    <w:link w:val="manuscripttitle"/>
    <w:rsid w:val="007B44D9"/>
    <w:rPr>
      <w:rFonts w:ascii="Microsoft YaHei" w:eastAsia="Microsoft YaHei" w:hAnsi="Microsoft YaHei" w:cs="Arial"/>
      <w:b/>
      <w:szCs w:val="20"/>
      <w:lang w:eastAsia="zh-CN"/>
    </w:rPr>
  </w:style>
  <w:style w:type="character" w:customStyle="1" w:styleId="1Char">
    <w:name w:val="제목 1 Char"/>
    <w:basedOn w:val="a0"/>
    <w:link w:val="1"/>
    <w:uiPriority w:val="9"/>
    <w:rsid w:val="00691EAB"/>
    <w:rPr>
      <w:rFonts w:eastAsia="Arial Unicode MS" w:cstheme="majorBidi"/>
      <w:b/>
      <w:color w:val="000000"/>
      <w:kern w:val="0"/>
      <w:sz w:val="22"/>
      <w:szCs w:val="22"/>
      <w:u w:color="000000"/>
      <w:bdr w:val="nil"/>
      <w:lang w:eastAsia="en-US"/>
    </w:rPr>
  </w:style>
  <w:style w:type="character" w:customStyle="1" w:styleId="2Char">
    <w:name w:val="제목 2 Char"/>
    <w:basedOn w:val="a0"/>
    <w:link w:val="2"/>
    <w:uiPriority w:val="9"/>
    <w:rsid w:val="00F9419B"/>
    <w:rPr>
      <w:rFonts w:ascii="Times New Roman" w:eastAsia="Times New Roman" w:hAnsi="Times New Roman" w:cs="Times New Roman"/>
      <w:b/>
      <w:color w:val="943634" w:themeColor="accent2" w:themeShade="BF"/>
      <w:sz w:val="24"/>
      <w:lang w:eastAsia="zh-CN"/>
    </w:rPr>
  </w:style>
  <w:style w:type="character" w:customStyle="1" w:styleId="3Char">
    <w:name w:val="제목 3 Char"/>
    <w:basedOn w:val="a0"/>
    <w:link w:val="3"/>
    <w:uiPriority w:val="9"/>
    <w:rsid w:val="00F9419B"/>
    <w:rPr>
      <w:rFonts w:ascii="Times New Roman" w:eastAsia="Times New Roman" w:hAnsi="Times New Roman" w:cstheme="majorBidi"/>
      <w:b/>
      <w:color w:val="943634" w:themeColor="accent2" w:themeShade="BF"/>
      <w:lang w:eastAsia="zh-CN"/>
    </w:rPr>
  </w:style>
  <w:style w:type="character" w:customStyle="1" w:styleId="4Char">
    <w:name w:val="제목 4 Char"/>
    <w:basedOn w:val="a0"/>
    <w:link w:val="4"/>
    <w:uiPriority w:val="9"/>
    <w:semiHidden/>
    <w:rsid w:val="00F9419B"/>
    <w:rPr>
      <w:rFonts w:ascii="Times New Roman" w:eastAsia="Times New Roman" w:hAnsi="Times New Roman" w:cs="Times New Roman"/>
      <w:b/>
      <w:bCs/>
      <w:color w:val="943634" w:themeColor="accent2" w:themeShade="BF"/>
      <w:lang w:eastAsia="zh-CN"/>
    </w:rPr>
  </w:style>
  <w:style w:type="paragraph" w:customStyle="1" w:styleId="a3">
    <w:name w:val="主题句"/>
    <w:basedOn w:val="a"/>
    <w:link w:val="Char"/>
    <w:qFormat/>
    <w:rsid w:val="00EE6D2A"/>
    <w:rPr>
      <w:rFonts w:ascii="Microsoft YaHei UI" w:eastAsia="Microsoft YaHei UI" w:hAnsi="Microsoft YaHei UI"/>
      <w:color w:val="1F497D" w:themeColor="text2"/>
    </w:rPr>
  </w:style>
  <w:style w:type="character" w:customStyle="1" w:styleId="Char">
    <w:name w:val="主题句 Char"/>
    <w:basedOn w:val="a0"/>
    <w:link w:val="a3"/>
    <w:rsid w:val="00EE6D2A"/>
    <w:rPr>
      <w:rFonts w:ascii="Microsoft YaHei UI" w:eastAsia="Microsoft YaHei UI" w:hAnsi="Microsoft YaHei UI" w:cs="바탕"/>
      <w:color w:val="1F497D" w:themeColor="text2"/>
      <w:lang w:eastAsia="zh-CN"/>
    </w:rPr>
  </w:style>
  <w:style w:type="paragraph" w:customStyle="1" w:styleId="a4">
    <w:name w:val="引用"/>
    <w:link w:val="Char0"/>
    <w:qFormat/>
    <w:rsid w:val="00A54FAA"/>
    <w:pPr>
      <w:ind w:firstLine="170"/>
    </w:pPr>
    <w:rPr>
      <w:rFonts w:eastAsia="SimSun" w:cs="Times New Roman"/>
      <w:i/>
      <w:color w:val="943634" w:themeColor="accent2" w:themeShade="BF"/>
      <w:sz w:val="24"/>
      <w:shd w:val="clear" w:color="auto" w:fill="FFFFFF"/>
      <w:lang w:eastAsia="zh-CN"/>
    </w:rPr>
  </w:style>
  <w:style w:type="character" w:customStyle="1" w:styleId="Char0">
    <w:name w:val="引用 Char"/>
    <w:basedOn w:val="a0"/>
    <w:link w:val="a4"/>
    <w:rsid w:val="00A54FAA"/>
    <w:rPr>
      <w:rFonts w:ascii="Times New Roman" w:eastAsia="SimSun" w:hAnsi="Times New Roman" w:cs="Times New Roman"/>
      <w:i/>
      <w:color w:val="943634" w:themeColor="accent2" w:themeShade="BF"/>
      <w:sz w:val="24"/>
      <w:lang w:eastAsia="zh-CN"/>
    </w:rPr>
  </w:style>
  <w:style w:type="paragraph" w:customStyle="1" w:styleId="a5">
    <w:name w:val="正文"/>
    <w:link w:val="Char1"/>
    <w:qFormat/>
    <w:rsid w:val="000737C9"/>
    <w:pPr>
      <w:ind w:firstLine="170"/>
    </w:pPr>
    <w:rPr>
      <w:rFonts w:eastAsiaTheme="majorEastAsia" w:cs="Times New Roman"/>
      <w:color w:val="000000" w:themeColor="text1"/>
      <w:sz w:val="24"/>
      <w:shd w:val="clear" w:color="auto" w:fill="FFFFFF"/>
      <w:lang w:eastAsia="zh-CN"/>
    </w:rPr>
  </w:style>
  <w:style w:type="character" w:customStyle="1" w:styleId="Char1">
    <w:name w:val="正文 Char"/>
    <w:basedOn w:val="a0"/>
    <w:link w:val="a5"/>
    <w:rsid w:val="000737C9"/>
    <w:rPr>
      <w:rFonts w:eastAsiaTheme="majorEastAsia" w:cs="Times New Roman"/>
      <w:color w:val="000000" w:themeColor="text1"/>
      <w:sz w:val="24"/>
      <w:lang w:eastAsia="zh-CN"/>
    </w:rPr>
  </w:style>
  <w:style w:type="paragraph" w:styleId="a6">
    <w:name w:val="header"/>
    <w:basedOn w:val="a"/>
    <w:link w:val="Char2"/>
    <w:uiPriority w:val="99"/>
    <w:unhideWhenUsed/>
    <w:rsid w:val="006127A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6127A8"/>
  </w:style>
  <w:style w:type="paragraph" w:styleId="a7">
    <w:name w:val="footer"/>
    <w:basedOn w:val="a"/>
    <w:link w:val="Char3"/>
    <w:uiPriority w:val="99"/>
    <w:unhideWhenUsed/>
    <w:rsid w:val="006127A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7"/>
    <w:uiPriority w:val="99"/>
    <w:rsid w:val="006127A8"/>
  </w:style>
  <w:style w:type="paragraph" w:styleId="a8">
    <w:name w:val="List Paragraph"/>
    <w:basedOn w:val="a"/>
    <w:uiPriority w:val="34"/>
    <w:qFormat/>
    <w:rsid w:val="006127A8"/>
    <w:pPr>
      <w:ind w:leftChars="400" w:left="800"/>
    </w:pPr>
  </w:style>
  <w:style w:type="paragraph" w:styleId="TOC">
    <w:name w:val="TOC Heading"/>
    <w:basedOn w:val="1"/>
    <w:next w:val="a"/>
    <w:uiPriority w:val="39"/>
    <w:unhideWhenUsed/>
    <w:qFormat/>
    <w:rsid w:val="0040799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  <w:szCs w:val="32"/>
      <w:bdr w:val="none" w:sz="0" w:space="0" w:color="auto"/>
      <w:lang w:eastAsia="ko-KR"/>
    </w:rPr>
  </w:style>
  <w:style w:type="paragraph" w:styleId="20">
    <w:name w:val="toc 2"/>
    <w:basedOn w:val="a"/>
    <w:next w:val="a"/>
    <w:autoRedefine/>
    <w:uiPriority w:val="39"/>
    <w:unhideWhenUsed/>
    <w:rsid w:val="0040799A"/>
    <w:pPr>
      <w:widowControl/>
      <w:autoSpaceDE/>
      <w:autoSpaceDN/>
      <w:spacing w:after="100" w:line="259" w:lineRule="auto"/>
      <w:ind w:left="220" w:firstLineChars="0" w:firstLine="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40799A"/>
    <w:pPr>
      <w:widowControl/>
      <w:autoSpaceDE/>
      <w:autoSpaceDN/>
      <w:spacing w:after="100" w:line="259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40799A"/>
    <w:pPr>
      <w:widowControl/>
      <w:autoSpaceDE/>
      <w:autoSpaceDN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styleId="a9">
    <w:name w:val="Hyperlink"/>
    <w:basedOn w:val="a0"/>
    <w:uiPriority w:val="99"/>
    <w:unhideWhenUsed/>
    <w:rsid w:val="0047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A8B4-E181-4855-ADFD-7BDC05A9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Yuanzhe Jin</dc:creator>
  <cp:keywords/>
  <dc:description/>
  <cp:lastModifiedBy>김원철</cp:lastModifiedBy>
  <cp:revision>120</cp:revision>
  <dcterms:created xsi:type="dcterms:W3CDTF">2017-12-25T02:14:00Z</dcterms:created>
  <dcterms:modified xsi:type="dcterms:W3CDTF">2019-06-24T01:05:00Z</dcterms:modified>
</cp:coreProperties>
</file>