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B4" w:rsidRDefault="002F77B4" w:rsidP="001B5FE2">
      <w:pPr>
        <w:pStyle w:val="Heading1"/>
        <w:spacing w:before="0" w:line="480" w:lineRule="auto"/>
        <w:rPr>
          <w:rFonts w:ascii="Times New Roman" w:hAnsi="Times New Roman"/>
          <w:b/>
          <w:color w:val="auto"/>
          <w:sz w:val="24"/>
          <w:szCs w:val="24"/>
        </w:rPr>
      </w:pPr>
      <w:r>
        <w:rPr>
          <w:rFonts w:ascii="Times New Roman" w:hAnsi="Times New Roman"/>
          <w:b/>
          <w:color w:val="auto"/>
          <w:sz w:val="24"/>
          <w:szCs w:val="24"/>
        </w:rPr>
        <w:t>Additional file 1</w:t>
      </w:r>
      <w:bookmarkStart w:id="0" w:name="_GoBack"/>
      <w:bookmarkEnd w:id="0"/>
    </w:p>
    <w:p w:rsidR="001B5FE2" w:rsidRPr="008935D4" w:rsidRDefault="001B5FE2" w:rsidP="001B5FE2">
      <w:pPr>
        <w:pStyle w:val="Heading1"/>
        <w:spacing w:before="0" w:line="480" w:lineRule="auto"/>
        <w:rPr>
          <w:rFonts w:ascii="Times New Roman" w:hAnsi="Times New Roman"/>
          <w:b/>
          <w:color w:val="auto"/>
          <w:sz w:val="24"/>
          <w:szCs w:val="24"/>
        </w:rPr>
      </w:pPr>
      <w:r w:rsidRPr="008935D4">
        <w:rPr>
          <w:rFonts w:ascii="Times New Roman" w:hAnsi="Times New Roman"/>
          <w:b/>
          <w:color w:val="auto"/>
          <w:sz w:val="24"/>
          <w:szCs w:val="24"/>
        </w:rPr>
        <w:t>SUPPLEMENTAL MATERIALS</w:t>
      </w:r>
    </w:p>
    <w:p w:rsidR="001B5FE2" w:rsidRPr="008935D4" w:rsidRDefault="001B5FE2" w:rsidP="001B5FE2">
      <w:pPr>
        <w:pStyle w:val="Heading2"/>
        <w:spacing w:before="0" w:line="480" w:lineRule="auto"/>
        <w:rPr>
          <w:rFonts w:ascii="Times New Roman" w:hAnsi="Times New Roman"/>
          <w:b/>
          <w:color w:val="auto"/>
          <w:sz w:val="24"/>
          <w:szCs w:val="24"/>
        </w:rPr>
      </w:pPr>
      <w:r w:rsidRPr="008935D4">
        <w:rPr>
          <w:rFonts w:ascii="Times New Roman" w:hAnsi="Times New Roman"/>
          <w:b/>
          <w:color w:val="auto"/>
          <w:sz w:val="24"/>
          <w:szCs w:val="24"/>
        </w:rPr>
        <w:t>Safety and tolerability</w:t>
      </w:r>
    </w:p>
    <w:p w:rsidR="001B5FE2" w:rsidRPr="008935D4" w:rsidRDefault="001B5FE2" w:rsidP="001B5FE2">
      <w:pPr>
        <w:pStyle w:val="Heading3"/>
        <w:spacing w:before="0" w:line="480" w:lineRule="auto"/>
        <w:rPr>
          <w:rFonts w:ascii="Times New Roman" w:hAnsi="Times New Roman"/>
          <w:b/>
          <w:i/>
          <w:color w:val="auto"/>
        </w:rPr>
      </w:pPr>
      <w:r w:rsidRPr="008935D4">
        <w:rPr>
          <w:rFonts w:ascii="Times New Roman" w:hAnsi="Times New Roman"/>
          <w:b/>
          <w:i/>
          <w:color w:val="auto"/>
        </w:rPr>
        <w:t>Potential and likely CV adverse events</w:t>
      </w:r>
    </w:p>
    <w:p w:rsidR="001B5FE2" w:rsidRPr="008935D4" w:rsidRDefault="001B5FE2" w:rsidP="001B5FE2">
      <w:pPr>
        <w:spacing w:line="480" w:lineRule="auto"/>
        <w:rPr>
          <w:rFonts w:ascii="Times New Roman" w:hAnsi="Times New Roman" w:cs="Times New Roman"/>
        </w:rPr>
      </w:pPr>
      <w:r w:rsidRPr="008935D4">
        <w:rPr>
          <w:rFonts w:ascii="Times New Roman" w:hAnsi="Times New Roman" w:cs="Times New Roman"/>
        </w:rPr>
        <w:t>Overall, there was a low proportion of lasmiditan- and placebo-treated patients that reported potential CV AEs (Supplemental Table 2). The number and percentage of patients with at least 1 potential CV AE were significantly higher in lasmiditan-treated patients (</w:t>
      </w:r>
      <w:r w:rsidRPr="008935D4">
        <w:rPr>
          <w:rFonts w:ascii="Times New Roman" w:hAnsi="Times New Roman" w:cs="Times New Roman"/>
          <w:i/>
          <w:iCs/>
        </w:rPr>
        <w:t>n</w:t>
      </w:r>
      <w:r w:rsidRPr="008935D4">
        <w:rPr>
          <w:rFonts w:ascii="Times New Roman" w:hAnsi="Times New Roman" w:cs="Times New Roman"/>
        </w:rPr>
        <w:t> = 97 [3.1%]) than in placebo-treated patients (</w:t>
      </w:r>
      <w:r w:rsidRPr="008935D4">
        <w:rPr>
          <w:rFonts w:ascii="Times New Roman" w:hAnsi="Times New Roman" w:cs="Times New Roman"/>
          <w:i/>
          <w:iCs/>
        </w:rPr>
        <w:t>n</w:t>
      </w:r>
      <w:r w:rsidRPr="008935D4">
        <w:rPr>
          <w:rFonts w:ascii="Times New Roman" w:hAnsi="Times New Roman" w:cs="Times New Roman"/>
        </w:rPr>
        <w:t> = 18 [1.4%]) (</w:t>
      </w:r>
      <w:r w:rsidRPr="008935D4">
        <w:rPr>
          <w:rFonts w:ascii="Times New Roman" w:hAnsi="Times New Roman" w:cs="Times New Roman"/>
          <w:i/>
        </w:rPr>
        <w:t xml:space="preserve">p </w:t>
      </w:r>
      <w:r w:rsidRPr="008935D4">
        <w:rPr>
          <w:rFonts w:ascii="Times New Roman" w:hAnsi="Times New Roman" w:cs="Times New Roman"/>
        </w:rPr>
        <w:t>= 0.002). This was also the case in the Cardiomyopathy (</w:t>
      </w:r>
      <w:r w:rsidRPr="008935D4">
        <w:rPr>
          <w:rFonts w:ascii="Times New Roman" w:hAnsi="Times New Roman" w:cs="Times New Roman"/>
          <w:i/>
        </w:rPr>
        <w:t xml:space="preserve">p </w:t>
      </w:r>
      <w:r w:rsidRPr="008935D4">
        <w:rPr>
          <w:rFonts w:ascii="Times New Roman" w:hAnsi="Times New Roman" w:cs="Times New Roman"/>
        </w:rPr>
        <w:t>= 0.01) and CNS vascular disorders (</w:t>
      </w:r>
      <w:r w:rsidRPr="008935D4">
        <w:rPr>
          <w:rFonts w:ascii="Times New Roman" w:hAnsi="Times New Roman" w:cs="Times New Roman"/>
          <w:i/>
        </w:rPr>
        <w:t xml:space="preserve">p </w:t>
      </w:r>
      <w:r w:rsidRPr="008935D4">
        <w:rPr>
          <w:rFonts w:ascii="Times New Roman" w:hAnsi="Times New Roman" w:cs="Times New Roman"/>
        </w:rPr>
        <w:t xml:space="preserve">= 0.03) SMQs, but there was no significant difference in the other 7 SMQs or the abdominal pain PTs.  Supplemental Table 3 shows the resultant percentages of likely CV AEs after medical case reviews. No statistically significant differences were observed between the lasmiditan- and placebo-treated patients in any of the 9 SMQs or the abdominal pain PTs for likely CV AEs. </w:t>
      </w:r>
    </w:p>
    <w:p w:rsidR="001B5FE2" w:rsidRPr="008935D4" w:rsidRDefault="001B5FE2" w:rsidP="001B5FE2">
      <w:pPr>
        <w:spacing w:line="480" w:lineRule="auto"/>
        <w:rPr>
          <w:rFonts w:ascii="Times New Roman" w:hAnsi="Times New Roman" w:cs="Times New Roman"/>
        </w:rPr>
      </w:pPr>
      <w:r w:rsidRPr="008935D4">
        <w:rPr>
          <w:rFonts w:ascii="Times New Roman" w:hAnsi="Times New Roman" w:cs="Times New Roman"/>
        </w:rPr>
        <w:tab/>
        <w:t>When analyzed by the presence of CVRFs, likely CV AEs were not statistically different in those treated with lasmiditan versus placebo in either the presence or absence of any CVRFs. In both treatment groups (lasmiditan vs. placebo), likely CV AEs were most frequent (</w:t>
      </w:r>
      <w:r w:rsidRPr="008935D4">
        <w:rPr>
          <w:rFonts w:ascii="Times New Roman" w:hAnsi="Times New Roman" w:cs="Times New Roman"/>
          <w:i/>
          <w:iCs/>
        </w:rPr>
        <w:t>n</w:t>
      </w:r>
      <w:r w:rsidRPr="008935D4">
        <w:rPr>
          <w:rFonts w:ascii="Times New Roman" w:hAnsi="Times New Roman" w:cs="Times New Roman"/>
        </w:rPr>
        <w:t xml:space="preserve"> = 47 [1.5%] vs. </w:t>
      </w:r>
      <w:r w:rsidRPr="008935D4">
        <w:rPr>
          <w:rFonts w:ascii="Times New Roman" w:hAnsi="Times New Roman" w:cs="Times New Roman"/>
          <w:i/>
          <w:iCs/>
        </w:rPr>
        <w:t>n</w:t>
      </w:r>
      <w:r w:rsidRPr="008935D4">
        <w:rPr>
          <w:rFonts w:ascii="Times New Roman" w:hAnsi="Times New Roman" w:cs="Times New Roman"/>
        </w:rPr>
        <w:t xml:space="preserve"> = 14 [1.1%]) in patients with ≥</w:t>
      </w:r>
      <w:r w:rsidRPr="008935D4">
        <w:rPr>
          <w:rFonts w:ascii="Times New Roman" w:hAnsi="Times New Roman" w:cs="Times New Roman"/>
          <w:sz w:val="20"/>
          <w:szCs w:val="20"/>
        </w:rPr>
        <w:t> </w:t>
      </w:r>
      <w:r w:rsidRPr="008935D4">
        <w:rPr>
          <w:rFonts w:ascii="Times New Roman" w:hAnsi="Times New Roman" w:cs="Times New Roman"/>
        </w:rPr>
        <w:t xml:space="preserve">1 CVRF. </w:t>
      </w:r>
    </w:p>
    <w:p w:rsidR="001B5FE2" w:rsidRPr="008935D4" w:rsidRDefault="001B5FE2" w:rsidP="001B5FE2">
      <w:pPr>
        <w:spacing w:line="480" w:lineRule="auto"/>
        <w:rPr>
          <w:rFonts w:ascii="Times New Roman" w:hAnsi="Times New Roman" w:cs="Times New Roman"/>
        </w:rPr>
      </w:pPr>
    </w:p>
    <w:p w:rsidR="001B5FE2" w:rsidRPr="008935D4" w:rsidRDefault="001B5FE2" w:rsidP="001B5FE2">
      <w:pPr>
        <w:spacing w:line="480" w:lineRule="auto"/>
        <w:rPr>
          <w:rFonts w:ascii="Times New Roman" w:hAnsi="Times New Roman" w:cs="Times New Roman"/>
        </w:rPr>
      </w:pPr>
    </w:p>
    <w:p w:rsidR="001B5FE2" w:rsidRPr="008935D4" w:rsidRDefault="001B5FE2" w:rsidP="001B5FE2">
      <w:pPr>
        <w:spacing w:line="480" w:lineRule="auto"/>
        <w:rPr>
          <w:rFonts w:ascii="Times New Roman" w:hAnsi="Times New Roman" w:cs="Times New Roman"/>
        </w:rPr>
      </w:pPr>
    </w:p>
    <w:p w:rsidR="001B5FE2" w:rsidRPr="008935D4" w:rsidRDefault="001B5FE2" w:rsidP="001B5FE2">
      <w:pPr>
        <w:spacing w:line="480" w:lineRule="auto"/>
        <w:rPr>
          <w:rFonts w:ascii="Times New Roman" w:hAnsi="Times New Roman" w:cs="Times New Roman"/>
        </w:rPr>
        <w:sectPr w:rsidR="001B5FE2" w:rsidRPr="008935D4" w:rsidSect="001B5FE2">
          <w:pgSz w:w="12240" w:h="15840"/>
          <w:pgMar w:top="1440" w:right="1440" w:bottom="1440" w:left="1440" w:header="720" w:footer="720" w:gutter="0"/>
          <w:cols w:space="720"/>
          <w:docGrid w:linePitch="360"/>
        </w:sectPr>
      </w:pPr>
    </w:p>
    <w:p w:rsidR="001B5FE2" w:rsidRPr="008935D4" w:rsidRDefault="001B5FE2" w:rsidP="001B5FE2">
      <w:pPr>
        <w:pStyle w:val="Heading1"/>
        <w:spacing w:before="0" w:line="480" w:lineRule="auto"/>
        <w:rPr>
          <w:rFonts w:ascii="Times New Roman" w:hAnsi="Times New Roman"/>
          <w:b/>
          <w:color w:val="auto"/>
          <w:sz w:val="24"/>
          <w:szCs w:val="24"/>
          <w:u w:val="single"/>
        </w:rPr>
      </w:pPr>
      <w:r w:rsidRPr="008935D4">
        <w:rPr>
          <w:rFonts w:ascii="Times New Roman" w:hAnsi="Times New Roman"/>
          <w:b/>
          <w:color w:val="auto"/>
          <w:sz w:val="24"/>
          <w:szCs w:val="24"/>
          <w:u w:val="single"/>
        </w:rPr>
        <w:lastRenderedPageBreak/>
        <w:t>Supplemental Tables</w:t>
      </w:r>
    </w:p>
    <w:p w:rsidR="001B5FE2" w:rsidRPr="008935D4" w:rsidRDefault="001B5FE2" w:rsidP="001B5FE2">
      <w:pPr>
        <w:pStyle w:val="Caption"/>
        <w:spacing w:line="480" w:lineRule="auto"/>
        <w:rPr>
          <w:rFonts w:ascii="Times New Roman" w:hAnsi="Times New Roman" w:cs="Times New Roman"/>
          <w:b/>
          <w:i w:val="0"/>
          <w:color w:val="auto"/>
          <w:sz w:val="24"/>
          <w:szCs w:val="24"/>
        </w:rPr>
      </w:pPr>
      <w:bookmarkStart w:id="1" w:name="SuppTable1"/>
      <w:r w:rsidRPr="008935D4">
        <w:rPr>
          <w:rFonts w:ascii="Times New Roman" w:hAnsi="Times New Roman" w:cs="Times New Roman"/>
          <w:b/>
          <w:i w:val="0"/>
          <w:color w:val="auto"/>
          <w:sz w:val="24"/>
          <w:szCs w:val="24"/>
        </w:rPr>
        <w:t>Supplemental Table 1</w:t>
      </w:r>
      <w:bookmarkEnd w:id="1"/>
      <w:r w:rsidRPr="008935D4">
        <w:rPr>
          <w:rFonts w:ascii="Times New Roman" w:hAnsi="Times New Roman" w:cs="Times New Roman"/>
          <w:b/>
          <w:i w:val="0"/>
          <w:color w:val="auto"/>
          <w:sz w:val="24"/>
          <w:szCs w:val="24"/>
        </w:rPr>
        <w:t xml:space="preserve"> </w:t>
      </w:r>
      <w:r w:rsidRPr="008935D4">
        <w:rPr>
          <w:rFonts w:ascii="Times New Roman" w:hAnsi="Times New Roman" w:cs="Times New Roman"/>
          <w:bCs/>
          <w:i w:val="0"/>
          <w:color w:val="auto"/>
          <w:sz w:val="24"/>
          <w:szCs w:val="24"/>
        </w:rPr>
        <w:t>Summary of events excluded from likely adverse events and the associated Standardized MedDRA Queries/Preferred Terms</w:t>
      </w:r>
    </w:p>
    <w:tbl>
      <w:tblPr>
        <w:tblW w:w="5000" w:type="pct"/>
        <w:tblLook w:val="04A0" w:firstRow="1" w:lastRow="0" w:firstColumn="1" w:lastColumn="0" w:noHBand="0" w:noVBand="1"/>
      </w:tblPr>
      <w:tblGrid>
        <w:gridCol w:w="6476"/>
        <w:gridCol w:w="3195"/>
        <w:gridCol w:w="3505"/>
      </w:tblGrid>
      <w:tr w:rsidR="001B5FE2" w:rsidRPr="008935D4" w:rsidTr="00781025">
        <w:trPr>
          <w:tblHeader/>
        </w:trPr>
        <w:tc>
          <w:tcPr>
            <w:tcW w:w="2457" w:type="pct"/>
            <w:tcBorders>
              <w:top w:val="single" w:sz="4" w:space="0" w:color="auto"/>
              <w:bottom w:val="single" w:sz="4" w:space="0" w:color="auto"/>
            </w:tcBorders>
            <w:shd w:val="clear" w:color="auto" w:fill="auto"/>
            <w:vAlign w:val="center"/>
          </w:tcPr>
          <w:p w:rsidR="001B5FE2" w:rsidRPr="008935D4" w:rsidRDefault="001B5FE2" w:rsidP="00781025">
            <w:pPr>
              <w:pStyle w:val="Header"/>
              <w:spacing w:line="360" w:lineRule="auto"/>
              <w:rPr>
                <w:rFonts w:ascii="Times New Roman" w:hAnsi="Times New Roman" w:cs="Times New Roman"/>
                <w:b/>
                <w:sz w:val="20"/>
                <w:szCs w:val="20"/>
              </w:rPr>
            </w:pPr>
            <w:r w:rsidRPr="008935D4">
              <w:rPr>
                <w:rFonts w:ascii="Times New Roman" w:hAnsi="Times New Roman" w:cs="Times New Roman"/>
                <w:b/>
                <w:sz w:val="20"/>
                <w:szCs w:val="20"/>
              </w:rPr>
              <w:t>Patient case descriptions</w:t>
            </w:r>
          </w:p>
        </w:tc>
        <w:tc>
          <w:tcPr>
            <w:tcW w:w="1212" w:type="pct"/>
            <w:tcBorders>
              <w:top w:val="single" w:sz="4" w:space="0" w:color="auto"/>
              <w:bottom w:val="single" w:sz="4" w:space="0" w:color="auto"/>
            </w:tcBorders>
            <w:shd w:val="clear" w:color="auto" w:fill="auto"/>
          </w:tcPr>
          <w:p w:rsidR="001B5FE2" w:rsidRPr="008935D4" w:rsidRDefault="001B5FE2" w:rsidP="00781025">
            <w:pPr>
              <w:pStyle w:val="Header"/>
              <w:spacing w:line="360" w:lineRule="auto"/>
              <w:ind w:left="8" w:right="50"/>
              <w:rPr>
                <w:rFonts w:ascii="Times New Roman" w:hAnsi="Times New Roman" w:cs="Times New Roman"/>
                <w:b/>
                <w:sz w:val="20"/>
                <w:szCs w:val="20"/>
              </w:rPr>
            </w:pPr>
            <w:r w:rsidRPr="008935D4">
              <w:rPr>
                <w:rFonts w:ascii="Times New Roman" w:hAnsi="Times New Roman" w:cs="Times New Roman"/>
                <w:b/>
                <w:sz w:val="20"/>
                <w:szCs w:val="20"/>
              </w:rPr>
              <w:t>Reported term/ Preferred Term</w:t>
            </w:r>
          </w:p>
        </w:tc>
        <w:tc>
          <w:tcPr>
            <w:tcW w:w="1330" w:type="pct"/>
            <w:tcBorders>
              <w:top w:val="single" w:sz="4" w:space="0" w:color="auto"/>
              <w:bottom w:val="single" w:sz="4" w:space="0" w:color="auto"/>
            </w:tcBorders>
            <w:shd w:val="clear" w:color="auto" w:fill="auto"/>
          </w:tcPr>
          <w:p w:rsidR="001B5FE2" w:rsidRPr="008935D4" w:rsidRDefault="001B5FE2" w:rsidP="00781025">
            <w:pPr>
              <w:pStyle w:val="Header"/>
              <w:spacing w:line="360" w:lineRule="auto"/>
              <w:ind w:left="96" w:right="72"/>
              <w:rPr>
                <w:rFonts w:ascii="Times New Roman" w:hAnsi="Times New Roman" w:cs="Times New Roman"/>
                <w:b/>
                <w:sz w:val="20"/>
                <w:szCs w:val="20"/>
              </w:rPr>
            </w:pPr>
            <w:r w:rsidRPr="008935D4">
              <w:rPr>
                <w:rFonts w:ascii="Times New Roman" w:hAnsi="Times New Roman" w:cs="Times New Roman"/>
                <w:b/>
                <w:sz w:val="20"/>
                <w:szCs w:val="20"/>
              </w:rPr>
              <w:t>SMQ or Preferred Term</w:t>
            </w:r>
          </w:p>
        </w:tc>
      </w:tr>
      <w:tr w:rsidR="001B5FE2" w:rsidRPr="008935D4" w:rsidTr="00781025">
        <w:trPr>
          <w:trHeight w:val="70"/>
        </w:trPr>
        <w:tc>
          <w:tcPr>
            <w:tcW w:w="2457" w:type="pct"/>
            <w:shd w:val="clear" w:color="auto" w:fill="auto"/>
          </w:tcPr>
          <w:p w:rsidR="001B5FE2" w:rsidRPr="008935D4" w:rsidRDefault="001B5FE2" w:rsidP="00781025">
            <w:pPr>
              <w:spacing w:line="360" w:lineRule="auto"/>
              <w:rPr>
                <w:rFonts w:ascii="Times New Roman" w:hAnsi="Times New Roman" w:cs="Times New Roman"/>
                <w:sz w:val="20"/>
                <w:szCs w:val="20"/>
              </w:rPr>
            </w:pPr>
          </w:p>
        </w:tc>
        <w:tc>
          <w:tcPr>
            <w:tcW w:w="1212" w:type="pct"/>
            <w:shd w:val="clear" w:color="auto" w:fill="auto"/>
          </w:tcPr>
          <w:p w:rsidR="001B5FE2" w:rsidRPr="008935D4" w:rsidRDefault="001B5FE2" w:rsidP="00781025">
            <w:pPr>
              <w:spacing w:line="360" w:lineRule="auto"/>
              <w:jc w:val="center"/>
              <w:rPr>
                <w:rFonts w:ascii="Times New Roman" w:hAnsi="Times New Roman" w:cs="Times New Roman"/>
                <w:sz w:val="20"/>
                <w:szCs w:val="20"/>
              </w:rPr>
            </w:pPr>
          </w:p>
        </w:tc>
        <w:tc>
          <w:tcPr>
            <w:tcW w:w="1330" w:type="pct"/>
            <w:shd w:val="clear" w:color="auto" w:fill="auto"/>
          </w:tcPr>
          <w:p w:rsidR="001B5FE2" w:rsidRPr="008935D4" w:rsidRDefault="001B5FE2" w:rsidP="00781025">
            <w:pPr>
              <w:spacing w:line="360" w:lineRule="auto"/>
              <w:jc w:val="center"/>
              <w:rPr>
                <w:rFonts w:ascii="Times New Roman" w:hAnsi="Times New Roman" w:cs="Times New Roman"/>
                <w:sz w:val="20"/>
                <w:szCs w:val="20"/>
              </w:rPr>
            </w:pP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 Syncope 16 hours after 50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Syncope/Syncope</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Cardiac arrhythmias</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E1078A" w:rsidRDefault="001B5FE2" w:rsidP="00781025">
            <w:pPr>
              <w:spacing w:line="360" w:lineRule="auto"/>
              <w:ind w:left="109" w:right="-79"/>
              <w:rPr>
                <w:rFonts w:ascii="Times New Roman" w:hAnsi="Times New Roman" w:cs="Times New Roman"/>
                <w:sz w:val="20"/>
                <w:szCs w:val="20"/>
              </w:rPr>
            </w:pPr>
            <w:r w:rsidRPr="00E1078A">
              <w:rPr>
                <w:rFonts w:ascii="Times New Roman" w:hAnsi="Times New Roman" w:cs="Times New Roman"/>
                <w:sz w:val="20"/>
                <w:szCs w:val="20"/>
              </w:rPr>
              <w:t>Torsade de pointes/QT prolongation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 Vasovagal syncope after 50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Vasovagal syncope/Syncope</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Cardiac arrhythmias</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Torsade de pointes/QT prolongation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 Edema of the lower leg after 100 mg lasmiditan with no history of or comorbid cardiac event and no concomitant CV medications; had history of ovarian cancer; no treatment was given for edema</w:t>
            </w:r>
          </w:p>
        </w:tc>
        <w:tc>
          <w:tcPr>
            <w:tcW w:w="1212" w:type="pct"/>
            <w:shd w:val="clear" w:color="auto" w:fill="auto"/>
          </w:tcPr>
          <w:p w:rsidR="001B5FE2" w:rsidRPr="008935D4" w:rsidRDefault="001B5FE2" w:rsidP="00781025">
            <w:pPr>
              <w:tabs>
                <w:tab w:val="left" w:pos="555"/>
              </w:tabs>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Tibilateral lower leg edema/Edema peripheral</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Cardiac failure</w:t>
            </w:r>
          </w:p>
          <w:p w:rsidR="001B5FE2" w:rsidRPr="008935D4" w:rsidRDefault="001B5FE2" w:rsidP="00781025">
            <w:pPr>
              <w:spacing w:line="360" w:lineRule="auto"/>
              <w:ind w:left="109" w:right="-79"/>
              <w:rPr>
                <w:rFonts w:ascii="Times New Roman" w:hAnsi="Times New Roman" w:cs="Times New Roman"/>
                <w:sz w:val="20"/>
                <w:szCs w:val="20"/>
              </w:rPr>
            </w:pP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 Peripheral swelling of right 4th toe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Right foot 4th toe swelling/Peripheral swelling</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Cardiac failure</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lastRenderedPageBreak/>
              <w:t>Case 5: Dyspnea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Shortness of breath/Dyspnea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Pulmonary HTN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6: Dyspnea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Shortness of breath/Dyspnea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Pulmonary HTN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7: Dyspnea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Shortness of breath/Dyspnea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Pulmonary HTN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8: Dyspnea after 200 mg lasmiditan with no history of or comorbid cardiac event and no concomitant CV medications; had history of panic disorder</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Shortness of breath/Dyspnea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Pulmonary HTN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9: Mental status change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Altered mental status/Mental status changes</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Cardiomyopathy</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10: Dysarthria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11: Dysarthria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Dysarthria/Dysarthria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12: Dysarthria after 200 mg lasmiditan with no history of or comorbid cardiac event and no concomitant CV medications; had history of GERD</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Dysarthria/Dysarthria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 xml:space="preserve">Case 13: Dysarthria after 200 mg lasmiditan with no history of or </w:t>
            </w:r>
            <w:r w:rsidRPr="008935D4">
              <w:rPr>
                <w:rFonts w:ascii="Times New Roman" w:hAnsi="Times New Roman" w:cs="Times New Roman"/>
                <w:sz w:val="20"/>
                <w:szCs w:val="20"/>
              </w:rPr>
              <w:lastRenderedPageBreak/>
              <w:t>comorbid cardiac event and no concomitant CV medications; had history of GERD</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lastRenderedPageBreak/>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lastRenderedPageBreak/>
              <w:t>Case 14: Dysarthria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15: Dysarthria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16: Dysarthria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Dysarthria/Dysarthria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17: Dysarthria after 200 mg lasmiditan with no history of or comorbid cardiac event and no concomitant CV medications; had concomitant paresthesia and dizziness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18: Dysarthria after 200 mg lasmiditan with no history of or comorbid cardiac event and no concomitant CV medications; had concomitant dizziness, fatigue, paresthesia, tremor, and headache</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Dysarthria/Dysarthria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19: Aphasia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Amnesic dysphasia/Aphasia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20: Dysarthria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Slurred speech/Dysarthria</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CNS vascular disorders</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 xml:space="preserve">Case 21: Abdominal pain after 100 mg lasmiditan with no history of or </w:t>
            </w:r>
            <w:r w:rsidRPr="008935D4">
              <w:rPr>
                <w:rFonts w:ascii="Times New Roman" w:hAnsi="Times New Roman" w:cs="Times New Roman"/>
                <w:sz w:val="20"/>
                <w:szCs w:val="20"/>
              </w:rPr>
              <w:lastRenderedPageBreak/>
              <w:t>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lastRenderedPageBreak/>
              <w:t>Abdominal cramping/Abdominal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lastRenderedPageBreak/>
              <w:t>Case 22: Abdominal pain after placebo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Upper abdominal cramping/Abdominal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23: Abdominal pain after placebo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24: Abdominal pain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25: Abdominal pain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pain/Abdominal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26: Abdominal pain after 100 mg lasmiditan with no history of or comorbid cardiac event and no concomitant CV medications; had concomitant vomiting; had history of GERD and IBS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cramps/Abdominal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27: Abdominal pain after 100 mg lasmiditan with no history of or comorbid cardiac event and no concomitant CV medications; responded to treatment with peptic ulcer medication</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28: Abdominal pain after 100 mg lasmiditan with no history of or comorbid cardiac event and no concomitant CV medications; responded to treatment with antacid medication</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 xml:space="preserve">Case 29: Abdominal pain after 50 mg lasmiditan with no history of or comorbid cardiac event and no concomitant CV medications; </w:t>
            </w:r>
            <w:r w:rsidRPr="008935D4">
              <w:rPr>
                <w:rFonts w:ascii="Times New Roman" w:hAnsi="Times New Roman" w:cs="Times New Roman"/>
                <w:sz w:val="20"/>
                <w:szCs w:val="20"/>
              </w:rPr>
              <w:lastRenderedPageBreak/>
              <w:t>had history of GERD</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lastRenderedPageBreak/>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lastRenderedPageBreak/>
              <w:t>Case 30: Abdominal pain after 50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pain/Abdominal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31: Abdominal pain after 200 mg lasmiditan with no history of or comorbid cardiac event and no concomitant CV medications; had history of constipation and UC</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32: Abdominal pain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cramping/Abdominal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33: Abdominal pain after 50 mg lasmiditan with no history of or comorbid cardiac event and no concomitant CV medications; had concurrent ovarian cyst rupture</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pain/Abdominal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34: Abdominal pain after 50 mg lasmiditan with no history of or comorbid cardiac event and no concomitant CV medications; had concurrent UTI</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Right lower quadrant abdominal pain/Abdominal pain lower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35: Abdominal pain after 200 mg lasmiditan with no history of or comorbid cardiac event and no concomitant CV medications; had history of gastric ulcer and concurrent metrorrhagia</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36: Abdominal pain after 100 mg lasmiditan with no history of or comorbid cardiac event and no concomitant CV medications; had history of multiple GI and gynecological conditions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cramps/Abdominal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lastRenderedPageBreak/>
              <w:t>Case 37: Abdominal pain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38: Abdominal pain after 50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39: Abdominal pain after 50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40: Abdominal pain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pain/Abdominal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41: Abdominal pain after 50 mg lasmiditan with no history of or comorbid cardiac event and no concomitant CV medications; had history of asthma and concurrent anxiety</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pain/Abdominal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42: Abdominal pain after 100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Abdominal pain/Abdominal pain</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43: Abdominal pain after 200 mg lasmiditan with no history of or comorbid cardiac event and no concomitant CV medications</w:t>
            </w:r>
          </w:p>
        </w:tc>
        <w:tc>
          <w:tcPr>
            <w:tcW w:w="1212" w:type="pct"/>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ache/Abdominal pain upper</w:t>
            </w:r>
          </w:p>
        </w:tc>
        <w:tc>
          <w:tcPr>
            <w:tcW w:w="1330" w:type="pct"/>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r w:rsidR="001B5FE2" w:rsidRPr="008935D4" w:rsidTr="00781025">
        <w:tc>
          <w:tcPr>
            <w:tcW w:w="2457" w:type="pct"/>
            <w:tcBorders>
              <w:bottom w:val="single" w:sz="4" w:space="0" w:color="auto"/>
            </w:tcBorders>
            <w:shd w:val="clear" w:color="auto" w:fill="auto"/>
          </w:tcPr>
          <w:p w:rsidR="001B5FE2" w:rsidRPr="008935D4" w:rsidRDefault="001B5FE2" w:rsidP="00781025">
            <w:pPr>
              <w:spacing w:line="360" w:lineRule="auto"/>
              <w:ind w:left="787" w:right="318" w:hanging="697"/>
              <w:rPr>
                <w:rFonts w:ascii="Times New Roman" w:hAnsi="Times New Roman" w:cs="Times New Roman"/>
                <w:sz w:val="20"/>
                <w:szCs w:val="20"/>
              </w:rPr>
            </w:pPr>
            <w:r w:rsidRPr="008935D4">
              <w:rPr>
                <w:rFonts w:ascii="Times New Roman" w:hAnsi="Times New Roman" w:cs="Times New Roman"/>
                <w:sz w:val="20"/>
                <w:szCs w:val="20"/>
              </w:rPr>
              <w:t>Case 44: Abdominal pain after 200 mg lasmiditan with no history of or comorbid cardiac event and no concomitant CV medications; had concurrent diarrhea</w:t>
            </w:r>
          </w:p>
        </w:tc>
        <w:tc>
          <w:tcPr>
            <w:tcW w:w="1212" w:type="pct"/>
            <w:tcBorders>
              <w:bottom w:val="single" w:sz="4" w:space="0" w:color="auto"/>
            </w:tcBorders>
            <w:shd w:val="clear" w:color="auto" w:fill="auto"/>
          </w:tcPr>
          <w:p w:rsidR="001B5FE2" w:rsidRPr="008935D4" w:rsidRDefault="001B5FE2" w:rsidP="00781025">
            <w:pPr>
              <w:spacing w:line="360" w:lineRule="auto"/>
              <w:ind w:left="-17" w:right="-79"/>
              <w:rPr>
                <w:rFonts w:ascii="Times New Roman" w:hAnsi="Times New Roman" w:cs="Times New Roman"/>
                <w:sz w:val="20"/>
                <w:szCs w:val="20"/>
              </w:rPr>
            </w:pPr>
            <w:r w:rsidRPr="008935D4">
              <w:rPr>
                <w:rFonts w:ascii="Times New Roman" w:hAnsi="Times New Roman" w:cs="Times New Roman"/>
                <w:sz w:val="20"/>
                <w:szCs w:val="20"/>
              </w:rPr>
              <w:t>Stomach cramping/Abdominal pain upper</w:t>
            </w:r>
          </w:p>
        </w:tc>
        <w:tc>
          <w:tcPr>
            <w:tcW w:w="1330" w:type="pct"/>
            <w:tcBorders>
              <w:bottom w:val="single" w:sz="4" w:space="0" w:color="auto"/>
            </w:tcBorders>
            <w:shd w:val="clear" w:color="auto" w:fill="auto"/>
          </w:tcPr>
          <w:p w:rsidR="001B5FE2" w:rsidRPr="008935D4" w:rsidRDefault="001B5FE2" w:rsidP="00781025">
            <w:pPr>
              <w:spacing w:line="360" w:lineRule="auto"/>
              <w:ind w:left="109" w:right="-79"/>
              <w:rPr>
                <w:rFonts w:ascii="Times New Roman" w:hAnsi="Times New Roman" w:cs="Times New Roman"/>
                <w:sz w:val="20"/>
                <w:szCs w:val="20"/>
              </w:rPr>
            </w:pPr>
            <w:r w:rsidRPr="008935D4">
              <w:rPr>
                <w:rFonts w:ascii="Times New Roman" w:hAnsi="Times New Roman" w:cs="Times New Roman"/>
                <w:sz w:val="20"/>
                <w:szCs w:val="20"/>
              </w:rPr>
              <w:t>Any abdominal pain</w:t>
            </w:r>
          </w:p>
        </w:tc>
      </w:tr>
    </w:tbl>
    <w:p w:rsidR="001B5FE2" w:rsidRPr="008935D4" w:rsidRDefault="001B5FE2" w:rsidP="001B5FE2">
      <w:pPr>
        <w:pStyle w:val="TableFootnote"/>
        <w:spacing w:line="480" w:lineRule="auto"/>
        <w:ind w:left="0" w:firstLine="0"/>
        <w:rPr>
          <w:sz w:val="18"/>
        </w:rPr>
      </w:pPr>
      <w:r w:rsidRPr="008935D4">
        <w:rPr>
          <w:i/>
          <w:iCs/>
          <w:sz w:val="18"/>
        </w:rPr>
        <w:t>AE</w:t>
      </w:r>
      <w:r w:rsidRPr="008935D4">
        <w:rPr>
          <w:sz w:val="18"/>
        </w:rPr>
        <w:t xml:space="preserve"> adverse event, </w:t>
      </w:r>
      <w:r w:rsidRPr="008935D4">
        <w:rPr>
          <w:i/>
          <w:iCs/>
          <w:sz w:val="18"/>
        </w:rPr>
        <w:t>CNS</w:t>
      </w:r>
      <w:r w:rsidRPr="008935D4">
        <w:rPr>
          <w:sz w:val="18"/>
        </w:rPr>
        <w:t xml:space="preserve"> central nervous system, </w:t>
      </w:r>
      <w:r w:rsidRPr="008935D4">
        <w:rPr>
          <w:i/>
          <w:iCs/>
          <w:sz w:val="18"/>
        </w:rPr>
        <w:t>CV </w:t>
      </w:r>
      <w:r w:rsidRPr="008935D4">
        <w:rPr>
          <w:sz w:val="18"/>
        </w:rPr>
        <w:t xml:space="preserve">cardiovascular, </w:t>
      </w:r>
      <w:r w:rsidRPr="008935D4">
        <w:rPr>
          <w:i/>
          <w:iCs/>
          <w:sz w:val="18"/>
        </w:rPr>
        <w:t>GERD</w:t>
      </w:r>
      <w:r w:rsidRPr="008935D4">
        <w:rPr>
          <w:sz w:val="18"/>
        </w:rPr>
        <w:t xml:space="preserve"> gastroesophageal reflux disease, </w:t>
      </w:r>
      <w:r w:rsidRPr="008935D4">
        <w:rPr>
          <w:i/>
          <w:iCs/>
          <w:sz w:val="18"/>
        </w:rPr>
        <w:t>GI </w:t>
      </w:r>
      <w:r w:rsidRPr="008935D4">
        <w:rPr>
          <w:sz w:val="18"/>
        </w:rPr>
        <w:t xml:space="preserve">gastrointestinal, </w:t>
      </w:r>
      <w:r w:rsidRPr="008935D4">
        <w:rPr>
          <w:i/>
          <w:iCs/>
          <w:sz w:val="18"/>
        </w:rPr>
        <w:t>IBS</w:t>
      </w:r>
      <w:r w:rsidRPr="008935D4">
        <w:rPr>
          <w:sz w:val="18"/>
        </w:rPr>
        <w:t xml:space="preserve"> irritable bowel syndrome, </w:t>
      </w:r>
      <w:r w:rsidRPr="008935D4">
        <w:rPr>
          <w:i/>
          <w:iCs/>
          <w:sz w:val="18"/>
        </w:rPr>
        <w:t>LTN</w:t>
      </w:r>
      <w:r w:rsidRPr="008935D4">
        <w:rPr>
          <w:sz w:val="18"/>
        </w:rPr>
        <w:t xml:space="preserve"> lasmiditan, </w:t>
      </w:r>
      <w:r w:rsidRPr="008935D4">
        <w:rPr>
          <w:i/>
          <w:iCs/>
          <w:sz w:val="18"/>
        </w:rPr>
        <w:t>MedDRA </w:t>
      </w:r>
      <w:r w:rsidRPr="008935D4">
        <w:rPr>
          <w:sz w:val="18"/>
        </w:rPr>
        <w:t xml:space="preserve">Medical Dictionary for Drug Regulatory Activities, </w:t>
      </w:r>
      <w:r w:rsidRPr="008935D4">
        <w:rPr>
          <w:i/>
          <w:iCs/>
          <w:sz w:val="18"/>
        </w:rPr>
        <w:t>PT </w:t>
      </w:r>
      <w:r w:rsidRPr="008935D4">
        <w:rPr>
          <w:sz w:val="18"/>
        </w:rPr>
        <w:t xml:space="preserve">Preferred Term, </w:t>
      </w:r>
      <w:r w:rsidRPr="008935D4">
        <w:rPr>
          <w:i/>
          <w:iCs/>
          <w:sz w:val="18"/>
        </w:rPr>
        <w:t>SMQ</w:t>
      </w:r>
      <w:r w:rsidRPr="008935D4">
        <w:rPr>
          <w:sz w:val="18"/>
        </w:rPr>
        <w:t xml:space="preserve"> Standardized MedDRA Query, </w:t>
      </w:r>
      <w:r w:rsidRPr="008935D4">
        <w:rPr>
          <w:i/>
          <w:iCs/>
          <w:sz w:val="18"/>
        </w:rPr>
        <w:t>UC</w:t>
      </w:r>
      <w:r w:rsidRPr="008935D4">
        <w:rPr>
          <w:sz w:val="18"/>
        </w:rPr>
        <w:t xml:space="preserve"> ulcerative colitis, </w:t>
      </w:r>
      <w:r w:rsidRPr="008935D4">
        <w:rPr>
          <w:i/>
          <w:iCs/>
          <w:sz w:val="18"/>
        </w:rPr>
        <w:t>UTI</w:t>
      </w:r>
      <w:r w:rsidRPr="008935D4">
        <w:rPr>
          <w:sz w:val="18"/>
        </w:rPr>
        <w:t> urinary tract infection.</w:t>
      </w:r>
    </w:p>
    <w:p w:rsidR="001B5FE2" w:rsidRPr="008935D4" w:rsidRDefault="001B5FE2" w:rsidP="001B5FE2">
      <w:pPr>
        <w:pStyle w:val="TableFootnote"/>
        <w:spacing w:line="480" w:lineRule="auto"/>
        <w:ind w:left="0" w:firstLine="0"/>
        <w:rPr>
          <w:sz w:val="18"/>
        </w:rPr>
      </w:pPr>
      <w:r w:rsidRPr="008935D4">
        <w:rPr>
          <w:sz w:val="18"/>
        </w:rPr>
        <w:lastRenderedPageBreak/>
        <w:t>Note: Potential CV AEs are based on broad and narrow terms in the SMQs Cardiac arrhythmias, Cardiac failure, Cardiomyopathy, CNS vascular disorders, Embolic and thrombotic events, Hypertension, Ischemic heart disease, Pulmonary hypertension, and Torsade de pointes/QT prolongation and the PTs abdominal pain, abdominal pain upper, and abdominal pain lower.</w:t>
      </w:r>
    </w:p>
    <w:p w:rsidR="001B5FE2" w:rsidRPr="008935D4" w:rsidRDefault="001B5FE2" w:rsidP="001B5FE2">
      <w:pPr>
        <w:pStyle w:val="TableFootnote"/>
        <w:spacing w:line="480" w:lineRule="auto"/>
        <w:rPr>
          <w:sz w:val="18"/>
        </w:rPr>
      </w:pPr>
      <w:r w:rsidRPr="008935D4">
        <w:rPr>
          <w:sz w:val="18"/>
        </w:rPr>
        <w:t>Note: Any abdominal pain (PT) consists of the PTs abdominal pain, abdominal pain upper, and abdominal pain lower.</w:t>
      </w:r>
    </w:p>
    <w:p w:rsidR="001B5FE2" w:rsidRPr="008935D4" w:rsidRDefault="001B5FE2" w:rsidP="001B5FE2">
      <w:pPr>
        <w:pStyle w:val="TableFootnote"/>
        <w:spacing w:line="480" w:lineRule="auto"/>
      </w:pPr>
      <w:r w:rsidRPr="008935D4">
        <w:rPr>
          <w:sz w:val="18"/>
        </w:rPr>
        <w:t>MedDRA version 21.0.</w:t>
      </w:r>
    </w:p>
    <w:p w:rsidR="001B5FE2" w:rsidRPr="008935D4" w:rsidRDefault="001B5FE2" w:rsidP="001B5FE2">
      <w:pPr>
        <w:pStyle w:val="Caption"/>
        <w:spacing w:line="480" w:lineRule="auto"/>
        <w:rPr>
          <w:rFonts w:ascii="Times New Roman" w:hAnsi="Times New Roman" w:cs="Times New Roman"/>
          <w:b/>
          <w:i w:val="0"/>
          <w:color w:val="auto"/>
          <w:sz w:val="24"/>
          <w:szCs w:val="24"/>
        </w:rPr>
        <w:sectPr w:rsidR="001B5FE2" w:rsidRPr="008935D4" w:rsidSect="00484108">
          <w:type w:val="continuous"/>
          <w:pgSz w:w="15840" w:h="12240" w:orient="landscape"/>
          <w:pgMar w:top="1440" w:right="1440" w:bottom="1440" w:left="1440" w:header="720" w:footer="720" w:gutter="0"/>
          <w:cols w:space="720"/>
          <w:docGrid w:linePitch="360"/>
        </w:sectPr>
      </w:pPr>
    </w:p>
    <w:p w:rsidR="001B5FE2" w:rsidRPr="008935D4" w:rsidRDefault="001B5FE2" w:rsidP="001B5FE2">
      <w:pPr>
        <w:pStyle w:val="Caption"/>
        <w:spacing w:line="480" w:lineRule="auto"/>
        <w:rPr>
          <w:rFonts w:ascii="Times New Roman" w:hAnsi="Times New Roman" w:cs="Times New Roman"/>
          <w:b/>
          <w:i w:val="0"/>
          <w:color w:val="auto"/>
          <w:sz w:val="24"/>
          <w:szCs w:val="24"/>
        </w:rPr>
      </w:pPr>
      <w:bookmarkStart w:id="2" w:name="SuppTable2"/>
      <w:r w:rsidRPr="008935D4">
        <w:rPr>
          <w:rFonts w:ascii="Times New Roman" w:hAnsi="Times New Roman" w:cs="Times New Roman"/>
          <w:b/>
          <w:i w:val="0"/>
          <w:color w:val="auto"/>
          <w:sz w:val="24"/>
          <w:szCs w:val="24"/>
        </w:rPr>
        <w:lastRenderedPageBreak/>
        <w:t>Supplemental Table 2</w:t>
      </w:r>
      <w:bookmarkEnd w:id="2"/>
      <w:r w:rsidRPr="008935D4">
        <w:rPr>
          <w:rFonts w:ascii="Times New Roman" w:hAnsi="Times New Roman" w:cs="Times New Roman"/>
          <w:b/>
          <w:i w:val="0"/>
          <w:color w:val="auto"/>
          <w:sz w:val="24"/>
          <w:szCs w:val="24"/>
        </w:rPr>
        <w:t xml:space="preserve"> </w:t>
      </w:r>
      <w:r w:rsidRPr="008935D4">
        <w:rPr>
          <w:rFonts w:ascii="Times New Roman" w:hAnsi="Times New Roman" w:cs="Times New Roman"/>
          <w:bCs/>
          <w:i w:val="0"/>
          <w:color w:val="auto"/>
          <w:sz w:val="24"/>
          <w:szCs w:val="24"/>
        </w:rPr>
        <w:t>Summary and analysis of potential cardiovascular adverse events within Standardized MedDRA Queries/Preferred Terms</w:t>
      </w:r>
    </w:p>
    <w:tbl>
      <w:tblPr>
        <w:tblW w:w="5000" w:type="pct"/>
        <w:tblLook w:val="04A0" w:firstRow="1" w:lastRow="0" w:firstColumn="1" w:lastColumn="0" w:noHBand="0" w:noVBand="1"/>
      </w:tblPr>
      <w:tblGrid>
        <w:gridCol w:w="5033"/>
        <w:gridCol w:w="1874"/>
        <w:gridCol w:w="1874"/>
        <w:gridCol w:w="1465"/>
        <w:gridCol w:w="1465"/>
        <w:gridCol w:w="1465"/>
      </w:tblGrid>
      <w:tr w:rsidR="001B5FE2" w:rsidRPr="008935D4" w:rsidTr="00781025">
        <w:trPr>
          <w:trHeight w:val="693"/>
          <w:tblHeader/>
        </w:trPr>
        <w:tc>
          <w:tcPr>
            <w:tcW w:w="1910" w:type="pct"/>
            <w:vMerge w:val="restart"/>
            <w:tcBorders>
              <w:top w:val="single" w:sz="4" w:space="0" w:color="auto"/>
            </w:tcBorders>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r w:rsidRPr="008935D4">
              <w:rPr>
                <w:rFonts w:ascii="Times New Roman" w:hAnsi="Times New Roman" w:cs="Times New Roman"/>
                <w:b/>
                <w:sz w:val="20"/>
                <w:szCs w:val="20"/>
              </w:rPr>
              <w:t>Standardized MedDRA Query</w:t>
            </w:r>
          </w:p>
          <w:p w:rsidR="001B5FE2" w:rsidRPr="008935D4" w:rsidRDefault="001B5FE2" w:rsidP="00781025">
            <w:pPr>
              <w:pStyle w:val="Header"/>
              <w:spacing w:line="480" w:lineRule="auto"/>
              <w:ind w:left="346"/>
              <w:rPr>
                <w:rFonts w:ascii="Times New Roman" w:hAnsi="Times New Roman" w:cs="Times New Roman"/>
                <w:b/>
                <w:sz w:val="20"/>
                <w:szCs w:val="20"/>
              </w:rPr>
            </w:pPr>
            <w:r w:rsidRPr="008935D4">
              <w:rPr>
                <w:rFonts w:ascii="Times New Roman" w:hAnsi="Times New Roman" w:cs="Times New Roman"/>
                <w:b/>
                <w:sz w:val="20"/>
                <w:szCs w:val="20"/>
              </w:rPr>
              <w:t>Preferred Term</w:t>
            </w:r>
          </w:p>
        </w:tc>
        <w:tc>
          <w:tcPr>
            <w:tcW w:w="711" w:type="pct"/>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Placebo</w:t>
            </w:r>
          </w:p>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1,262)</w:t>
            </w:r>
          </w:p>
        </w:tc>
        <w:tc>
          <w:tcPr>
            <w:tcW w:w="711" w:type="pct"/>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All LTN</w:t>
            </w:r>
          </w:p>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3,177)</w:t>
            </w:r>
          </w:p>
        </w:tc>
        <w:tc>
          <w:tcPr>
            <w:tcW w:w="1668" w:type="pct"/>
            <w:gridSpan w:val="3"/>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Comparison between all LTN vs. placebo</w:t>
            </w:r>
          </w:p>
        </w:tc>
      </w:tr>
      <w:tr w:rsidR="001B5FE2" w:rsidRPr="008935D4" w:rsidTr="00781025">
        <w:trPr>
          <w:tblHeader/>
        </w:trPr>
        <w:tc>
          <w:tcPr>
            <w:tcW w:w="1910" w:type="pct"/>
            <w:vMerge/>
            <w:tcBorders>
              <w:bottom w:val="single" w:sz="4" w:space="0" w:color="auto"/>
            </w:tcBorders>
            <w:shd w:val="clear" w:color="auto" w:fill="auto"/>
            <w:vAlign w:val="center"/>
          </w:tcPr>
          <w:p w:rsidR="001B5FE2" w:rsidRPr="008935D4" w:rsidRDefault="001B5FE2" w:rsidP="00781025">
            <w:pPr>
              <w:pStyle w:val="Header"/>
              <w:spacing w:line="480" w:lineRule="auto"/>
              <w:ind w:left="342"/>
              <w:rPr>
                <w:rFonts w:ascii="Times New Roman" w:hAnsi="Times New Roman" w:cs="Times New Roman"/>
                <w:b/>
                <w:sz w:val="20"/>
                <w:szCs w:val="20"/>
              </w:rPr>
            </w:pPr>
          </w:p>
        </w:tc>
        <w:tc>
          <w:tcPr>
            <w:tcW w:w="711" w:type="pct"/>
            <w:tcBorders>
              <w:bottom w:val="single" w:sz="4" w:space="0" w:color="auto"/>
            </w:tcBorders>
            <w:shd w:val="clear" w:color="auto" w:fill="auto"/>
            <w:vAlign w:val="center"/>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 [adj %]</w:t>
            </w:r>
          </w:p>
        </w:tc>
        <w:tc>
          <w:tcPr>
            <w:tcW w:w="711"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 [adj %]</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OR</w:t>
            </w:r>
            <w:r w:rsidRPr="008935D4">
              <w:rPr>
                <w:rFonts w:ascii="Times New Roman" w:hAnsi="Times New Roman" w:cs="Times New Roman"/>
                <w:b/>
                <w:szCs w:val="20"/>
                <w:vertAlign w:val="superscript"/>
              </w:rPr>
              <w:t>a</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95% CI</w:t>
            </w:r>
            <w:r w:rsidRPr="008935D4">
              <w:rPr>
                <w:rFonts w:ascii="Times New Roman" w:hAnsi="Times New Roman" w:cs="Times New Roman"/>
                <w:b/>
                <w:szCs w:val="20"/>
                <w:vertAlign w:val="superscript"/>
              </w:rPr>
              <w:t>a</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p</w:t>
            </w:r>
            <w:r w:rsidRPr="008935D4">
              <w:rPr>
                <w:rFonts w:ascii="Times New Roman" w:hAnsi="Times New Roman" w:cs="Times New Roman"/>
                <w:b/>
                <w:sz w:val="20"/>
                <w:szCs w:val="20"/>
              </w:rPr>
              <w:t xml:space="preserve"> value</w:t>
            </w:r>
            <w:r w:rsidRPr="008935D4">
              <w:rPr>
                <w:rFonts w:ascii="Times New Roman" w:hAnsi="Times New Roman" w:cs="Times New Roman"/>
                <w:b/>
                <w:szCs w:val="20"/>
                <w:vertAlign w:val="superscript"/>
              </w:rPr>
              <w:t>b</w:t>
            </w:r>
          </w:p>
        </w:tc>
      </w:tr>
      <w:tr w:rsidR="001B5FE2" w:rsidRPr="008935D4" w:rsidTr="00781025">
        <w:tc>
          <w:tcPr>
            <w:tcW w:w="1910" w:type="pct"/>
            <w:shd w:val="clear" w:color="auto" w:fill="auto"/>
          </w:tcPr>
          <w:p w:rsidR="001B5FE2" w:rsidRPr="008935D4" w:rsidRDefault="001B5FE2" w:rsidP="00781025">
            <w:pPr>
              <w:spacing w:line="480" w:lineRule="auto"/>
              <w:ind w:left="-18"/>
              <w:rPr>
                <w:rFonts w:ascii="Times New Roman" w:hAnsi="Times New Roman" w:cs="Times New Roman"/>
                <w:sz w:val="20"/>
                <w:szCs w:val="20"/>
              </w:rPr>
            </w:pPr>
            <w:r w:rsidRPr="008935D4">
              <w:rPr>
                <w:rFonts w:ascii="Times New Roman" w:hAnsi="Times New Roman" w:cs="Times New Roman"/>
                <w:sz w:val="20"/>
                <w:szCs w:val="20"/>
              </w:rPr>
              <w:t>Patients with at least 1 potential CV AE</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18 (1.4) [1.4]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97 (3.1) [3.1]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2.21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(1.33, 3.68)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0.002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arrhythmias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8 (0.6) [0.6]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40 (1.3) [1.3]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1.98</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(0.92, 4.25)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0.08</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failure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 (0.1) [0.1]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3 (0.1) [0.1]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1.25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0.86</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Cardiomyopathy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 (0.2) [0.2]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25 (0.8) [0.8]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5.08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(1.20, 21.50)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0.01</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CNS vascular disorders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 (0.0) [0.0]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11 (0.3) [0.3]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0.03</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Embolic and thrombotic events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 (0.0) [0.0]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 (0.0) [0.0]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0.56</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lastRenderedPageBreak/>
              <w:t>Hypertension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3 (0.2) [0.3]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13 (0.4) [0.4]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1.67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(0.48, 5.73)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0.40</w:t>
            </w:r>
            <w:r w:rsidRPr="008935D4">
              <w:rPr>
                <w:rFonts w:ascii="Times New Roman" w:hAnsi="Times New Roman" w:cs="Times New Roman"/>
                <w:szCs w:val="20"/>
                <w:vertAlign w:val="superscript"/>
              </w:rPr>
              <w:t>c</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Ischemic heart disease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 (0.0) [0.0]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 (0.1) [0.1]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0.32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Pulmonary hypertension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1 (0.1) [0.1]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5 (0.2) [0.2]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2.37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(0.27, 20.62)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0.42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lang w:val="fr-FR"/>
              </w:rPr>
            </w:pPr>
            <w:r w:rsidRPr="008935D4">
              <w:rPr>
                <w:rFonts w:ascii="Times New Roman" w:hAnsi="Times New Roman" w:cs="Times New Roman"/>
                <w:sz w:val="20"/>
                <w:szCs w:val="20"/>
                <w:lang w:val="fr-FR"/>
              </w:rPr>
              <w:t>Torsade de pointes/QT prolongation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 (0.0) [0.0] </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6 (0.2) [0.2] </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0.14</w:t>
            </w:r>
          </w:p>
        </w:tc>
      </w:tr>
      <w:tr w:rsidR="001B5FE2" w:rsidRPr="008935D4" w:rsidTr="00781025">
        <w:tc>
          <w:tcPr>
            <w:tcW w:w="1910" w:type="pct"/>
            <w:tcBorders>
              <w:bottom w:val="single" w:sz="4" w:space="0" w:color="auto"/>
            </w:tcBorders>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Any abdominal pain (PT)</w:t>
            </w:r>
          </w:p>
        </w:tc>
        <w:tc>
          <w:tcPr>
            <w:tcW w:w="711"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4 (0.3) [0.3] </w:t>
            </w:r>
          </w:p>
        </w:tc>
        <w:tc>
          <w:tcPr>
            <w:tcW w:w="711"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22 (0.7) [0.7] </w:t>
            </w: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2.28 </w:t>
            </w: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 xml:space="preserve">(0.76, 6.81) </w:t>
            </w: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0.14</w:t>
            </w:r>
            <w:r w:rsidRPr="008935D4">
              <w:rPr>
                <w:rFonts w:ascii="Times New Roman" w:hAnsi="Times New Roman" w:cs="Times New Roman"/>
                <w:szCs w:val="20"/>
                <w:vertAlign w:val="superscript"/>
              </w:rPr>
              <w:t>c</w:t>
            </w:r>
          </w:p>
        </w:tc>
      </w:tr>
    </w:tbl>
    <w:p w:rsidR="001B5FE2" w:rsidRPr="008935D4" w:rsidRDefault="001B5FE2" w:rsidP="001B5FE2">
      <w:pPr>
        <w:pStyle w:val="TableFootnote"/>
        <w:spacing w:line="480" w:lineRule="auto"/>
      </w:pPr>
      <w:r w:rsidRPr="008935D4">
        <w:rPr>
          <w:sz w:val="22"/>
          <w:vertAlign w:val="superscript"/>
        </w:rPr>
        <w:t>a</w:t>
      </w:r>
      <w:r w:rsidRPr="008935D4">
        <w:rPr>
          <w:sz w:val="18"/>
        </w:rPr>
        <w:t>Mantel-Haenszel OR stratified by study and 95% CI (CI calculated if ≥</w:t>
      </w:r>
      <w:r w:rsidRPr="008935D4">
        <w:t> </w:t>
      </w:r>
      <w:r w:rsidRPr="008935D4">
        <w:rPr>
          <w:sz w:val="18"/>
        </w:rPr>
        <w:t>4 events in numerator and ≥</w:t>
      </w:r>
      <w:r w:rsidRPr="008935D4">
        <w:t> </w:t>
      </w:r>
      <w:r w:rsidRPr="008935D4">
        <w:rPr>
          <w:sz w:val="18"/>
        </w:rPr>
        <w:t>1 event in denominator).</w:t>
      </w:r>
    </w:p>
    <w:p w:rsidR="001B5FE2" w:rsidRPr="008935D4" w:rsidRDefault="001B5FE2" w:rsidP="001B5FE2">
      <w:pPr>
        <w:pStyle w:val="TableFootnote"/>
        <w:spacing w:line="480" w:lineRule="auto"/>
        <w:rPr>
          <w:sz w:val="18"/>
        </w:rPr>
      </w:pPr>
      <w:r w:rsidRPr="008935D4">
        <w:rPr>
          <w:sz w:val="22"/>
          <w:vertAlign w:val="superscript"/>
        </w:rPr>
        <w:t>b</w:t>
      </w:r>
      <w:r w:rsidRPr="008935D4">
        <w:rPr>
          <w:i/>
          <w:sz w:val="18"/>
        </w:rPr>
        <w:t>p</w:t>
      </w:r>
      <w:r w:rsidRPr="008935D4">
        <w:rPr>
          <w:sz w:val="18"/>
        </w:rPr>
        <w:t xml:space="preserve"> values are from Cochran-Mantel-Haenszel test of general association stratified by study. Bold indicates a </w:t>
      </w:r>
      <w:r w:rsidRPr="008935D4">
        <w:rPr>
          <w:i/>
          <w:sz w:val="18"/>
        </w:rPr>
        <w:t>p</w:t>
      </w:r>
      <w:r w:rsidRPr="008935D4">
        <w:rPr>
          <w:sz w:val="18"/>
        </w:rPr>
        <w:t xml:space="preserve"> value &lt;</w:t>
      </w:r>
      <w:r w:rsidRPr="008935D4">
        <w:t> </w:t>
      </w:r>
      <w:r w:rsidRPr="008935D4">
        <w:rPr>
          <w:sz w:val="18"/>
        </w:rPr>
        <w:t>0.05.</w:t>
      </w:r>
    </w:p>
    <w:p w:rsidR="001B5FE2" w:rsidRPr="008935D4" w:rsidRDefault="001B5FE2" w:rsidP="001B5FE2">
      <w:pPr>
        <w:pStyle w:val="TableFootnote"/>
        <w:spacing w:line="480" w:lineRule="auto"/>
        <w:rPr>
          <w:sz w:val="18"/>
        </w:rPr>
      </w:pPr>
      <w:r w:rsidRPr="008935D4">
        <w:rPr>
          <w:sz w:val="22"/>
          <w:vertAlign w:val="superscript"/>
        </w:rPr>
        <w:t>c</w:t>
      </w:r>
      <w:r w:rsidRPr="008935D4">
        <w:rPr>
          <w:i/>
          <w:sz w:val="18"/>
        </w:rPr>
        <w:t>p</w:t>
      </w:r>
      <w:r w:rsidRPr="008935D4">
        <w:rPr>
          <w:sz w:val="18"/>
        </w:rPr>
        <w:t xml:space="preserve"> value &lt;</w:t>
      </w:r>
      <w:r w:rsidRPr="008935D4">
        <w:t> </w:t>
      </w:r>
      <w:r w:rsidRPr="008935D4">
        <w:rPr>
          <w:sz w:val="18"/>
        </w:rPr>
        <w:t>0.1 for heterogeneity test of ORs across studies (assessed using the Breslow Day test).</w:t>
      </w:r>
    </w:p>
    <w:p w:rsidR="001B5FE2" w:rsidRPr="008935D4" w:rsidRDefault="001B5FE2" w:rsidP="001B5FE2">
      <w:pPr>
        <w:pStyle w:val="TableFootnote"/>
        <w:spacing w:line="480" w:lineRule="auto"/>
        <w:ind w:left="0" w:firstLine="0"/>
        <w:rPr>
          <w:sz w:val="18"/>
        </w:rPr>
      </w:pPr>
      <w:r w:rsidRPr="008935D4">
        <w:rPr>
          <w:i/>
          <w:iCs/>
          <w:sz w:val="18"/>
        </w:rPr>
        <w:t>adj %</w:t>
      </w:r>
      <w:r w:rsidRPr="008935D4">
        <w:rPr>
          <w:sz w:val="18"/>
        </w:rPr>
        <w:t xml:space="preserve"> study size adjusted percentage, </w:t>
      </w:r>
      <w:r w:rsidRPr="008935D4">
        <w:rPr>
          <w:i/>
          <w:iCs/>
          <w:sz w:val="18"/>
          <w:szCs w:val="18"/>
        </w:rPr>
        <w:t>AE</w:t>
      </w:r>
      <w:r w:rsidRPr="008935D4">
        <w:rPr>
          <w:sz w:val="18"/>
          <w:szCs w:val="18"/>
        </w:rPr>
        <w:t> adverse event,</w:t>
      </w:r>
      <w:r w:rsidRPr="008935D4">
        <w:rPr>
          <w:sz w:val="18"/>
        </w:rPr>
        <w:t xml:space="preserve"> </w:t>
      </w:r>
      <w:r w:rsidRPr="008935D4">
        <w:rPr>
          <w:i/>
          <w:iCs/>
          <w:sz w:val="18"/>
        </w:rPr>
        <w:t>CI</w:t>
      </w:r>
      <w:r w:rsidRPr="008935D4">
        <w:rPr>
          <w:sz w:val="18"/>
        </w:rPr>
        <w:t> confidence interval,</w:t>
      </w:r>
      <w:r w:rsidRPr="008935D4">
        <w:rPr>
          <w:sz w:val="18"/>
          <w:szCs w:val="18"/>
        </w:rPr>
        <w:t xml:space="preserve"> </w:t>
      </w:r>
      <w:r w:rsidRPr="008935D4">
        <w:rPr>
          <w:i/>
          <w:iCs/>
          <w:sz w:val="18"/>
        </w:rPr>
        <w:t>CNS</w:t>
      </w:r>
      <w:r w:rsidRPr="008935D4">
        <w:rPr>
          <w:sz w:val="18"/>
        </w:rPr>
        <w:t xml:space="preserve"> central nervous system, </w:t>
      </w:r>
      <w:r w:rsidRPr="008935D4">
        <w:rPr>
          <w:i/>
          <w:iCs/>
          <w:sz w:val="18"/>
        </w:rPr>
        <w:t>CV</w:t>
      </w:r>
      <w:r w:rsidRPr="008935D4">
        <w:rPr>
          <w:sz w:val="18"/>
        </w:rPr>
        <w:t xml:space="preserve"> cardiovascular, </w:t>
      </w:r>
      <w:r w:rsidRPr="008935D4">
        <w:rPr>
          <w:i/>
          <w:iCs/>
          <w:sz w:val="18"/>
        </w:rPr>
        <w:t>LTN</w:t>
      </w:r>
      <w:r w:rsidRPr="008935D4">
        <w:rPr>
          <w:sz w:val="18"/>
        </w:rPr>
        <w:t xml:space="preserve"> lasmiditan, </w:t>
      </w:r>
      <w:r w:rsidRPr="008935D4">
        <w:rPr>
          <w:i/>
          <w:iCs/>
          <w:sz w:val="18"/>
        </w:rPr>
        <w:t>MedDRA</w:t>
      </w:r>
      <w:r w:rsidRPr="008935D4">
        <w:rPr>
          <w:sz w:val="18"/>
        </w:rPr>
        <w:t xml:space="preserve"> Medical Dictionary for Drug Regulatory Activities, </w:t>
      </w:r>
      <w:r w:rsidRPr="008935D4">
        <w:rPr>
          <w:i/>
          <w:iCs/>
          <w:sz w:val="18"/>
        </w:rPr>
        <w:t>N</w:t>
      </w:r>
      <w:r w:rsidRPr="008935D4">
        <w:rPr>
          <w:sz w:val="18"/>
        </w:rPr>
        <w:t xml:space="preserve"> number of patients in the analysis population, </w:t>
      </w:r>
      <w:r w:rsidRPr="008935D4">
        <w:rPr>
          <w:i/>
          <w:iCs/>
          <w:sz w:val="18"/>
        </w:rPr>
        <w:t>n</w:t>
      </w:r>
      <w:r w:rsidRPr="008935D4">
        <w:rPr>
          <w:sz w:val="18"/>
        </w:rPr>
        <w:t xml:space="preserve"> number of patients within each specific category; </w:t>
      </w:r>
      <w:r w:rsidRPr="008935D4">
        <w:rPr>
          <w:i/>
          <w:iCs/>
          <w:sz w:val="18"/>
        </w:rPr>
        <w:t>OR</w:t>
      </w:r>
      <w:r w:rsidRPr="008935D4">
        <w:rPr>
          <w:sz w:val="18"/>
        </w:rPr>
        <w:t xml:space="preserve"> odds ratio, </w:t>
      </w:r>
      <w:r w:rsidRPr="008935D4">
        <w:rPr>
          <w:i/>
          <w:iCs/>
          <w:sz w:val="18"/>
        </w:rPr>
        <w:t>PT</w:t>
      </w:r>
      <w:r w:rsidRPr="008935D4">
        <w:rPr>
          <w:sz w:val="18"/>
        </w:rPr>
        <w:t xml:space="preserve"> Preferred Term, </w:t>
      </w:r>
      <w:r w:rsidRPr="008935D4">
        <w:rPr>
          <w:i/>
          <w:iCs/>
          <w:sz w:val="18"/>
        </w:rPr>
        <w:t>SMQ</w:t>
      </w:r>
      <w:r w:rsidRPr="008935D4">
        <w:rPr>
          <w:sz w:val="18"/>
        </w:rPr>
        <w:t> Standardized MedDRA Query.</w:t>
      </w:r>
    </w:p>
    <w:p w:rsidR="001B5FE2" w:rsidRPr="008935D4" w:rsidRDefault="001B5FE2" w:rsidP="001B5FE2">
      <w:pPr>
        <w:pStyle w:val="TableFootnote"/>
        <w:spacing w:line="480" w:lineRule="auto"/>
        <w:ind w:left="0" w:firstLine="0"/>
        <w:rPr>
          <w:sz w:val="18"/>
        </w:rPr>
      </w:pPr>
      <w:r w:rsidRPr="008935D4">
        <w:rPr>
          <w:sz w:val="18"/>
        </w:rPr>
        <w:t>Note: Potential CV AEs are based on broad and narrow terms in the SMQs Cardiac arrhythmias, Cardiac failure, Cardiomyopathy, CNS vascular disorders, Embolic and thrombotic events, Hypertension, Ischemic heart disease, Pulmonary hypertension, and Torsade de pointes/QT prolongation and the PTs abdominal pain, abdominal pain upper, and abdominal pain lower.</w:t>
      </w:r>
    </w:p>
    <w:p w:rsidR="001B5FE2" w:rsidRPr="008935D4" w:rsidRDefault="001B5FE2" w:rsidP="001B5FE2">
      <w:pPr>
        <w:pStyle w:val="TableFootnote"/>
        <w:spacing w:line="480" w:lineRule="auto"/>
        <w:rPr>
          <w:sz w:val="18"/>
        </w:rPr>
      </w:pPr>
      <w:r w:rsidRPr="008935D4">
        <w:rPr>
          <w:sz w:val="18"/>
        </w:rPr>
        <w:t>Note: Any abdominal pain (PT) consists of the PTs abdominal pain, abdominal pain upper, and abdominal pain lower.</w:t>
      </w:r>
    </w:p>
    <w:p w:rsidR="001B5FE2" w:rsidRPr="008935D4" w:rsidRDefault="001B5FE2" w:rsidP="001B5FE2">
      <w:pPr>
        <w:pStyle w:val="TableFootnote"/>
        <w:spacing w:line="480" w:lineRule="auto"/>
        <w:rPr>
          <w:sz w:val="18"/>
        </w:rPr>
      </w:pPr>
      <w:r w:rsidRPr="008935D4">
        <w:rPr>
          <w:sz w:val="18"/>
        </w:rPr>
        <w:lastRenderedPageBreak/>
        <w:t xml:space="preserve">MedDRA version 21.0. </w:t>
      </w:r>
    </w:p>
    <w:p w:rsidR="001B5FE2" w:rsidRPr="008935D4" w:rsidRDefault="001B5FE2" w:rsidP="001B5FE2">
      <w:pPr>
        <w:spacing w:line="480" w:lineRule="auto"/>
        <w:rPr>
          <w:rFonts w:ascii="Times New Roman" w:hAnsi="Times New Roman" w:cs="Times New Roman"/>
        </w:rPr>
      </w:pPr>
    </w:p>
    <w:p w:rsidR="001B5FE2" w:rsidRPr="008935D4" w:rsidRDefault="001B5FE2" w:rsidP="001B5FE2">
      <w:pPr>
        <w:spacing w:line="480" w:lineRule="auto"/>
        <w:rPr>
          <w:rFonts w:ascii="Times New Roman" w:hAnsi="Times New Roman" w:cs="Times New Roman"/>
        </w:rPr>
        <w:sectPr w:rsidR="001B5FE2" w:rsidRPr="008935D4" w:rsidSect="00484108">
          <w:type w:val="continuous"/>
          <w:pgSz w:w="15840" w:h="12240" w:orient="landscape"/>
          <w:pgMar w:top="1440" w:right="1440" w:bottom="1440" w:left="1440" w:header="720" w:footer="720" w:gutter="0"/>
          <w:cols w:space="720"/>
          <w:docGrid w:linePitch="360"/>
        </w:sectPr>
      </w:pPr>
    </w:p>
    <w:p w:rsidR="001B5FE2" w:rsidRPr="008935D4" w:rsidRDefault="001B5FE2" w:rsidP="001B5FE2">
      <w:pPr>
        <w:pStyle w:val="Caption"/>
        <w:spacing w:line="480" w:lineRule="auto"/>
        <w:rPr>
          <w:rFonts w:ascii="Times New Roman" w:hAnsi="Times New Roman" w:cs="Times New Roman"/>
          <w:b/>
          <w:i w:val="0"/>
          <w:color w:val="auto"/>
          <w:sz w:val="24"/>
          <w:szCs w:val="24"/>
        </w:rPr>
      </w:pPr>
      <w:bookmarkStart w:id="3" w:name="SuppTable3"/>
      <w:r w:rsidRPr="008935D4">
        <w:rPr>
          <w:rFonts w:ascii="Times New Roman" w:hAnsi="Times New Roman" w:cs="Times New Roman"/>
          <w:b/>
          <w:i w:val="0"/>
          <w:color w:val="auto"/>
          <w:sz w:val="24"/>
          <w:szCs w:val="24"/>
        </w:rPr>
        <w:lastRenderedPageBreak/>
        <w:t>Supplemental Table 3</w:t>
      </w:r>
      <w:bookmarkEnd w:id="3"/>
      <w:r w:rsidRPr="008935D4">
        <w:rPr>
          <w:rFonts w:ascii="Times New Roman" w:hAnsi="Times New Roman" w:cs="Times New Roman"/>
          <w:b/>
          <w:i w:val="0"/>
          <w:color w:val="auto"/>
          <w:sz w:val="24"/>
          <w:szCs w:val="24"/>
        </w:rPr>
        <w:t xml:space="preserve"> </w:t>
      </w:r>
      <w:r w:rsidRPr="008935D4">
        <w:rPr>
          <w:rFonts w:ascii="Times New Roman" w:hAnsi="Times New Roman" w:cs="Times New Roman"/>
          <w:bCs/>
          <w:i w:val="0"/>
          <w:color w:val="auto"/>
          <w:sz w:val="24"/>
          <w:szCs w:val="24"/>
        </w:rPr>
        <w:t>Summary and analysis of likely cardiovascular adverse events within Standardized MedDRA Queries/Preferred Terms</w:t>
      </w:r>
      <w:r w:rsidRPr="008935D4">
        <w:rPr>
          <w:rFonts w:ascii="Times New Roman" w:hAnsi="Times New Roman" w:cs="Times New Roman"/>
          <w:b/>
          <w:i w:val="0"/>
          <w:color w:val="auto"/>
          <w:sz w:val="24"/>
          <w:szCs w:val="24"/>
        </w:rPr>
        <w:t xml:space="preserve"> </w:t>
      </w:r>
    </w:p>
    <w:tbl>
      <w:tblPr>
        <w:tblW w:w="5000" w:type="pct"/>
        <w:tblLook w:val="04A0" w:firstRow="1" w:lastRow="0" w:firstColumn="1" w:lastColumn="0" w:noHBand="0" w:noVBand="1"/>
      </w:tblPr>
      <w:tblGrid>
        <w:gridCol w:w="5033"/>
        <w:gridCol w:w="1874"/>
        <w:gridCol w:w="1874"/>
        <w:gridCol w:w="1465"/>
        <w:gridCol w:w="1465"/>
        <w:gridCol w:w="1465"/>
      </w:tblGrid>
      <w:tr w:rsidR="001B5FE2" w:rsidRPr="008935D4" w:rsidTr="00781025">
        <w:trPr>
          <w:trHeight w:val="693"/>
          <w:tblHeader/>
        </w:trPr>
        <w:tc>
          <w:tcPr>
            <w:tcW w:w="1910" w:type="pct"/>
            <w:vMerge w:val="restart"/>
            <w:tcBorders>
              <w:top w:val="single" w:sz="4" w:space="0" w:color="auto"/>
            </w:tcBorders>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r w:rsidRPr="008935D4">
              <w:rPr>
                <w:rFonts w:ascii="Times New Roman" w:hAnsi="Times New Roman" w:cs="Times New Roman"/>
                <w:b/>
                <w:sz w:val="20"/>
                <w:szCs w:val="20"/>
              </w:rPr>
              <w:t>Standardized MedDRA Query</w:t>
            </w:r>
          </w:p>
          <w:p w:rsidR="001B5FE2" w:rsidRPr="008935D4" w:rsidRDefault="001B5FE2" w:rsidP="00781025">
            <w:pPr>
              <w:pStyle w:val="Header"/>
              <w:spacing w:line="480" w:lineRule="auto"/>
              <w:ind w:left="346"/>
              <w:rPr>
                <w:rFonts w:ascii="Times New Roman" w:hAnsi="Times New Roman" w:cs="Times New Roman"/>
                <w:b/>
                <w:sz w:val="20"/>
                <w:szCs w:val="20"/>
              </w:rPr>
            </w:pPr>
            <w:r w:rsidRPr="008935D4">
              <w:rPr>
                <w:rFonts w:ascii="Times New Roman" w:hAnsi="Times New Roman" w:cs="Times New Roman"/>
                <w:b/>
                <w:sz w:val="20"/>
                <w:szCs w:val="20"/>
              </w:rPr>
              <w:t>Preferred Term</w:t>
            </w:r>
          </w:p>
        </w:tc>
        <w:tc>
          <w:tcPr>
            <w:tcW w:w="711" w:type="pct"/>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Placebo</w:t>
            </w:r>
          </w:p>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1,262)</w:t>
            </w:r>
          </w:p>
        </w:tc>
        <w:tc>
          <w:tcPr>
            <w:tcW w:w="711" w:type="pct"/>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All LTN</w:t>
            </w:r>
          </w:p>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3,177)</w:t>
            </w:r>
          </w:p>
        </w:tc>
        <w:tc>
          <w:tcPr>
            <w:tcW w:w="1668" w:type="pct"/>
            <w:gridSpan w:val="3"/>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Comparison between all LTN vs. placebo</w:t>
            </w:r>
          </w:p>
        </w:tc>
      </w:tr>
      <w:tr w:rsidR="001B5FE2" w:rsidRPr="008935D4" w:rsidTr="00781025">
        <w:trPr>
          <w:tblHeader/>
        </w:trPr>
        <w:tc>
          <w:tcPr>
            <w:tcW w:w="1910" w:type="pct"/>
            <w:vMerge/>
            <w:tcBorders>
              <w:bottom w:val="single" w:sz="4" w:space="0" w:color="auto"/>
            </w:tcBorders>
            <w:shd w:val="clear" w:color="auto" w:fill="auto"/>
            <w:vAlign w:val="center"/>
          </w:tcPr>
          <w:p w:rsidR="001B5FE2" w:rsidRPr="008935D4" w:rsidRDefault="001B5FE2" w:rsidP="00781025">
            <w:pPr>
              <w:pStyle w:val="Header"/>
              <w:spacing w:line="480" w:lineRule="auto"/>
              <w:ind w:left="342"/>
              <w:rPr>
                <w:rFonts w:ascii="Times New Roman" w:hAnsi="Times New Roman" w:cs="Times New Roman"/>
                <w:b/>
                <w:sz w:val="20"/>
                <w:szCs w:val="20"/>
              </w:rPr>
            </w:pPr>
          </w:p>
        </w:tc>
        <w:tc>
          <w:tcPr>
            <w:tcW w:w="711" w:type="pct"/>
            <w:tcBorders>
              <w:bottom w:val="single" w:sz="4" w:space="0" w:color="auto"/>
            </w:tcBorders>
            <w:shd w:val="clear" w:color="auto" w:fill="auto"/>
            <w:vAlign w:val="center"/>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 [adj %]</w:t>
            </w:r>
          </w:p>
        </w:tc>
        <w:tc>
          <w:tcPr>
            <w:tcW w:w="711"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 [adj %]</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OR</w:t>
            </w:r>
            <w:r w:rsidRPr="008935D4">
              <w:rPr>
                <w:rFonts w:ascii="Times New Roman" w:hAnsi="Times New Roman" w:cs="Times New Roman"/>
                <w:b/>
                <w:szCs w:val="20"/>
                <w:vertAlign w:val="superscript"/>
              </w:rPr>
              <w:t>a</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95% CI</w:t>
            </w:r>
            <w:r w:rsidRPr="008935D4">
              <w:rPr>
                <w:rFonts w:ascii="Times New Roman" w:hAnsi="Times New Roman" w:cs="Times New Roman"/>
                <w:b/>
                <w:szCs w:val="20"/>
                <w:vertAlign w:val="superscript"/>
              </w:rPr>
              <w:t>a</w:t>
            </w:r>
          </w:p>
        </w:tc>
        <w:tc>
          <w:tcPr>
            <w:tcW w:w="556"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p</w:t>
            </w:r>
            <w:r w:rsidRPr="008935D4">
              <w:rPr>
                <w:rFonts w:ascii="Times New Roman" w:hAnsi="Times New Roman" w:cs="Times New Roman"/>
                <w:b/>
                <w:sz w:val="20"/>
                <w:szCs w:val="20"/>
              </w:rPr>
              <w:t xml:space="preserve"> value</w:t>
            </w:r>
            <w:r w:rsidRPr="008935D4">
              <w:rPr>
                <w:rFonts w:ascii="Times New Roman" w:hAnsi="Times New Roman" w:cs="Times New Roman"/>
                <w:b/>
                <w:szCs w:val="20"/>
                <w:vertAlign w:val="superscript"/>
              </w:rPr>
              <w:t>b</w:t>
            </w:r>
          </w:p>
        </w:tc>
      </w:tr>
      <w:tr w:rsidR="001B5FE2" w:rsidRPr="008935D4" w:rsidTr="00781025">
        <w:tc>
          <w:tcPr>
            <w:tcW w:w="1910" w:type="pct"/>
            <w:shd w:val="clear" w:color="auto" w:fill="auto"/>
          </w:tcPr>
          <w:p w:rsidR="001B5FE2" w:rsidRPr="008935D4" w:rsidRDefault="001B5FE2" w:rsidP="00781025">
            <w:pPr>
              <w:spacing w:line="480" w:lineRule="auto"/>
              <w:ind w:left="-18"/>
              <w:rPr>
                <w:rFonts w:ascii="Times New Roman" w:hAnsi="Times New Roman" w:cs="Times New Roman"/>
                <w:sz w:val="20"/>
                <w:szCs w:val="20"/>
              </w:rPr>
            </w:pPr>
            <w:r w:rsidRPr="008935D4">
              <w:rPr>
                <w:rFonts w:ascii="Times New Roman" w:hAnsi="Times New Roman" w:cs="Times New Roman"/>
                <w:sz w:val="20"/>
                <w:szCs w:val="20"/>
              </w:rPr>
              <w:t>Patients with at least 1 likely CV AE</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16 (1.3) [1.2]</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55 (1.7) [1.7]</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1.40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(0.79, 2.45)</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0.25</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arrhythmias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8 (0.6) [0.6]</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38 (1.2) [1.2]</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1.89</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(0.88, 4.07)</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0.10</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failure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 [0.1]</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(0.0) [0.0]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0.50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0.62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Cardiomyopathy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(0.2) [0.2]</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18 (0.6) [0.6]</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3.65</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(0.84, 15.79)</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0.06</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Embolic and thrombotic events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 [0.0]</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(0.0) [0.0]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0.56</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Hypertension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 (0.2) [0.3]</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13 (0.4) [0.4]</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1.67</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(0.48, 5.73)</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0.40</w:t>
            </w:r>
            <w:r w:rsidRPr="008935D4">
              <w:rPr>
                <w:rFonts w:ascii="Times New Roman" w:hAnsi="Times New Roman" w:cs="Times New Roman"/>
                <w:szCs w:val="20"/>
                <w:vertAlign w:val="superscript"/>
              </w:rPr>
              <w:t>c</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Ischemic heart disease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 [0.0]</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(0.1) [0.1]</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0.32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Pulmonary hypertension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 [0.1]</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(0.0) [0.0]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0.50</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0.62</w:t>
            </w:r>
          </w:p>
        </w:tc>
      </w:tr>
      <w:tr w:rsidR="001B5FE2" w:rsidRPr="008935D4" w:rsidTr="00781025">
        <w:tc>
          <w:tcPr>
            <w:tcW w:w="1910" w:type="pct"/>
            <w:shd w:val="clear" w:color="auto" w:fill="auto"/>
          </w:tcPr>
          <w:p w:rsidR="001B5FE2" w:rsidRPr="008935D4" w:rsidRDefault="001B5FE2" w:rsidP="00781025">
            <w:pPr>
              <w:spacing w:line="480" w:lineRule="auto"/>
              <w:ind w:left="162"/>
              <w:rPr>
                <w:rFonts w:ascii="Times New Roman" w:hAnsi="Times New Roman" w:cs="Times New Roman"/>
                <w:sz w:val="20"/>
                <w:szCs w:val="20"/>
                <w:lang w:val="fr-FR"/>
              </w:rPr>
            </w:pPr>
            <w:r w:rsidRPr="008935D4">
              <w:rPr>
                <w:rFonts w:ascii="Times New Roman" w:hAnsi="Times New Roman" w:cs="Times New Roman"/>
                <w:sz w:val="20"/>
                <w:szCs w:val="20"/>
                <w:lang w:val="fr-FR"/>
              </w:rPr>
              <w:lastRenderedPageBreak/>
              <w:t>Torsade de pointes/QT prolongation (SMQ)</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 [0.0]</w:t>
            </w:r>
          </w:p>
        </w:tc>
        <w:tc>
          <w:tcPr>
            <w:tcW w:w="711"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4 (0.1) [0.1]</w:t>
            </w: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0.22</w:t>
            </w:r>
          </w:p>
        </w:tc>
      </w:tr>
      <w:tr w:rsidR="001B5FE2" w:rsidRPr="008935D4" w:rsidTr="00781025">
        <w:tc>
          <w:tcPr>
            <w:tcW w:w="1910" w:type="pct"/>
            <w:tcBorders>
              <w:bottom w:val="single" w:sz="4" w:space="0" w:color="auto"/>
            </w:tcBorders>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Any abdominal pain (PT)</w:t>
            </w:r>
          </w:p>
        </w:tc>
        <w:tc>
          <w:tcPr>
            <w:tcW w:w="711"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(0.2) [0.1]</w:t>
            </w:r>
          </w:p>
        </w:tc>
        <w:tc>
          <w:tcPr>
            <w:tcW w:w="711"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 [0.0]</w:t>
            </w: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0.00</w:t>
            </w: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p>
        </w:tc>
        <w:tc>
          <w:tcPr>
            <w:tcW w:w="556"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0.05</w:t>
            </w:r>
          </w:p>
        </w:tc>
      </w:tr>
    </w:tbl>
    <w:p w:rsidR="001B5FE2" w:rsidRPr="008935D4" w:rsidRDefault="001B5FE2" w:rsidP="001B5FE2">
      <w:pPr>
        <w:pStyle w:val="TableFootnote"/>
        <w:spacing w:line="480" w:lineRule="auto"/>
      </w:pPr>
      <w:r w:rsidRPr="008935D4">
        <w:rPr>
          <w:sz w:val="22"/>
          <w:vertAlign w:val="superscript"/>
        </w:rPr>
        <w:t>a</w:t>
      </w:r>
      <w:r w:rsidRPr="008935D4">
        <w:rPr>
          <w:sz w:val="18"/>
        </w:rPr>
        <w:t>Mantel-Haenszel OR stratified by study and 95% CI (CI calculated if ≥</w:t>
      </w:r>
      <w:r w:rsidRPr="008935D4">
        <w:t> </w:t>
      </w:r>
      <w:r w:rsidRPr="008935D4">
        <w:rPr>
          <w:sz w:val="18"/>
        </w:rPr>
        <w:t>4 events in numerator and ≥</w:t>
      </w:r>
      <w:r w:rsidRPr="008935D4">
        <w:t> </w:t>
      </w:r>
      <w:r w:rsidRPr="008935D4">
        <w:rPr>
          <w:sz w:val="18"/>
        </w:rPr>
        <w:t>1 event in denominator).</w:t>
      </w:r>
    </w:p>
    <w:p w:rsidR="001B5FE2" w:rsidRPr="008935D4" w:rsidRDefault="001B5FE2" w:rsidP="001B5FE2">
      <w:pPr>
        <w:pStyle w:val="TableFootnote"/>
        <w:spacing w:line="480" w:lineRule="auto"/>
        <w:rPr>
          <w:sz w:val="18"/>
        </w:rPr>
      </w:pPr>
      <w:r w:rsidRPr="008935D4">
        <w:rPr>
          <w:sz w:val="22"/>
          <w:vertAlign w:val="superscript"/>
        </w:rPr>
        <w:t>b</w:t>
      </w:r>
      <w:r w:rsidRPr="008935D4">
        <w:rPr>
          <w:i/>
          <w:sz w:val="18"/>
        </w:rPr>
        <w:t>p</w:t>
      </w:r>
      <w:r w:rsidRPr="008935D4">
        <w:rPr>
          <w:sz w:val="18"/>
        </w:rPr>
        <w:t xml:space="preserve"> values are from Cochran-Mantel-Haenszel test of general association stratified by study.</w:t>
      </w:r>
    </w:p>
    <w:p w:rsidR="001B5FE2" w:rsidRPr="008935D4" w:rsidRDefault="001B5FE2" w:rsidP="001B5FE2">
      <w:pPr>
        <w:pStyle w:val="TableFootnote"/>
        <w:spacing w:line="480" w:lineRule="auto"/>
        <w:rPr>
          <w:sz w:val="18"/>
        </w:rPr>
      </w:pPr>
      <w:r w:rsidRPr="008935D4">
        <w:rPr>
          <w:sz w:val="22"/>
          <w:vertAlign w:val="superscript"/>
        </w:rPr>
        <w:t>c</w:t>
      </w:r>
      <w:r w:rsidRPr="008935D4">
        <w:rPr>
          <w:i/>
          <w:sz w:val="18"/>
        </w:rPr>
        <w:t>p</w:t>
      </w:r>
      <w:r w:rsidRPr="008935D4">
        <w:rPr>
          <w:sz w:val="18"/>
        </w:rPr>
        <w:t xml:space="preserve"> value &lt; 0.1 for heterogeneity test of ORs across studies (assessed using the Breslow Day test).</w:t>
      </w:r>
    </w:p>
    <w:p w:rsidR="001B5FE2" w:rsidRPr="008935D4" w:rsidRDefault="001B5FE2" w:rsidP="001B5FE2">
      <w:pPr>
        <w:pStyle w:val="TableFootnote"/>
        <w:spacing w:line="480" w:lineRule="auto"/>
        <w:ind w:left="0" w:hanging="18"/>
        <w:rPr>
          <w:sz w:val="18"/>
        </w:rPr>
      </w:pPr>
      <w:r w:rsidRPr="008935D4">
        <w:rPr>
          <w:i/>
          <w:iCs/>
          <w:sz w:val="18"/>
        </w:rPr>
        <w:t>adj %</w:t>
      </w:r>
      <w:r w:rsidRPr="008935D4">
        <w:rPr>
          <w:sz w:val="18"/>
        </w:rPr>
        <w:t xml:space="preserve"> study size adjusted percentage, </w:t>
      </w:r>
      <w:r w:rsidRPr="008935D4">
        <w:rPr>
          <w:i/>
          <w:iCs/>
          <w:sz w:val="18"/>
          <w:szCs w:val="18"/>
        </w:rPr>
        <w:t>AE</w:t>
      </w:r>
      <w:r w:rsidRPr="008935D4">
        <w:rPr>
          <w:sz w:val="18"/>
          <w:szCs w:val="18"/>
        </w:rPr>
        <w:t> adverse event,</w:t>
      </w:r>
      <w:r w:rsidRPr="008935D4">
        <w:rPr>
          <w:sz w:val="18"/>
        </w:rPr>
        <w:t xml:space="preserve"> </w:t>
      </w:r>
      <w:r w:rsidRPr="008935D4">
        <w:rPr>
          <w:i/>
          <w:iCs/>
          <w:sz w:val="18"/>
        </w:rPr>
        <w:t>CI </w:t>
      </w:r>
      <w:r w:rsidRPr="008935D4">
        <w:rPr>
          <w:sz w:val="18"/>
        </w:rPr>
        <w:t>confidence interval,</w:t>
      </w:r>
      <w:r w:rsidRPr="008935D4">
        <w:rPr>
          <w:sz w:val="18"/>
          <w:szCs w:val="18"/>
        </w:rPr>
        <w:t xml:space="preserve"> </w:t>
      </w:r>
      <w:r w:rsidRPr="008935D4">
        <w:rPr>
          <w:i/>
          <w:iCs/>
          <w:sz w:val="18"/>
        </w:rPr>
        <w:t>CNS</w:t>
      </w:r>
      <w:r w:rsidRPr="008935D4">
        <w:rPr>
          <w:sz w:val="18"/>
        </w:rPr>
        <w:t xml:space="preserve"> central nervous system, </w:t>
      </w:r>
      <w:r w:rsidRPr="008935D4">
        <w:rPr>
          <w:i/>
          <w:iCs/>
          <w:sz w:val="18"/>
        </w:rPr>
        <w:t>CV</w:t>
      </w:r>
      <w:r w:rsidRPr="008935D4">
        <w:rPr>
          <w:sz w:val="18"/>
        </w:rPr>
        <w:t xml:space="preserve"> cardiovascular, </w:t>
      </w:r>
      <w:r w:rsidRPr="008935D4">
        <w:rPr>
          <w:i/>
          <w:iCs/>
          <w:sz w:val="18"/>
        </w:rPr>
        <w:t>LTN </w:t>
      </w:r>
      <w:r w:rsidRPr="008935D4">
        <w:rPr>
          <w:sz w:val="18"/>
        </w:rPr>
        <w:t xml:space="preserve">lasmiditan, </w:t>
      </w:r>
      <w:r w:rsidRPr="008935D4">
        <w:rPr>
          <w:i/>
          <w:iCs/>
          <w:sz w:val="18"/>
        </w:rPr>
        <w:t>MedDRA</w:t>
      </w:r>
      <w:r w:rsidRPr="008935D4">
        <w:rPr>
          <w:sz w:val="18"/>
        </w:rPr>
        <w:t xml:space="preserve"> Medical Dictionary for Drug Regulatory Activities, </w:t>
      </w:r>
      <w:r w:rsidRPr="008935D4">
        <w:rPr>
          <w:i/>
          <w:iCs/>
          <w:sz w:val="18"/>
        </w:rPr>
        <w:t>N</w:t>
      </w:r>
      <w:r w:rsidRPr="008935D4">
        <w:rPr>
          <w:sz w:val="18"/>
        </w:rPr>
        <w:t xml:space="preserve"> number of patients in the analysis population, </w:t>
      </w:r>
      <w:r w:rsidRPr="008935D4">
        <w:rPr>
          <w:i/>
          <w:iCs/>
          <w:sz w:val="18"/>
        </w:rPr>
        <w:t>n</w:t>
      </w:r>
      <w:r w:rsidRPr="008935D4">
        <w:rPr>
          <w:sz w:val="18"/>
        </w:rPr>
        <w:t xml:space="preserve"> number of patients within each specific category, </w:t>
      </w:r>
      <w:r w:rsidRPr="008935D4">
        <w:rPr>
          <w:i/>
          <w:iCs/>
          <w:sz w:val="18"/>
        </w:rPr>
        <w:t>OR</w:t>
      </w:r>
      <w:r w:rsidRPr="008935D4">
        <w:rPr>
          <w:sz w:val="18"/>
        </w:rPr>
        <w:t xml:space="preserve"> odds ratio, </w:t>
      </w:r>
      <w:r w:rsidRPr="008935D4">
        <w:rPr>
          <w:i/>
          <w:iCs/>
          <w:sz w:val="18"/>
        </w:rPr>
        <w:t>PT</w:t>
      </w:r>
      <w:r w:rsidRPr="008935D4">
        <w:rPr>
          <w:sz w:val="18"/>
        </w:rPr>
        <w:t xml:space="preserve"> Preferred Term, </w:t>
      </w:r>
      <w:r w:rsidRPr="008935D4">
        <w:rPr>
          <w:i/>
          <w:iCs/>
          <w:sz w:val="18"/>
        </w:rPr>
        <w:t>SMQ</w:t>
      </w:r>
      <w:r w:rsidRPr="008935D4">
        <w:rPr>
          <w:sz w:val="18"/>
        </w:rPr>
        <w:t> Standardized MedDRA Query.</w:t>
      </w:r>
    </w:p>
    <w:p w:rsidR="001B5FE2" w:rsidRPr="008935D4" w:rsidRDefault="001B5FE2" w:rsidP="001B5FE2">
      <w:pPr>
        <w:pStyle w:val="TableFootnote"/>
        <w:spacing w:line="480" w:lineRule="auto"/>
        <w:ind w:left="0" w:firstLine="0"/>
        <w:rPr>
          <w:sz w:val="18"/>
        </w:rPr>
      </w:pPr>
      <w:r w:rsidRPr="008935D4">
        <w:rPr>
          <w:sz w:val="18"/>
        </w:rPr>
        <w:t>Note: Likely CV AEs are from medical review out of potential CV AEs that are selected based on broad and narrow terms in the SMQs Cardiac arrhythmias, Cardiac failure, Cardiomyopathy, CNS vascular disorders, Embolic and thrombotic events, Hypertension, Ischemic heart disease, Pulmonary hypertension, and Torsade de pointes/QT prolongation and the PTs abdominal pain, abdominal pain upper, and abdominal pain lower.</w:t>
      </w:r>
    </w:p>
    <w:p w:rsidR="001B5FE2" w:rsidRPr="008935D4" w:rsidRDefault="001B5FE2" w:rsidP="001B5FE2">
      <w:pPr>
        <w:pStyle w:val="TableFootnote"/>
        <w:spacing w:line="480" w:lineRule="auto"/>
        <w:rPr>
          <w:sz w:val="18"/>
        </w:rPr>
      </w:pPr>
      <w:r w:rsidRPr="008935D4">
        <w:rPr>
          <w:sz w:val="18"/>
        </w:rPr>
        <w:t>Note: Any abdominal pain (PT) consists of the PTs abdominal pain, abdominal pain upper, and abdominal pain lower.</w:t>
      </w:r>
    </w:p>
    <w:p w:rsidR="001B5FE2" w:rsidRPr="008935D4" w:rsidRDefault="001B5FE2" w:rsidP="001B5FE2">
      <w:pPr>
        <w:pStyle w:val="TableFootnote"/>
        <w:spacing w:line="480" w:lineRule="auto"/>
        <w:rPr>
          <w:sz w:val="18"/>
        </w:rPr>
      </w:pPr>
      <w:r w:rsidRPr="008935D4">
        <w:rPr>
          <w:sz w:val="18"/>
        </w:rPr>
        <w:t>MedDRA version 21.0.</w:t>
      </w:r>
    </w:p>
    <w:p w:rsidR="001B5FE2" w:rsidRPr="008935D4" w:rsidRDefault="001B5FE2" w:rsidP="001B5FE2">
      <w:pPr>
        <w:pStyle w:val="TableFootnote"/>
        <w:spacing w:line="480" w:lineRule="auto"/>
        <w:rPr>
          <w:sz w:val="18"/>
        </w:rPr>
      </w:pPr>
    </w:p>
    <w:p w:rsidR="001B5FE2" w:rsidRPr="008935D4" w:rsidRDefault="001B5FE2" w:rsidP="001B5FE2">
      <w:pPr>
        <w:spacing w:line="480" w:lineRule="auto"/>
        <w:rPr>
          <w:rFonts w:ascii="Times New Roman" w:hAnsi="Times New Roman" w:cs="Times New Roman"/>
        </w:rPr>
        <w:sectPr w:rsidR="001B5FE2" w:rsidRPr="008935D4" w:rsidSect="00484108">
          <w:type w:val="continuous"/>
          <w:pgSz w:w="15840" w:h="12240" w:orient="landscape"/>
          <w:pgMar w:top="1440" w:right="1440" w:bottom="1440" w:left="1440" w:header="720" w:footer="720" w:gutter="0"/>
          <w:cols w:space="720"/>
          <w:docGrid w:linePitch="360"/>
        </w:sectPr>
      </w:pPr>
    </w:p>
    <w:p w:rsidR="001B5FE2" w:rsidRPr="008935D4" w:rsidRDefault="001B5FE2" w:rsidP="001B5FE2">
      <w:pPr>
        <w:pStyle w:val="Caption"/>
        <w:spacing w:line="480" w:lineRule="auto"/>
        <w:rPr>
          <w:rFonts w:ascii="Times New Roman" w:hAnsi="Times New Roman" w:cs="Times New Roman"/>
          <w:b/>
          <w:i w:val="0"/>
          <w:color w:val="auto"/>
          <w:sz w:val="24"/>
          <w:szCs w:val="24"/>
        </w:rPr>
      </w:pPr>
      <w:bookmarkStart w:id="4" w:name="SuppTable4"/>
      <w:r w:rsidRPr="008935D4">
        <w:rPr>
          <w:rFonts w:ascii="Times New Roman" w:hAnsi="Times New Roman" w:cs="Times New Roman"/>
          <w:b/>
          <w:i w:val="0"/>
          <w:color w:val="auto"/>
          <w:sz w:val="24"/>
          <w:szCs w:val="24"/>
        </w:rPr>
        <w:lastRenderedPageBreak/>
        <w:t>Supplemental Table 4</w:t>
      </w:r>
      <w:bookmarkEnd w:id="4"/>
      <w:r w:rsidRPr="008935D4">
        <w:rPr>
          <w:rFonts w:ascii="Times New Roman" w:hAnsi="Times New Roman" w:cs="Times New Roman"/>
          <w:b/>
          <w:i w:val="0"/>
          <w:color w:val="auto"/>
          <w:sz w:val="24"/>
          <w:szCs w:val="24"/>
        </w:rPr>
        <w:t xml:space="preserve"> </w:t>
      </w:r>
      <w:r w:rsidRPr="008935D4">
        <w:rPr>
          <w:rFonts w:ascii="Times New Roman" w:hAnsi="Times New Roman" w:cs="Times New Roman"/>
          <w:bCs/>
          <w:i w:val="0"/>
          <w:color w:val="auto"/>
          <w:sz w:val="24"/>
          <w:szCs w:val="24"/>
        </w:rPr>
        <w:t>Summary of likely cardiovascular adverse events within Standardized MedDRA Queries/Preferred Terms in patients with and without aura</w:t>
      </w:r>
    </w:p>
    <w:tbl>
      <w:tblPr>
        <w:tblW w:w="5000" w:type="pct"/>
        <w:tblLook w:val="04A0" w:firstRow="1" w:lastRow="0" w:firstColumn="1" w:lastColumn="0" w:noHBand="0" w:noVBand="1"/>
      </w:tblPr>
      <w:tblGrid>
        <w:gridCol w:w="5295"/>
        <w:gridCol w:w="1971"/>
        <w:gridCol w:w="1971"/>
        <w:gridCol w:w="1971"/>
        <w:gridCol w:w="1968"/>
      </w:tblGrid>
      <w:tr w:rsidR="001B5FE2" w:rsidRPr="008935D4" w:rsidTr="00781025">
        <w:trPr>
          <w:trHeight w:val="693"/>
          <w:tblHeader/>
        </w:trPr>
        <w:tc>
          <w:tcPr>
            <w:tcW w:w="2009" w:type="pct"/>
            <w:vMerge w:val="restart"/>
            <w:tcBorders>
              <w:top w:val="single" w:sz="4" w:space="0" w:color="auto"/>
            </w:tcBorders>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r w:rsidRPr="008935D4">
              <w:rPr>
                <w:rFonts w:ascii="Times New Roman" w:hAnsi="Times New Roman" w:cs="Times New Roman"/>
                <w:b/>
                <w:sz w:val="20"/>
                <w:szCs w:val="20"/>
              </w:rPr>
              <w:lastRenderedPageBreak/>
              <w:t>Standardized MedDRA Query</w:t>
            </w:r>
          </w:p>
          <w:p w:rsidR="001B5FE2" w:rsidRPr="008935D4" w:rsidRDefault="001B5FE2" w:rsidP="00781025">
            <w:pPr>
              <w:pStyle w:val="Header"/>
              <w:spacing w:line="480" w:lineRule="auto"/>
              <w:ind w:left="342"/>
              <w:rPr>
                <w:rFonts w:ascii="Times New Roman" w:hAnsi="Times New Roman" w:cs="Times New Roman"/>
                <w:b/>
                <w:sz w:val="20"/>
                <w:szCs w:val="20"/>
              </w:rPr>
            </w:pPr>
            <w:r w:rsidRPr="008935D4">
              <w:rPr>
                <w:rFonts w:ascii="Times New Roman" w:hAnsi="Times New Roman" w:cs="Times New Roman"/>
                <w:b/>
                <w:sz w:val="20"/>
                <w:szCs w:val="20"/>
              </w:rPr>
              <w:t>Preferred Term</w:t>
            </w:r>
          </w:p>
        </w:tc>
        <w:tc>
          <w:tcPr>
            <w:tcW w:w="1496" w:type="pct"/>
            <w:gridSpan w:val="2"/>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Placebo</w:t>
            </w:r>
          </w:p>
        </w:tc>
        <w:tc>
          <w:tcPr>
            <w:tcW w:w="1495" w:type="pct"/>
            <w:gridSpan w:val="2"/>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All LTN</w:t>
            </w:r>
          </w:p>
        </w:tc>
      </w:tr>
      <w:tr w:rsidR="001B5FE2" w:rsidRPr="008935D4" w:rsidTr="00781025">
        <w:trPr>
          <w:trHeight w:val="693"/>
          <w:tblHeader/>
        </w:trPr>
        <w:tc>
          <w:tcPr>
            <w:tcW w:w="2009" w:type="pct"/>
            <w:vMerge/>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No 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737)</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515)</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No 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1,911)</w:t>
            </w:r>
          </w:p>
        </w:tc>
        <w:tc>
          <w:tcPr>
            <w:tcW w:w="747"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1,244)</w:t>
            </w:r>
          </w:p>
        </w:tc>
      </w:tr>
      <w:tr w:rsidR="001B5FE2" w:rsidRPr="008935D4" w:rsidTr="00781025">
        <w:trPr>
          <w:tblHeader/>
        </w:trPr>
        <w:tc>
          <w:tcPr>
            <w:tcW w:w="2009" w:type="pct"/>
            <w:vMerge/>
            <w:tcBorders>
              <w:bottom w:val="single" w:sz="4" w:space="0" w:color="auto"/>
            </w:tcBorders>
            <w:shd w:val="clear" w:color="auto" w:fill="auto"/>
            <w:vAlign w:val="center"/>
          </w:tcPr>
          <w:p w:rsidR="001B5FE2" w:rsidRPr="008935D4" w:rsidRDefault="001B5FE2" w:rsidP="00781025">
            <w:pPr>
              <w:pStyle w:val="Header"/>
              <w:spacing w:line="480" w:lineRule="auto"/>
              <w:ind w:left="342"/>
              <w:rPr>
                <w:rFonts w:ascii="Times New Roman" w:hAnsi="Times New Roman" w:cs="Times New Roman"/>
                <w:b/>
                <w:sz w:val="20"/>
                <w:szCs w:val="20"/>
              </w:rPr>
            </w:pPr>
          </w:p>
        </w:tc>
        <w:tc>
          <w:tcPr>
            <w:tcW w:w="748" w:type="pct"/>
            <w:tcBorders>
              <w:bottom w:val="single" w:sz="4" w:space="0" w:color="auto"/>
            </w:tcBorders>
            <w:shd w:val="clear" w:color="auto" w:fill="auto"/>
            <w:vAlign w:val="center"/>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7"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r>
      <w:tr w:rsidR="001B5FE2" w:rsidRPr="008935D4" w:rsidTr="00781025">
        <w:tc>
          <w:tcPr>
            <w:tcW w:w="2009" w:type="pct"/>
            <w:shd w:val="clear" w:color="auto" w:fill="auto"/>
          </w:tcPr>
          <w:p w:rsidR="001B5FE2" w:rsidRPr="008935D4" w:rsidRDefault="001B5FE2" w:rsidP="00781025">
            <w:pPr>
              <w:spacing w:line="480" w:lineRule="auto"/>
              <w:ind w:left="-18"/>
              <w:rPr>
                <w:rFonts w:ascii="Times New Roman" w:hAnsi="Times New Roman" w:cs="Times New Roman"/>
                <w:sz w:val="20"/>
                <w:szCs w:val="20"/>
              </w:rPr>
            </w:pPr>
            <w:r w:rsidRPr="008935D4">
              <w:rPr>
                <w:rFonts w:ascii="Times New Roman" w:hAnsi="Times New Roman" w:cs="Times New Roman"/>
                <w:sz w:val="20"/>
                <w:szCs w:val="20"/>
              </w:rPr>
              <w:t>Patients with at least 1 likely CV AE</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4 (0.5)</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10 (1.9)</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30 (1.6)</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24 (1.9)</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arrhythmias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(0.3)</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5 (1.0)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20 (1.0)</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17 (1.4)</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failure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(0.2)</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Cardiomyopathy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(0.2)</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12 (0.6)</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5 (0.4)</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Embolic and thrombotic events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Hypertension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(0.4)</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9 (0.5)</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4 (0.3)</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Ischemic heart disease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Pulmonary hypertension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lang w:val="fr-FR"/>
              </w:rPr>
            </w:pPr>
            <w:r w:rsidRPr="008935D4">
              <w:rPr>
                <w:rFonts w:ascii="Times New Roman" w:hAnsi="Times New Roman" w:cs="Times New Roman"/>
                <w:sz w:val="20"/>
                <w:szCs w:val="20"/>
                <w:lang w:val="fr-FR"/>
              </w:rPr>
              <w:t>Torsade de pointes/QT prolongation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 (0.2)</w:t>
            </w:r>
          </w:p>
        </w:tc>
      </w:tr>
      <w:tr w:rsidR="001B5FE2" w:rsidRPr="008935D4" w:rsidTr="00781025">
        <w:tc>
          <w:tcPr>
            <w:tcW w:w="2009" w:type="pct"/>
            <w:tcBorders>
              <w:bottom w:val="single" w:sz="4" w:space="0" w:color="auto"/>
            </w:tcBorders>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Any abdominal pain (PT)</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(0.4)</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7"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r>
    </w:tbl>
    <w:p w:rsidR="001B5FE2" w:rsidRPr="008935D4" w:rsidRDefault="001B5FE2" w:rsidP="001B5FE2">
      <w:pPr>
        <w:pStyle w:val="TableFootnote"/>
        <w:spacing w:line="480" w:lineRule="auto"/>
        <w:ind w:left="0" w:firstLine="0"/>
        <w:rPr>
          <w:sz w:val="18"/>
          <w:szCs w:val="18"/>
        </w:rPr>
      </w:pPr>
      <w:r w:rsidRPr="008935D4">
        <w:rPr>
          <w:i/>
          <w:iCs/>
          <w:sz w:val="18"/>
          <w:szCs w:val="18"/>
        </w:rPr>
        <w:t>AE</w:t>
      </w:r>
      <w:r w:rsidRPr="008935D4">
        <w:rPr>
          <w:sz w:val="18"/>
          <w:szCs w:val="18"/>
        </w:rPr>
        <w:t xml:space="preserve"> adverse event, </w:t>
      </w:r>
      <w:r w:rsidRPr="008935D4">
        <w:rPr>
          <w:i/>
          <w:iCs/>
          <w:sz w:val="18"/>
        </w:rPr>
        <w:t>CNS</w:t>
      </w:r>
      <w:r w:rsidRPr="008935D4">
        <w:rPr>
          <w:sz w:val="18"/>
        </w:rPr>
        <w:t> central nervous system,</w:t>
      </w:r>
      <w:r w:rsidRPr="008935D4">
        <w:rPr>
          <w:sz w:val="18"/>
          <w:szCs w:val="18"/>
        </w:rPr>
        <w:t xml:space="preserve"> </w:t>
      </w:r>
      <w:r w:rsidRPr="008935D4">
        <w:rPr>
          <w:i/>
          <w:iCs/>
          <w:sz w:val="18"/>
          <w:szCs w:val="18"/>
        </w:rPr>
        <w:t>CV </w:t>
      </w:r>
      <w:r w:rsidRPr="008935D4">
        <w:rPr>
          <w:sz w:val="18"/>
          <w:szCs w:val="18"/>
        </w:rPr>
        <w:t xml:space="preserve">cardiovascular, </w:t>
      </w:r>
      <w:r w:rsidRPr="008935D4">
        <w:rPr>
          <w:i/>
          <w:iCs/>
          <w:sz w:val="18"/>
          <w:szCs w:val="18"/>
        </w:rPr>
        <w:t>LTN </w:t>
      </w:r>
      <w:r w:rsidRPr="008935D4">
        <w:rPr>
          <w:sz w:val="18"/>
          <w:szCs w:val="18"/>
        </w:rPr>
        <w:t xml:space="preserve">lasmiditan, </w:t>
      </w:r>
      <w:r w:rsidRPr="008935D4">
        <w:rPr>
          <w:i/>
          <w:iCs/>
          <w:sz w:val="18"/>
        </w:rPr>
        <w:t>MedDRA</w:t>
      </w:r>
      <w:r w:rsidRPr="008935D4">
        <w:rPr>
          <w:sz w:val="18"/>
        </w:rPr>
        <w:t> Medical Dictionary for Drug Regulatory Activities,</w:t>
      </w:r>
      <w:r w:rsidRPr="008935D4">
        <w:rPr>
          <w:sz w:val="18"/>
          <w:szCs w:val="18"/>
        </w:rPr>
        <w:t xml:space="preserve"> </w:t>
      </w:r>
      <w:r w:rsidRPr="008935D4">
        <w:rPr>
          <w:i/>
          <w:iCs/>
          <w:sz w:val="18"/>
          <w:szCs w:val="18"/>
        </w:rPr>
        <w:t>N</w:t>
      </w:r>
      <w:r w:rsidRPr="008935D4">
        <w:rPr>
          <w:sz w:val="18"/>
          <w:szCs w:val="18"/>
        </w:rPr>
        <w:t xml:space="preserve"> number of patients in the analysis population, </w:t>
      </w:r>
      <w:r w:rsidRPr="008935D4">
        <w:rPr>
          <w:i/>
          <w:iCs/>
          <w:sz w:val="18"/>
          <w:szCs w:val="18"/>
        </w:rPr>
        <w:t>n</w:t>
      </w:r>
      <w:r w:rsidRPr="008935D4">
        <w:rPr>
          <w:sz w:val="18"/>
          <w:szCs w:val="18"/>
        </w:rPr>
        <w:t xml:space="preserve"> number of patients within each specific category, </w:t>
      </w:r>
      <w:r w:rsidRPr="008935D4">
        <w:rPr>
          <w:i/>
          <w:iCs/>
          <w:sz w:val="18"/>
          <w:szCs w:val="18"/>
        </w:rPr>
        <w:t>PT</w:t>
      </w:r>
      <w:r w:rsidRPr="008935D4">
        <w:rPr>
          <w:sz w:val="18"/>
          <w:szCs w:val="18"/>
        </w:rPr>
        <w:t xml:space="preserve"> Preferred Term, </w:t>
      </w:r>
      <w:r w:rsidRPr="008935D4">
        <w:rPr>
          <w:i/>
          <w:iCs/>
          <w:sz w:val="18"/>
          <w:szCs w:val="18"/>
        </w:rPr>
        <w:t>SMQ</w:t>
      </w:r>
      <w:r w:rsidRPr="008935D4">
        <w:rPr>
          <w:sz w:val="18"/>
          <w:szCs w:val="18"/>
        </w:rPr>
        <w:t> Standardized MedDRA Query.</w:t>
      </w:r>
    </w:p>
    <w:p w:rsidR="001B5FE2" w:rsidRPr="008935D4" w:rsidRDefault="001B5FE2" w:rsidP="001B5FE2">
      <w:pPr>
        <w:pStyle w:val="TableFootnote"/>
        <w:spacing w:line="480" w:lineRule="auto"/>
        <w:ind w:left="0" w:firstLine="0"/>
        <w:rPr>
          <w:sz w:val="18"/>
          <w:szCs w:val="18"/>
        </w:rPr>
      </w:pPr>
      <w:r w:rsidRPr="008935D4">
        <w:rPr>
          <w:sz w:val="18"/>
          <w:szCs w:val="18"/>
        </w:rPr>
        <w:lastRenderedPageBreak/>
        <w:t xml:space="preserve">Note: </w:t>
      </w:r>
      <w:r w:rsidRPr="008935D4">
        <w:rPr>
          <w:sz w:val="18"/>
        </w:rPr>
        <w:t>Likely CV AEs are from medical review out of potential CV AEs that are selected based on broad and narrow terms in the SMQs Cardiac arrhythmias, Cardiac failure, Cardiomyopathy, CNS vascular disorders, Embolic and thrombotic events, Hypertension, Ischemic heart disease, Pulmonary hypertension, and Torsade de pointes/QT prolongation and the PTs abdominal pain, abdominal pain upper, and abdominal pain lower.</w:t>
      </w:r>
    </w:p>
    <w:p w:rsidR="001B5FE2" w:rsidRPr="008935D4" w:rsidRDefault="001B5FE2" w:rsidP="001B5FE2">
      <w:pPr>
        <w:pStyle w:val="TableFootnote"/>
        <w:spacing w:line="480" w:lineRule="auto"/>
        <w:rPr>
          <w:sz w:val="18"/>
          <w:szCs w:val="18"/>
        </w:rPr>
      </w:pPr>
      <w:r w:rsidRPr="008935D4">
        <w:rPr>
          <w:sz w:val="18"/>
          <w:szCs w:val="18"/>
        </w:rPr>
        <w:t xml:space="preserve">Note: Any abdominal pain </w:t>
      </w:r>
      <w:r w:rsidRPr="008935D4">
        <w:rPr>
          <w:sz w:val="18"/>
        </w:rPr>
        <w:t>(PT)</w:t>
      </w:r>
      <w:r w:rsidRPr="008935D4">
        <w:rPr>
          <w:sz w:val="18"/>
          <w:szCs w:val="18"/>
        </w:rPr>
        <w:t xml:space="preserve"> consists of the PTs abdominal pain, abdominal pain upper, and abdominal pain lower.</w:t>
      </w:r>
    </w:p>
    <w:p w:rsidR="001B5FE2" w:rsidRPr="008935D4" w:rsidRDefault="001B5FE2" w:rsidP="001B5FE2">
      <w:pPr>
        <w:pStyle w:val="TableFootnote"/>
        <w:spacing w:line="480" w:lineRule="auto"/>
        <w:rPr>
          <w:sz w:val="18"/>
          <w:szCs w:val="18"/>
        </w:rPr>
      </w:pPr>
      <w:r w:rsidRPr="008935D4">
        <w:rPr>
          <w:sz w:val="18"/>
          <w:szCs w:val="18"/>
        </w:rPr>
        <w:t xml:space="preserve">Note: Patients were categorized based on International Headache Society Diagnostic Criteria: Migraine with Aura (Yes/No). </w:t>
      </w:r>
    </w:p>
    <w:p w:rsidR="001B5FE2" w:rsidRPr="008935D4" w:rsidRDefault="001B5FE2" w:rsidP="001B5FE2">
      <w:pPr>
        <w:pStyle w:val="TableFootnote"/>
        <w:spacing w:line="480" w:lineRule="auto"/>
        <w:rPr>
          <w:sz w:val="18"/>
          <w:szCs w:val="18"/>
        </w:rPr>
      </w:pPr>
      <w:r w:rsidRPr="008935D4">
        <w:rPr>
          <w:sz w:val="18"/>
          <w:szCs w:val="18"/>
        </w:rPr>
        <w:t>MedDRA version 21.0.</w:t>
      </w:r>
    </w:p>
    <w:p w:rsidR="001B5FE2" w:rsidRPr="008935D4" w:rsidRDefault="001B5FE2" w:rsidP="001B5FE2">
      <w:pPr>
        <w:pStyle w:val="TableFootnote"/>
        <w:spacing w:line="480" w:lineRule="auto"/>
        <w:rPr>
          <w:sz w:val="18"/>
          <w:szCs w:val="18"/>
        </w:rPr>
      </w:pPr>
    </w:p>
    <w:p w:rsidR="001B5FE2" w:rsidRPr="008935D4" w:rsidRDefault="001B5FE2" w:rsidP="001B5FE2">
      <w:pPr>
        <w:spacing w:line="480" w:lineRule="auto"/>
        <w:rPr>
          <w:rFonts w:ascii="Times New Roman" w:hAnsi="Times New Roman" w:cs="Times New Roman"/>
        </w:rPr>
        <w:sectPr w:rsidR="001B5FE2" w:rsidRPr="008935D4" w:rsidSect="00484108">
          <w:type w:val="continuous"/>
          <w:pgSz w:w="15840" w:h="12240" w:orient="landscape"/>
          <w:pgMar w:top="1440" w:right="1440" w:bottom="1440" w:left="1440" w:header="720" w:footer="720" w:gutter="0"/>
          <w:cols w:space="720"/>
          <w:docGrid w:linePitch="360"/>
        </w:sectPr>
      </w:pPr>
    </w:p>
    <w:p w:rsidR="001B5FE2" w:rsidRPr="008935D4" w:rsidRDefault="001B5FE2" w:rsidP="001B5FE2">
      <w:pPr>
        <w:pStyle w:val="Caption"/>
        <w:spacing w:line="480" w:lineRule="auto"/>
        <w:rPr>
          <w:rFonts w:ascii="Times New Roman" w:hAnsi="Times New Roman" w:cs="Times New Roman"/>
          <w:b/>
          <w:i w:val="0"/>
          <w:color w:val="auto"/>
          <w:sz w:val="24"/>
          <w:szCs w:val="24"/>
        </w:rPr>
      </w:pPr>
      <w:bookmarkStart w:id="5" w:name="SuppTable5"/>
      <w:r w:rsidRPr="008935D4">
        <w:rPr>
          <w:rFonts w:ascii="Times New Roman" w:hAnsi="Times New Roman" w:cs="Times New Roman"/>
          <w:b/>
          <w:i w:val="0"/>
          <w:color w:val="auto"/>
          <w:sz w:val="24"/>
          <w:szCs w:val="24"/>
        </w:rPr>
        <w:lastRenderedPageBreak/>
        <w:t>Supplemental Table 5</w:t>
      </w:r>
      <w:bookmarkEnd w:id="5"/>
      <w:r w:rsidRPr="008935D4">
        <w:rPr>
          <w:rFonts w:ascii="Times New Roman" w:hAnsi="Times New Roman" w:cs="Times New Roman"/>
          <w:b/>
          <w:i w:val="0"/>
          <w:color w:val="auto"/>
          <w:sz w:val="24"/>
          <w:szCs w:val="24"/>
        </w:rPr>
        <w:t xml:space="preserve"> </w:t>
      </w:r>
      <w:r w:rsidRPr="008935D4">
        <w:rPr>
          <w:rFonts w:ascii="Times New Roman" w:hAnsi="Times New Roman" w:cs="Times New Roman"/>
          <w:bCs/>
          <w:i w:val="0"/>
          <w:color w:val="auto"/>
          <w:sz w:val="24"/>
          <w:szCs w:val="24"/>
        </w:rPr>
        <w:t>Summary of likely cardiovascular treatment-emergent adverse events within Standardized MedDRA Queries/Preferred Terms in patients with and without aura</w:t>
      </w:r>
    </w:p>
    <w:tbl>
      <w:tblPr>
        <w:tblW w:w="5000" w:type="pct"/>
        <w:tblLook w:val="04A0" w:firstRow="1" w:lastRow="0" w:firstColumn="1" w:lastColumn="0" w:noHBand="0" w:noVBand="1"/>
      </w:tblPr>
      <w:tblGrid>
        <w:gridCol w:w="5295"/>
        <w:gridCol w:w="1971"/>
        <w:gridCol w:w="1971"/>
        <w:gridCol w:w="1971"/>
        <w:gridCol w:w="1968"/>
      </w:tblGrid>
      <w:tr w:rsidR="001B5FE2" w:rsidRPr="008935D4" w:rsidTr="00781025">
        <w:trPr>
          <w:trHeight w:val="693"/>
          <w:tblHeader/>
        </w:trPr>
        <w:tc>
          <w:tcPr>
            <w:tcW w:w="2009" w:type="pct"/>
            <w:vMerge w:val="restart"/>
            <w:tcBorders>
              <w:top w:val="single" w:sz="4" w:space="0" w:color="auto"/>
            </w:tcBorders>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r w:rsidRPr="008935D4">
              <w:rPr>
                <w:rFonts w:ascii="Times New Roman" w:hAnsi="Times New Roman" w:cs="Times New Roman"/>
                <w:b/>
                <w:sz w:val="20"/>
                <w:szCs w:val="20"/>
              </w:rPr>
              <w:t>Standardized MedDRA Query</w:t>
            </w:r>
          </w:p>
          <w:p w:rsidR="001B5FE2" w:rsidRPr="008935D4" w:rsidRDefault="001B5FE2" w:rsidP="00781025">
            <w:pPr>
              <w:pStyle w:val="Header"/>
              <w:spacing w:line="480" w:lineRule="auto"/>
              <w:ind w:left="342"/>
              <w:rPr>
                <w:rFonts w:ascii="Times New Roman" w:hAnsi="Times New Roman" w:cs="Times New Roman"/>
                <w:b/>
                <w:sz w:val="20"/>
                <w:szCs w:val="20"/>
              </w:rPr>
            </w:pPr>
            <w:r w:rsidRPr="008935D4">
              <w:rPr>
                <w:rFonts w:ascii="Times New Roman" w:hAnsi="Times New Roman" w:cs="Times New Roman"/>
                <w:b/>
                <w:sz w:val="20"/>
                <w:szCs w:val="20"/>
              </w:rPr>
              <w:t>Preferred Term</w:t>
            </w:r>
          </w:p>
        </w:tc>
        <w:tc>
          <w:tcPr>
            <w:tcW w:w="1496" w:type="pct"/>
            <w:gridSpan w:val="2"/>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Placebo</w:t>
            </w:r>
          </w:p>
        </w:tc>
        <w:tc>
          <w:tcPr>
            <w:tcW w:w="1495" w:type="pct"/>
            <w:gridSpan w:val="2"/>
            <w:tcBorders>
              <w:top w:val="single" w:sz="4" w:space="0" w:color="auto"/>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All LTN</w:t>
            </w:r>
          </w:p>
        </w:tc>
      </w:tr>
      <w:tr w:rsidR="001B5FE2" w:rsidRPr="008935D4" w:rsidTr="00781025">
        <w:trPr>
          <w:trHeight w:val="693"/>
          <w:tblHeader/>
        </w:trPr>
        <w:tc>
          <w:tcPr>
            <w:tcW w:w="2009" w:type="pct"/>
            <w:vMerge/>
            <w:shd w:val="clear" w:color="auto" w:fill="auto"/>
          </w:tcPr>
          <w:p w:rsidR="001B5FE2" w:rsidRPr="008935D4" w:rsidRDefault="001B5FE2" w:rsidP="00781025">
            <w:pPr>
              <w:pStyle w:val="Header"/>
              <w:spacing w:line="480" w:lineRule="auto"/>
              <w:rPr>
                <w:rFonts w:ascii="Times New Roman" w:hAnsi="Times New Roman" w:cs="Times New Roman"/>
                <w:b/>
                <w:sz w:val="20"/>
                <w:szCs w:val="20"/>
              </w:rPr>
            </w:pP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No 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737)</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515)</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No 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1,911)</w:t>
            </w:r>
          </w:p>
        </w:tc>
        <w:tc>
          <w:tcPr>
            <w:tcW w:w="747"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sz w:val="20"/>
                <w:szCs w:val="20"/>
              </w:rPr>
              <w:t>Aura</w:t>
            </w:r>
            <w:r w:rsidRPr="008935D4">
              <w:rPr>
                <w:rFonts w:ascii="Times New Roman" w:hAnsi="Times New Roman" w:cs="Times New Roman"/>
                <w:b/>
                <w:sz w:val="20"/>
                <w:szCs w:val="20"/>
              </w:rPr>
              <w:br/>
              <w:t>(</w:t>
            </w:r>
            <w:r w:rsidRPr="008935D4">
              <w:rPr>
                <w:rFonts w:ascii="Times New Roman" w:hAnsi="Times New Roman" w:cs="Times New Roman"/>
                <w:b/>
                <w:i/>
                <w:iCs/>
                <w:sz w:val="20"/>
                <w:szCs w:val="20"/>
              </w:rPr>
              <w:t>N</w:t>
            </w:r>
            <w:r w:rsidRPr="008935D4">
              <w:rPr>
                <w:rFonts w:ascii="Times New Roman" w:hAnsi="Times New Roman" w:cs="Times New Roman"/>
                <w:b/>
                <w:sz w:val="20"/>
                <w:szCs w:val="20"/>
              </w:rPr>
              <w:t> = 1,244)</w:t>
            </w:r>
          </w:p>
        </w:tc>
      </w:tr>
      <w:tr w:rsidR="001B5FE2" w:rsidRPr="008935D4" w:rsidTr="00781025">
        <w:trPr>
          <w:tblHeader/>
        </w:trPr>
        <w:tc>
          <w:tcPr>
            <w:tcW w:w="2009" w:type="pct"/>
            <w:vMerge/>
            <w:tcBorders>
              <w:bottom w:val="single" w:sz="4" w:space="0" w:color="auto"/>
            </w:tcBorders>
            <w:shd w:val="clear" w:color="auto" w:fill="auto"/>
            <w:vAlign w:val="center"/>
          </w:tcPr>
          <w:p w:rsidR="001B5FE2" w:rsidRPr="008935D4" w:rsidRDefault="001B5FE2" w:rsidP="00781025">
            <w:pPr>
              <w:pStyle w:val="Header"/>
              <w:spacing w:line="480" w:lineRule="auto"/>
              <w:ind w:left="342"/>
              <w:rPr>
                <w:rFonts w:ascii="Times New Roman" w:hAnsi="Times New Roman" w:cs="Times New Roman"/>
                <w:b/>
                <w:sz w:val="20"/>
                <w:szCs w:val="20"/>
              </w:rPr>
            </w:pPr>
          </w:p>
        </w:tc>
        <w:tc>
          <w:tcPr>
            <w:tcW w:w="748" w:type="pct"/>
            <w:tcBorders>
              <w:bottom w:val="single" w:sz="4" w:space="0" w:color="auto"/>
            </w:tcBorders>
            <w:shd w:val="clear" w:color="auto" w:fill="auto"/>
            <w:vAlign w:val="center"/>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8"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c>
          <w:tcPr>
            <w:tcW w:w="747" w:type="pct"/>
            <w:tcBorders>
              <w:bottom w:val="single" w:sz="4" w:space="0" w:color="auto"/>
            </w:tcBorders>
            <w:shd w:val="clear" w:color="auto" w:fill="auto"/>
          </w:tcPr>
          <w:p w:rsidR="001B5FE2" w:rsidRPr="008935D4" w:rsidRDefault="001B5FE2" w:rsidP="00781025">
            <w:pPr>
              <w:pStyle w:val="Header"/>
              <w:spacing w:line="480" w:lineRule="auto"/>
              <w:jc w:val="center"/>
              <w:rPr>
                <w:rFonts w:ascii="Times New Roman" w:hAnsi="Times New Roman" w:cs="Times New Roman"/>
                <w:b/>
                <w:sz w:val="20"/>
                <w:szCs w:val="20"/>
              </w:rPr>
            </w:pPr>
            <w:r w:rsidRPr="008935D4">
              <w:rPr>
                <w:rFonts w:ascii="Times New Roman" w:hAnsi="Times New Roman" w:cs="Times New Roman"/>
                <w:b/>
                <w:i/>
                <w:sz w:val="20"/>
                <w:szCs w:val="20"/>
              </w:rPr>
              <w:t>n</w:t>
            </w:r>
            <w:r w:rsidRPr="008935D4">
              <w:rPr>
                <w:rFonts w:ascii="Times New Roman" w:hAnsi="Times New Roman" w:cs="Times New Roman"/>
                <w:b/>
                <w:sz w:val="20"/>
                <w:szCs w:val="20"/>
              </w:rPr>
              <w:t xml:space="preserve"> (%)</w:t>
            </w:r>
          </w:p>
        </w:tc>
      </w:tr>
      <w:tr w:rsidR="001B5FE2" w:rsidRPr="008935D4" w:rsidTr="00781025">
        <w:tc>
          <w:tcPr>
            <w:tcW w:w="2009" w:type="pct"/>
            <w:shd w:val="clear" w:color="auto" w:fill="auto"/>
          </w:tcPr>
          <w:p w:rsidR="001B5FE2" w:rsidRPr="008935D4" w:rsidRDefault="001B5FE2" w:rsidP="00781025">
            <w:pPr>
              <w:spacing w:line="480" w:lineRule="auto"/>
              <w:ind w:left="-18"/>
              <w:rPr>
                <w:rFonts w:ascii="Times New Roman" w:hAnsi="Times New Roman" w:cs="Times New Roman"/>
                <w:sz w:val="20"/>
                <w:szCs w:val="20"/>
              </w:rPr>
            </w:pPr>
            <w:r w:rsidRPr="008935D4">
              <w:rPr>
                <w:rFonts w:ascii="Times New Roman" w:hAnsi="Times New Roman" w:cs="Times New Roman"/>
                <w:sz w:val="20"/>
                <w:szCs w:val="20"/>
              </w:rPr>
              <w:t>Patients with at least 1 likely CV TEAE</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3 (0.6)</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18 (0.9)</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11 (0.9)</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Cardiac arrhythmias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(0.4)</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16 (0.8)</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10 (0.8)</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Cardiomyopathy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(0.2)</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9 (0.5)</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4 (0.3)</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Hypertension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2 (0.1)</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r>
      <w:tr w:rsidR="001B5FE2" w:rsidRPr="008935D4" w:rsidTr="00781025">
        <w:tc>
          <w:tcPr>
            <w:tcW w:w="2009" w:type="pct"/>
            <w:shd w:val="clear" w:color="auto" w:fill="auto"/>
          </w:tcPr>
          <w:p w:rsidR="001B5FE2" w:rsidRPr="008935D4" w:rsidRDefault="001B5FE2" w:rsidP="00781025">
            <w:pPr>
              <w:spacing w:line="480" w:lineRule="auto"/>
              <w:ind w:left="162"/>
              <w:rPr>
                <w:rFonts w:ascii="Times New Roman" w:hAnsi="Times New Roman" w:cs="Times New Roman"/>
                <w:sz w:val="20"/>
                <w:szCs w:val="20"/>
                <w:lang w:val="fr-FR"/>
              </w:rPr>
            </w:pPr>
            <w:r w:rsidRPr="008935D4">
              <w:rPr>
                <w:rFonts w:ascii="Times New Roman" w:hAnsi="Times New Roman" w:cs="Times New Roman"/>
                <w:sz w:val="20"/>
                <w:szCs w:val="20"/>
                <w:lang w:val="fr-FR"/>
              </w:rPr>
              <w:lastRenderedPageBreak/>
              <w:t>Torsade de pointes/QT prolongation (SMQ)</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(0.1)</w:t>
            </w:r>
          </w:p>
        </w:tc>
        <w:tc>
          <w:tcPr>
            <w:tcW w:w="747" w:type="pct"/>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r>
      <w:tr w:rsidR="001B5FE2" w:rsidRPr="008935D4" w:rsidTr="00781025">
        <w:tc>
          <w:tcPr>
            <w:tcW w:w="2009" w:type="pct"/>
            <w:tcBorders>
              <w:bottom w:val="single" w:sz="4" w:space="0" w:color="auto"/>
            </w:tcBorders>
            <w:shd w:val="clear" w:color="auto" w:fill="auto"/>
          </w:tcPr>
          <w:p w:rsidR="001B5FE2" w:rsidRPr="008935D4" w:rsidRDefault="001B5FE2" w:rsidP="00781025">
            <w:pPr>
              <w:spacing w:line="480" w:lineRule="auto"/>
              <w:ind w:left="162"/>
              <w:rPr>
                <w:rFonts w:ascii="Times New Roman" w:hAnsi="Times New Roman" w:cs="Times New Roman"/>
                <w:sz w:val="20"/>
                <w:szCs w:val="20"/>
              </w:rPr>
            </w:pPr>
            <w:r w:rsidRPr="008935D4">
              <w:rPr>
                <w:rFonts w:ascii="Times New Roman" w:hAnsi="Times New Roman" w:cs="Times New Roman"/>
                <w:sz w:val="20"/>
                <w:szCs w:val="20"/>
              </w:rPr>
              <w:t>Any abdominal pain (PT)</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1 (0.2)</w:t>
            </w:r>
          </w:p>
        </w:tc>
        <w:tc>
          <w:tcPr>
            <w:tcW w:w="748"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c>
          <w:tcPr>
            <w:tcW w:w="747" w:type="pct"/>
            <w:tcBorders>
              <w:bottom w:val="single" w:sz="4" w:space="0" w:color="auto"/>
            </w:tcBorders>
            <w:shd w:val="clear" w:color="auto" w:fill="auto"/>
          </w:tcPr>
          <w:p w:rsidR="001B5FE2" w:rsidRPr="008935D4" w:rsidRDefault="001B5FE2" w:rsidP="00781025">
            <w:pPr>
              <w:spacing w:line="480" w:lineRule="auto"/>
              <w:jc w:val="center"/>
              <w:rPr>
                <w:rFonts w:ascii="Times New Roman" w:hAnsi="Times New Roman" w:cs="Times New Roman"/>
                <w:sz w:val="20"/>
                <w:szCs w:val="20"/>
              </w:rPr>
            </w:pPr>
            <w:r w:rsidRPr="008935D4">
              <w:rPr>
                <w:rFonts w:ascii="Times New Roman" w:hAnsi="Times New Roman" w:cs="Times New Roman"/>
                <w:sz w:val="20"/>
                <w:szCs w:val="20"/>
              </w:rPr>
              <w:t>0 (0.0)</w:t>
            </w:r>
          </w:p>
        </w:tc>
      </w:tr>
    </w:tbl>
    <w:p w:rsidR="001B5FE2" w:rsidRPr="008935D4" w:rsidRDefault="001B5FE2" w:rsidP="001B5FE2">
      <w:pPr>
        <w:pStyle w:val="TableFootnote"/>
        <w:spacing w:line="480" w:lineRule="auto"/>
        <w:ind w:left="0" w:firstLine="0"/>
        <w:rPr>
          <w:sz w:val="18"/>
          <w:szCs w:val="18"/>
        </w:rPr>
      </w:pPr>
      <w:r w:rsidRPr="008935D4">
        <w:rPr>
          <w:i/>
          <w:iCs/>
          <w:sz w:val="18"/>
          <w:szCs w:val="18"/>
        </w:rPr>
        <w:t>AE</w:t>
      </w:r>
      <w:r w:rsidRPr="008935D4">
        <w:rPr>
          <w:sz w:val="18"/>
          <w:szCs w:val="18"/>
        </w:rPr>
        <w:t xml:space="preserve"> adverse event, </w:t>
      </w:r>
      <w:r w:rsidRPr="008935D4">
        <w:rPr>
          <w:i/>
          <w:iCs/>
          <w:sz w:val="18"/>
        </w:rPr>
        <w:t>CNS</w:t>
      </w:r>
      <w:r w:rsidRPr="008935D4">
        <w:rPr>
          <w:sz w:val="18"/>
        </w:rPr>
        <w:t> central nervous system,</w:t>
      </w:r>
      <w:r w:rsidRPr="008935D4">
        <w:rPr>
          <w:sz w:val="18"/>
          <w:szCs w:val="18"/>
        </w:rPr>
        <w:t xml:space="preserve"> </w:t>
      </w:r>
      <w:r w:rsidRPr="008935D4">
        <w:rPr>
          <w:i/>
          <w:iCs/>
          <w:sz w:val="18"/>
          <w:szCs w:val="18"/>
        </w:rPr>
        <w:t>CV</w:t>
      </w:r>
      <w:r w:rsidRPr="008935D4">
        <w:rPr>
          <w:sz w:val="18"/>
          <w:szCs w:val="18"/>
        </w:rPr>
        <w:t xml:space="preserve"> cardiovascular, </w:t>
      </w:r>
      <w:r w:rsidRPr="008935D4">
        <w:rPr>
          <w:i/>
          <w:iCs/>
          <w:sz w:val="18"/>
          <w:szCs w:val="18"/>
        </w:rPr>
        <w:t>LTN</w:t>
      </w:r>
      <w:r w:rsidRPr="008935D4">
        <w:rPr>
          <w:sz w:val="18"/>
          <w:szCs w:val="18"/>
        </w:rPr>
        <w:t xml:space="preserve"> lasmiditan, </w:t>
      </w:r>
      <w:r w:rsidRPr="008935D4">
        <w:rPr>
          <w:i/>
          <w:iCs/>
          <w:sz w:val="18"/>
        </w:rPr>
        <w:t>MedDRA</w:t>
      </w:r>
      <w:r w:rsidRPr="008935D4">
        <w:rPr>
          <w:sz w:val="18"/>
        </w:rPr>
        <w:t> Medical Dictionary for Drug Regulatory Activities,</w:t>
      </w:r>
      <w:r w:rsidRPr="008935D4">
        <w:rPr>
          <w:sz w:val="18"/>
          <w:szCs w:val="18"/>
        </w:rPr>
        <w:t xml:space="preserve"> </w:t>
      </w:r>
      <w:r w:rsidRPr="008935D4">
        <w:rPr>
          <w:i/>
          <w:iCs/>
          <w:sz w:val="18"/>
          <w:szCs w:val="18"/>
        </w:rPr>
        <w:t>N</w:t>
      </w:r>
      <w:r w:rsidRPr="008935D4">
        <w:rPr>
          <w:sz w:val="18"/>
          <w:szCs w:val="18"/>
        </w:rPr>
        <w:t xml:space="preserve"> number of patients in the analysis population, </w:t>
      </w:r>
      <w:r w:rsidRPr="008935D4">
        <w:rPr>
          <w:i/>
          <w:iCs/>
          <w:sz w:val="18"/>
          <w:szCs w:val="18"/>
        </w:rPr>
        <w:t>n</w:t>
      </w:r>
      <w:r w:rsidRPr="008935D4">
        <w:rPr>
          <w:sz w:val="18"/>
          <w:szCs w:val="18"/>
        </w:rPr>
        <w:t xml:space="preserve"> number of patients within each specific category, </w:t>
      </w:r>
      <w:r w:rsidRPr="008935D4">
        <w:rPr>
          <w:i/>
          <w:iCs/>
          <w:sz w:val="18"/>
          <w:szCs w:val="18"/>
        </w:rPr>
        <w:t>PT</w:t>
      </w:r>
      <w:r w:rsidRPr="008935D4">
        <w:rPr>
          <w:sz w:val="18"/>
          <w:szCs w:val="18"/>
        </w:rPr>
        <w:t xml:space="preserve"> Preferred Term, </w:t>
      </w:r>
      <w:r w:rsidRPr="008935D4">
        <w:rPr>
          <w:i/>
          <w:iCs/>
          <w:sz w:val="18"/>
          <w:szCs w:val="18"/>
        </w:rPr>
        <w:t>SMQ</w:t>
      </w:r>
      <w:r w:rsidRPr="008935D4">
        <w:rPr>
          <w:sz w:val="18"/>
          <w:szCs w:val="18"/>
        </w:rPr>
        <w:t xml:space="preserve"> Standardized MedDRA Query, </w:t>
      </w:r>
      <w:r w:rsidRPr="008935D4">
        <w:rPr>
          <w:i/>
          <w:iCs/>
          <w:sz w:val="18"/>
          <w:szCs w:val="18"/>
        </w:rPr>
        <w:t>TEAE</w:t>
      </w:r>
      <w:r w:rsidRPr="008935D4">
        <w:rPr>
          <w:sz w:val="18"/>
          <w:szCs w:val="18"/>
        </w:rPr>
        <w:t> treatment-emergent adverse event</w:t>
      </w:r>
    </w:p>
    <w:p w:rsidR="001B5FE2" w:rsidRPr="008935D4" w:rsidRDefault="001B5FE2" w:rsidP="001B5FE2">
      <w:pPr>
        <w:pStyle w:val="TableFootnote"/>
        <w:spacing w:line="480" w:lineRule="auto"/>
        <w:ind w:left="0" w:firstLine="0"/>
        <w:rPr>
          <w:sz w:val="18"/>
          <w:szCs w:val="18"/>
        </w:rPr>
      </w:pPr>
      <w:r w:rsidRPr="008935D4">
        <w:rPr>
          <w:sz w:val="18"/>
          <w:szCs w:val="18"/>
        </w:rPr>
        <w:t xml:space="preserve">Note: </w:t>
      </w:r>
      <w:r w:rsidRPr="008935D4">
        <w:rPr>
          <w:sz w:val="18"/>
        </w:rPr>
        <w:t>Likely CV AEs are from medical review out of potential CV AEs that are selected based on broad and narrow terms in the SMQs Cardiac arrhythmias, Cardiac failure, Cardiomyopathy, CNS vascular disorders, Embolic and thrombotic events, Hypertension, Ischemic heart disease, Pulmonary hypertension, and Torsade de pointes/QT prolongation and the PTs abdominal pain, abdominal pain upper, and abdominal pain lower.</w:t>
      </w:r>
    </w:p>
    <w:p w:rsidR="001B5FE2" w:rsidRPr="008935D4" w:rsidRDefault="001B5FE2" w:rsidP="001B5FE2">
      <w:pPr>
        <w:pStyle w:val="TableFootnote"/>
        <w:spacing w:line="480" w:lineRule="auto"/>
        <w:rPr>
          <w:sz w:val="18"/>
          <w:szCs w:val="18"/>
        </w:rPr>
      </w:pPr>
      <w:r w:rsidRPr="008935D4">
        <w:rPr>
          <w:sz w:val="18"/>
          <w:szCs w:val="18"/>
        </w:rPr>
        <w:t xml:space="preserve">Note: Any abdominal pain </w:t>
      </w:r>
      <w:r w:rsidRPr="008935D4">
        <w:rPr>
          <w:sz w:val="18"/>
        </w:rPr>
        <w:t>(PT)</w:t>
      </w:r>
      <w:r w:rsidRPr="008935D4">
        <w:rPr>
          <w:sz w:val="18"/>
          <w:szCs w:val="18"/>
        </w:rPr>
        <w:t xml:space="preserve"> consists of the PTs abdominal pain, abdominal pain upper, and abdominal pain lower.</w:t>
      </w:r>
    </w:p>
    <w:p w:rsidR="001B5FE2" w:rsidRPr="008935D4" w:rsidRDefault="001B5FE2" w:rsidP="001B5FE2">
      <w:pPr>
        <w:pStyle w:val="TableFootnote"/>
        <w:spacing w:line="480" w:lineRule="auto"/>
        <w:rPr>
          <w:sz w:val="18"/>
          <w:szCs w:val="18"/>
        </w:rPr>
      </w:pPr>
      <w:r w:rsidRPr="008935D4">
        <w:rPr>
          <w:sz w:val="18"/>
          <w:szCs w:val="18"/>
        </w:rPr>
        <w:t xml:space="preserve">Note: Patients were categorized based on International Headache Society Diagnostic Criteria: Migraine with Aura (Yes/No). </w:t>
      </w:r>
    </w:p>
    <w:p w:rsidR="001B5FE2" w:rsidRPr="008935D4" w:rsidRDefault="001B5FE2" w:rsidP="001B5FE2">
      <w:pPr>
        <w:spacing w:line="480" w:lineRule="auto"/>
        <w:rPr>
          <w:rFonts w:ascii="Times New Roman" w:hAnsi="Times New Roman" w:cs="Times New Roman"/>
        </w:rPr>
      </w:pPr>
      <w:r w:rsidRPr="008935D4">
        <w:rPr>
          <w:rFonts w:ascii="Times New Roman" w:hAnsi="Times New Roman" w:cs="Times New Roman"/>
          <w:sz w:val="18"/>
          <w:szCs w:val="18"/>
        </w:rPr>
        <w:t>MedDRA version 21.0.</w:t>
      </w:r>
    </w:p>
    <w:p w:rsidR="006C1450" w:rsidRDefault="006C1450"/>
    <w:sectPr w:rsidR="006C1450" w:rsidSect="004841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14"/>
    <w:multiLevelType w:val="hybridMultilevel"/>
    <w:tmpl w:val="FCB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37220"/>
    <w:multiLevelType w:val="hybridMultilevel"/>
    <w:tmpl w:val="ECFAC364"/>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B0A"/>
    <w:multiLevelType w:val="hybridMultilevel"/>
    <w:tmpl w:val="C59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03F6A"/>
    <w:multiLevelType w:val="hybridMultilevel"/>
    <w:tmpl w:val="03285194"/>
    <w:lvl w:ilvl="0" w:tplc="2A1CC02E">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062E"/>
    <w:multiLevelType w:val="hybridMultilevel"/>
    <w:tmpl w:val="EB5E19CE"/>
    <w:lvl w:ilvl="0" w:tplc="2A1CC02E">
      <w:numFmt w:val="bullet"/>
      <w:lvlText w:val="•"/>
      <w:lvlJc w:val="left"/>
      <w:pPr>
        <w:ind w:left="1440" w:hanging="720"/>
      </w:pPr>
      <w:rPr>
        <w:rFonts w:ascii="Arial" w:eastAsia="SimSun" w:hAnsi="Arial" w:cs="Arial" w:hint="default"/>
      </w:rPr>
    </w:lvl>
    <w:lvl w:ilvl="1" w:tplc="41943372">
      <w:numFmt w:val="bullet"/>
      <w:lvlText w:val=""/>
      <w:lvlJc w:val="left"/>
      <w:pPr>
        <w:ind w:left="1800" w:hanging="720"/>
      </w:pPr>
      <w:rPr>
        <w:rFonts w:ascii="Symbol" w:eastAsia="SimSu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65E7"/>
    <w:multiLevelType w:val="hybridMultilevel"/>
    <w:tmpl w:val="47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04C39"/>
    <w:multiLevelType w:val="hybridMultilevel"/>
    <w:tmpl w:val="FCCE06F0"/>
    <w:lvl w:ilvl="0" w:tplc="2A1CC02E">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45962"/>
    <w:multiLevelType w:val="hybridMultilevel"/>
    <w:tmpl w:val="9D0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14914"/>
    <w:multiLevelType w:val="hybridMultilevel"/>
    <w:tmpl w:val="A790C346"/>
    <w:lvl w:ilvl="0" w:tplc="2A1CC02E">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40285"/>
    <w:multiLevelType w:val="hybridMultilevel"/>
    <w:tmpl w:val="7C2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C4D22"/>
    <w:multiLevelType w:val="hybridMultilevel"/>
    <w:tmpl w:val="CC58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B07AE6"/>
    <w:multiLevelType w:val="hybridMultilevel"/>
    <w:tmpl w:val="DCFA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15EFE"/>
    <w:multiLevelType w:val="hybridMultilevel"/>
    <w:tmpl w:val="8D7E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C6AA2"/>
    <w:multiLevelType w:val="hybridMultilevel"/>
    <w:tmpl w:val="8D7E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C69D1"/>
    <w:multiLevelType w:val="hybridMultilevel"/>
    <w:tmpl w:val="57DAC7CA"/>
    <w:lvl w:ilvl="0" w:tplc="2A1CC02E">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0A7023"/>
    <w:multiLevelType w:val="hybridMultilevel"/>
    <w:tmpl w:val="7C5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60951"/>
    <w:multiLevelType w:val="hybridMultilevel"/>
    <w:tmpl w:val="4D4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E6BED"/>
    <w:multiLevelType w:val="hybridMultilevel"/>
    <w:tmpl w:val="43D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E1E73"/>
    <w:multiLevelType w:val="hybridMultilevel"/>
    <w:tmpl w:val="C8D67220"/>
    <w:lvl w:ilvl="0" w:tplc="F8BAB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10044"/>
    <w:multiLevelType w:val="hybridMultilevel"/>
    <w:tmpl w:val="DE6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806BC"/>
    <w:multiLevelType w:val="hybridMultilevel"/>
    <w:tmpl w:val="042448AC"/>
    <w:lvl w:ilvl="0" w:tplc="2A1CC02E">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2344E"/>
    <w:multiLevelType w:val="multilevel"/>
    <w:tmpl w:val="B29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614A6"/>
    <w:multiLevelType w:val="hybridMultilevel"/>
    <w:tmpl w:val="4872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E2EC0"/>
    <w:multiLevelType w:val="hybridMultilevel"/>
    <w:tmpl w:val="3CA63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52D7E"/>
    <w:multiLevelType w:val="hybridMultilevel"/>
    <w:tmpl w:val="DA9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F7A31"/>
    <w:multiLevelType w:val="hybridMultilevel"/>
    <w:tmpl w:val="2C88A96C"/>
    <w:lvl w:ilvl="0" w:tplc="452C3D6E">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5234C"/>
    <w:multiLevelType w:val="hybridMultilevel"/>
    <w:tmpl w:val="AB8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C4E80"/>
    <w:multiLevelType w:val="hybridMultilevel"/>
    <w:tmpl w:val="2702F7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0221A4"/>
    <w:multiLevelType w:val="hybridMultilevel"/>
    <w:tmpl w:val="867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E3708"/>
    <w:multiLevelType w:val="hybridMultilevel"/>
    <w:tmpl w:val="F16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17"/>
  </w:num>
  <w:num w:numId="5">
    <w:abstractNumId w:val="11"/>
  </w:num>
  <w:num w:numId="6">
    <w:abstractNumId w:val="29"/>
  </w:num>
  <w:num w:numId="7">
    <w:abstractNumId w:val="9"/>
  </w:num>
  <w:num w:numId="8">
    <w:abstractNumId w:val="13"/>
  </w:num>
  <w:num w:numId="9">
    <w:abstractNumId w:val="12"/>
  </w:num>
  <w:num w:numId="10">
    <w:abstractNumId w:val="19"/>
  </w:num>
  <w:num w:numId="11">
    <w:abstractNumId w:val="18"/>
  </w:num>
  <w:num w:numId="12">
    <w:abstractNumId w:val="21"/>
  </w:num>
  <w:num w:numId="13">
    <w:abstractNumId w:val="23"/>
  </w:num>
  <w:num w:numId="14">
    <w:abstractNumId w:val="10"/>
  </w:num>
  <w:num w:numId="15">
    <w:abstractNumId w:val="14"/>
  </w:num>
  <w:num w:numId="16">
    <w:abstractNumId w:val="3"/>
  </w:num>
  <w:num w:numId="17">
    <w:abstractNumId w:val="4"/>
  </w:num>
  <w:num w:numId="18">
    <w:abstractNumId w:val="20"/>
  </w:num>
  <w:num w:numId="19">
    <w:abstractNumId w:val="6"/>
  </w:num>
  <w:num w:numId="20">
    <w:abstractNumId w:val="8"/>
  </w:num>
  <w:num w:numId="21">
    <w:abstractNumId w:val="1"/>
  </w:num>
  <w:num w:numId="22">
    <w:abstractNumId w:val="15"/>
  </w:num>
  <w:num w:numId="23">
    <w:abstractNumId w:val="22"/>
  </w:num>
  <w:num w:numId="24">
    <w:abstractNumId w:val="27"/>
  </w:num>
  <w:num w:numId="25">
    <w:abstractNumId w:val="16"/>
  </w:num>
  <w:num w:numId="26">
    <w:abstractNumId w:val="7"/>
  </w:num>
  <w:num w:numId="27">
    <w:abstractNumId w:val="25"/>
  </w:num>
  <w:num w:numId="28">
    <w:abstractNumId w:val="5"/>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1B5FE2"/>
    <w:rsid w:val="001B5FE2"/>
    <w:rsid w:val="002F77B4"/>
    <w:rsid w:val="006C1450"/>
    <w:rsid w:val="006D06BA"/>
    <w:rsid w:val="007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FE2"/>
    <w:pPr>
      <w:keepNext/>
      <w:keepLines/>
      <w:spacing w:before="24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1B5FE2"/>
    <w:pPr>
      <w:keepNext/>
      <w:keepLines/>
      <w:spacing w:before="40" w:after="0" w:line="240" w:lineRule="auto"/>
      <w:outlineLvl w:val="1"/>
    </w:pPr>
    <w:rPr>
      <w:rFonts w:ascii="Calibri Light" w:eastAsia="SimSun" w:hAnsi="Calibri Light" w:cs="Times New Roman"/>
      <w:color w:val="2E74B5"/>
      <w:sz w:val="26"/>
      <w:szCs w:val="26"/>
    </w:rPr>
  </w:style>
  <w:style w:type="paragraph" w:styleId="Heading3">
    <w:name w:val="heading 3"/>
    <w:basedOn w:val="Normal"/>
    <w:next w:val="Normal"/>
    <w:link w:val="Heading3Char"/>
    <w:uiPriority w:val="9"/>
    <w:unhideWhenUsed/>
    <w:qFormat/>
    <w:rsid w:val="001B5FE2"/>
    <w:pPr>
      <w:keepNext/>
      <w:keepLines/>
      <w:spacing w:before="40" w:after="0" w:line="240" w:lineRule="auto"/>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unhideWhenUsed/>
    <w:qFormat/>
    <w:rsid w:val="001B5FE2"/>
    <w:pPr>
      <w:keepNext/>
      <w:keepLines/>
      <w:spacing w:before="40" w:after="0" w:line="240" w:lineRule="auto"/>
      <w:outlineLvl w:val="3"/>
    </w:pPr>
    <w:rPr>
      <w:rFonts w:ascii="Calibri Light" w:eastAsia="SimSu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E2"/>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sid w:val="001B5FE2"/>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
    <w:rsid w:val="001B5FE2"/>
    <w:rPr>
      <w:rFonts w:ascii="Calibri Light" w:eastAsia="SimSun" w:hAnsi="Calibri Light" w:cs="Times New Roman"/>
      <w:color w:val="1F4D78"/>
      <w:sz w:val="24"/>
      <w:szCs w:val="24"/>
    </w:rPr>
  </w:style>
  <w:style w:type="character" w:customStyle="1" w:styleId="Heading4Char">
    <w:name w:val="Heading 4 Char"/>
    <w:basedOn w:val="DefaultParagraphFont"/>
    <w:link w:val="Heading4"/>
    <w:uiPriority w:val="9"/>
    <w:rsid w:val="001B5FE2"/>
    <w:rPr>
      <w:rFonts w:ascii="Calibri Light" w:eastAsia="SimSun" w:hAnsi="Calibri Light" w:cs="Times New Roman"/>
      <w:i/>
      <w:iCs/>
      <w:color w:val="2E74B5"/>
      <w:sz w:val="24"/>
      <w:szCs w:val="24"/>
    </w:rPr>
  </w:style>
  <w:style w:type="character" w:styleId="CommentReference">
    <w:name w:val="annotation reference"/>
    <w:uiPriority w:val="99"/>
    <w:unhideWhenUsed/>
    <w:rsid w:val="001B5FE2"/>
    <w:rPr>
      <w:sz w:val="16"/>
      <w:szCs w:val="16"/>
    </w:rPr>
  </w:style>
  <w:style w:type="paragraph" w:styleId="CommentText">
    <w:name w:val="annotation text"/>
    <w:basedOn w:val="Normal"/>
    <w:link w:val="CommentTextChar"/>
    <w:unhideWhenUsed/>
    <w:rsid w:val="001B5FE2"/>
    <w:pPr>
      <w:spacing w:after="0" w:line="240" w:lineRule="auto"/>
    </w:pPr>
    <w:rPr>
      <w:rFonts w:ascii="Calibri" w:eastAsia="SimSun" w:hAnsi="Calibri" w:cs="Arial"/>
      <w:sz w:val="20"/>
      <w:szCs w:val="20"/>
    </w:rPr>
  </w:style>
  <w:style w:type="character" w:customStyle="1" w:styleId="CommentTextChar">
    <w:name w:val="Comment Text Char"/>
    <w:basedOn w:val="DefaultParagraphFont"/>
    <w:link w:val="CommentText"/>
    <w:rsid w:val="001B5FE2"/>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1B5FE2"/>
    <w:rPr>
      <w:b/>
      <w:bCs/>
    </w:rPr>
  </w:style>
  <w:style w:type="character" w:customStyle="1" w:styleId="CommentSubjectChar">
    <w:name w:val="Comment Subject Char"/>
    <w:basedOn w:val="CommentTextChar"/>
    <w:link w:val="CommentSubject"/>
    <w:uiPriority w:val="99"/>
    <w:semiHidden/>
    <w:rsid w:val="001B5FE2"/>
    <w:rPr>
      <w:rFonts w:ascii="Calibri" w:eastAsia="SimSun" w:hAnsi="Calibri" w:cs="Arial"/>
      <w:b/>
      <w:bCs/>
      <w:sz w:val="20"/>
      <w:szCs w:val="20"/>
    </w:rPr>
  </w:style>
  <w:style w:type="paragraph" w:styleId="BalloonText">
    <w:name w:val="Balloon Text"/>
    <w:basedOn w:val="Normal"/>
    <w:link w:val="BalloonTextChar"/>
    <w:uiPriority w:val="99"/>
    <w:semiHidden/>
    <w:unhideWhenUsed/>
    <w:rsid w:val="001B5FE2"/>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1B5FE2"/>
    <w:rPr>
      <w:rFonts w:ascii="Segoe UI" w:eastAsia="SimSun" w:hAnsi="Segoe UI" w:cs="Segoe UI"/>
      <w:sz w:val="18"/>
      <w:szCs w:val="18"/>
    </w:rPr>
  </w:style>
  <w:style w:type="paragraph" w:styleId="ListParagraph">
    <w:name w:val="List Paragraph"/>
    <w:basedOn w:val="Normal"/>
    <w:uiPriority w:val="34"/>
    <w:qFormat/>
    <w:rsid w:val="001B5FE2"/>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1B5FE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FE2"/>
    <w:pPr>
      <w:tabs>
        <w:tab w:val="center" w:pos="4680"/>
        <w:tab w:val="right" w:pos="9360"/>
      </w:tabs>
      <w:spacing w:after="0" w:line="240" w:lineRule="auto"/>
    </w:pPr>
    <w:rPr>
      <w:rFonts w:ascii="Calibri" w:eastAsia="SimSun" w:hAnsi="Calibri" w:cs="Arial"/>
      <w:sz w:val="24"/>
      <w:szCs w:val="24"/>
    </w:rPr>
  </w:style>
  <w:style w:type="character" w:customStyle="1" w:styleId="HeaderChar">
    <w:name w:val="Header Char"/>
    <w:basedOn w:val="DefaultParagraphFont"/>
    <w:link w:val="Header"/>
    <w:uiPriority w:val="99"/>
    <w:rsid w:val="001B5FE2"/>
    <w:rPr>
      <w:rFonts w:ascii="Calibri" w:eastAsia="SimSun" w:hAnsi="Calibri" w:cs="Arial"/>
      <w:sz w:val="24"/>
      <w:szCs w:val="24"/>
    </w:rPr>
  </w:style>
  <w:style w:type="paragraph" w:styleId="Footer">
    <w:name w:val="footer"/>
    <w:basedOn w:val="Normal"/>
    <w:link w:val="FooterChar"/>
    <w:uiPriority w:val="99"/>
    <w:unhideWhenUsed/>
    <w:rsid w:val="001B5FE2"/>
    <w:pPr>
      <w:tabs>
        <w:tab w:val="center" w:pos="4680"/>
        <w:tab w:val="right" w:pos="9360"/>
      </w:tabs>
      <w:spacing w:after="0" w:line="240" w:lineRule="auto"/>
    </w:pPr>
    <w:rPr>
      <w:rFonts w:ascii="Calibri" w:eastAsia="SimSun" w:hAnsi="Calibri" w:cs="Arial"/>
      <w:sz w:val="24"/>
      <w:szCs w:val="24"/>
    </w:rPr>
  </w:style>
  <w:style w:type="character" w:customStyle="1" w:styleId="FooterChar">
    <w:name w:val="Footer Char"/>
    <w:basedOn w:val="DefaultParagraphFont"/>
    <w:link w:val="Footer"/>
    <w:uiPriority w:val="99"/>
    <w:rsid w:val="001B5FE2"/>
    <w:rPr>
      <w:rFonts w:ascii="Calibri" w:eastAsia="SimSun" w:hAnsi="Calibri" w:cs="Arial"/>
      <w:sz w:val="24"/>
      <w:szCs w:val="24"/>
    </w:rPr>
  </w:style>
  <w:style w:type="paragraph" w:styleId="Revision">
    <w:name w:val="Revision"/>
    <w:hidden/>
    <w:uiPriority w:val="99"/>
    <w:semiHidden/>
    <w:rsid w:val="001B5FE2"/>
    <w:pPr>
      <w:spacing w:after="0" w:line="240" w:lineRule="auto"/>
    </w:pPr>
    <w:rPr>
      <w:rFonts w:ascii="Calibri" w:eastAsia="SimSun" w:hAnsi="Calibri" w:cs="Arial"/>
      <w:sz w:val="24"/>
      <w:szCs w:val="24"/>
    </w:rPr>
  </w:style>
  <w:style w:type="paragraph" w:customStyle="1" w:styleId="TableText">
    <w:name w:val="Table Text"/>
    <w:qFormat/>
    <w:rsid w:val="001B5FE2"/>
    <w:pPr>
      <w:tabs>
        <w:tab w:val="left" w:pos="288"/>
        <w:tab w:val="left" w:pos="576"/>
        <w:tab w:val="left" w:pos="864"/>
      </w:tabs>
      <w:spacing w:after="0" w:line="240" w:lineRule="auto"/>
    </w:pPr>
    <w:rPr>
      <w:rFonts w:ascii="Times New Roman" w:eastAsia="Times New Roman" w:hAnsi="Times New Roman" w:cs="Times New Roman"/>
      <w:sz w:val="20"/>
      <w:szCs w:val="20"/>
    </w:rPr>
  </w:style>
  <w:style w:type="paragraph" w:customStyle="1" w:styleId="TableFootnote">
    <w:name w:val="Table Footnote"/>
    <w:qFormat/>
    <w:rsid w:val="001B5FE2"/>
    <w:pPr>
      <w:tabs>
        <w:tab w:val="left" w:pos="288"/>
      </w:tabs>
      <w:spacing w:after="0" w:line="240" w:lineRule="auto"/>
      <w:ind w:left="288" w:hanging="288"/>
    </w:pPr>
    <w:rPr>
      <w:rFonts w:ascii="Times New Roman" w:eastAsia="Times New Roman" w:hAnsi="Times New Roman" w:cs="Times New Roman"/>
      <w:sz w:val="20"/>
      <w:szCs w:val="20"/>
    </w:rPr>
  </w:style>
  <w:style w:type="character" w:styleId="Hyperlink">
    <w:name w:val="Hyperlink"/>
    <w:uiPriority w:val="99"/>
    <w:unhideWhenUsed/>
    <w:rsid w:val="001B5FE2"/>
    <w:rPr>
      <w:color w:val="0000FF"/>
      <w:u w:val="single"/>
    </w:rPr>
  </w:style>
  <w:style w:type="character" w:styleId="FollowedHyperlink">
    <w:name w:val="FollowedHyperlink"/>
    <w:uiPriority w:val="99"/>
    <w:semiHidden/>
    <w:unhideWhenUsed/>
    <w:rsid w:val="001B5FE2"/>
    <w:rPr>
      <w:color w:val="954F72"/>
      <w:u w:val="single"/>
    </w:rPr>
  </w:style>
  <w:style w:type="character" w:customStyle="1" w:styleId="Mention1">
    <w:name w:val="Mention1"/>
    <w:uiPriority w:val="99"/>
    <w:semiHidden/>
    <w:unhideWhenUsed/>
    <w:rsid w:val="001B5FE2"/>
    <w:rPr>
      <w:color w:val="2B579A"/>
      <w:shd w:val="clear" w:color="auto" w:fill="E6E6E6"/>
    </w:rPr>
  </w:style>
  <w:style w:type="paragraph" w:customStyle="1" w:styleId="EndNoteBibliographyTitle">
    <w:name w:val="EndNote Bibliography Title"/>
    <w:basedOn w:val="Normal"/>
    <w:link w:val="EndNoteBibliographyTitleChar"/>
    <w:rsid w:val="001B5FE2"/>
    <w:pPr>
      <w:spacing w:after="0" w:line="240" w:lineRule="auto"/>
      <w:jc w:val="center"/>
    </w:pPr>
    <w:rPr>
      <w:rFonts w:ascii="Arial" w:eastAsia="SimSun" w:hAnsi="Arial" w:cs="Arial"/>
      <w:noProof/>
      <w:sz w:val="24"/>
      <w:szCs w:val="24"/>
    </w:rPr>
  </w:style>
  <w:style w:type="character" w:customStyle="1" w:styleId="EndNoteBibliographyTitleChar">
    <w:name w:val="EndNote Bibliography Title Char"/>
    <w:link w:val="EndNoteBibliographyTitle"/>
    <w:rsid w:val="001B5FE2"/>
    <w:rPr>
      <w:rFonts w:ascii="Arial" w:eastAsia="SimSun" w:hAnsi="Arial" w:cs="Arial"/>
      <w:noProof/>
      <w:sz w:val="24"/>
      <w:szCs w:val="24"/>
    </w:rPr>
  </w:style>
  <w:style w:type="paragraph" w:customStyle="1" w:styleId="EndNoteBibliography">
    <w:name w:val="EndNote Bibliography"/>
    <w:basedOn w:val="Normal"/>
    <w:link w:val="EndNoteBibliographyChar"/>
    <w:rsid w:val="001B5FE2"/>
    <w:pPr>
      <w:spacing w:after="0" w:line="240" w:lineRule="auto"/>
    </w:pPr>
    <w:rPr>
      <w:rFonts w:ascii="Arial" w:eastAsia="SimSun" w:hAnsi="Arial" w:cs="Arial"/>
      <w:noProof/>
      <w:sz w:val="24"/>
      <w:szCs w:val="24"/>
    </w:rPr>
  </w:style>
  <w:style w:type="character" w:customStyle="1" w:styleId="EndNoteBibliographyChar">
    <w:name w:val="EndNote Bibliography Char"/>
    <w:link w:val="EndNoteBibliography"/>
    <w:rsid w:val="001B5FE2"/>
    <w:rPr>
      <w:rFonts w:ascii="Arial" w:eastAsia="SimSun" w:hAnsi="Arial" w:cs="Arial"/>
      <w:noProof/>
      <w:sz w:val="24"/>
      <w:szCs w:val="24"/>
    </w:rPr>
  </w:style>
  <w:style w:type="character" w:styleId="LineNumber">
    <w:name w:val="line number"/>
    <w:basedOn w:val="DefaultParagraphFont"/>
    <w:uiPriority w:val="99"/>
    <w:semiHidden/>
    <w:unhideWhenUsed/>
    <w:rsid w:val="001B5FE2"/>
  </w:style>
  <w:style w:type="character" w:customStyle="1" w:styleId="hi">
    <w:name w:val="hi"/>
    <w:basedOn w:val="DefaultParagraphFont"/>
    <w:rsid w:val="001B5FE2"/>
  </w:style>
  <w:style w:type="paragraph" w:styleId="Caption">
    <w:name w:val="caption"/>
    <w:basedOn w:val="Normal"/>
    <w:next w:val="Normal"/>
    <w:uiPriority w:val="35"/>
    <w:unhideWhenUsed/>
    <w:qFormat/>
    <w:rsid w:val="001B5FE2"/>
    <w:pPr>
      <w:spacing w:line="240" w:lineRule="auto"/>
    </w:pPr>
    <w:rPr>
      <w:rFonts w:ascii="Calibri" w:eastAsia="SimSun" w:hAnsi="Calibri" w:cs="Arial"/>
      <w:i/>
      <w:iCs/>
      <w:color w:val="44546A"/>
      <w:sz w:val="18"/>
      <w:szCs w:val="18"/>
    </w:rPr>
  </w:style>
  <w:style w:type="paragraph" w:customStyle="1" w:styleId="Footnote">
    <w:name w:val="Footnote"/>
    <w:basedOn w:val="Normal"/>
    <w:rsid w:val="001B5FE2"/>
    <w:pPr>
      <w:spacing w:after="0" w:line="480" w:lineRule="auto"/>
    </w:pPr>
    <w:rPr>
      <w:rFonts w:ascii="Arial" w:eastAsia="SimSun" w:hAnsi="Arial" w:cs="Arial"/>
      <w:b/>
      <w:sz w:val="24"/>
      <w:szCs w:val="24"/>
    </w:rPr>
  </w:style>
  <w:style w:type="paragraph" w:styleId="NormalWeb">
    <w:name w:val="Normal (Web)"/>
    <w:basedOn w:val="Normal"/>
    <w:uiPriority w:val="99"/>
    <w:unhideWhenUsed/>
    <w:rsid w:val="001B5FE2"/>
    <w:pPr>
      <w:spacing w:before="100" w:beforeAutospacing="1" w:after="100" w:afterAutospacing="1" w:line="240" w:lineRule="auto"/>
    </w:pPr>
    <w:rPr>
      <w:rFonts w:ascii="Times New Roman" w:eastAsia="Calibri" w:hAnsi="Times New Roman" w:cs="Times New Roman"/>
      <w:sz w:val="24"/>
      <w:szCs w:val="24"/>
    </w:rPr>
  </w:style>
  <w:style w:type="paragraph" w:customStyle="1" w:styleId="mdBullet">
    <w:name w:val="md_Bullet"/>
    <w:basedOn w:val="Normal"/>
    <w:next w:val="Normal"/>
    <w:link w:val="mdBulletChar"/>
    <w:uiPriority w:val="99"/>
    <w:rsid w:val="001B5FE2"/>
    <w:pPr>
      <w:keepLines/>
      <w:spacing w:before="14" w:after="144" w:line="279" w:lineRule="exact"/>
      <w:ind w:left="720" w:right="720" w:hanging="360"/>
    </w:pPr>
    <w:rPr>
      <w:rFonts w:ascii="Times New Roman" w:eastAsia="Times New Roman" w:hAnsi="Times New Roman" w:cs="Times New Roman"/>
      <w:sz w:val="24"/>
      <w:szCs w:val="20"/>
    </w:rPr>
  </w:style>
  <w:style w:type="character" w:customStyle="1" w:styleId="mdBulletChar">
    <w:name w:val="md_Bullet Char"/>
    <w:link w:val="mdBullet"/>
    <w:uiPriority w:val="99"/>
    <w:rsid w:val="001B5FE2"/>
    <w:rPr>
      <w:rFonts w:ascii="Times New Roman" w:eastAsia="Times New Roman" w:hAnsi="Times New Roman" w:cs="Times New Roman"/>
      <w:sz w:val="24"/>
      <w:szCs w:val="20"/>
    </w:rPr>
  </w:style>
  <w:style w:type="character" w:customStyle="1" w:styleId="UnresolvedMention1">
    <w:name w:val="Unresolved Mention1"/>
    <w:uiPriority w:val="99"/>
    <w:semiHidden/>
    <w:unhideWhenUsed/>
    <w:rsid w:val="001B5FE2"/>
    <w:rPr>
      <w:color w:val="605E5C"/>
      <w:shd w:val="clear" w:color="auto" w:fill="E1DFDD"/>
    </w:rPr>
  </w:style>
  <w:style w:type="character" w:styleId="PageNumber">
    <w:name w:val="page number"/>
    <w:basedOn w:val="DefaultParagraphFont"/>
    <w:uiPriority w:val="99"/>
    <w:semiHidden/>
    <w:unhideWhenUsed/>
    <w:rsid w:val="001B5FE2"/>
  </w:style>
  <w:style w:type="character" w:customStyle="1" w:styleId="UnresolvedMention2">
    <w:name w:val="Unresolved Mention2"/>
    <w:uiPriority w:val="99"/>
    <w:semiHidden/>
    <w:unhideWhenUsed/>
    <w:rsid w:val="001B5FE2"/>
    <w:rPr>
      <w:color w:val="605E5C"/>
      <w:shd w:val="clear" w:color="auto" w:fill="E1DFDD"/>
    </w:rPr>
  </w:style>
  <w:style w:type="character" w:customStyle="1" w:styleId="UnresolvedMention3">
    <w:name w:val="Unresolved Mention3"/>
    <w:uiPriority w:val="99"/>
    <w:semiHidden/>
    <w:unhideWhenUsed/>
    <w:rsid w:val="001B5F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FE2"/>
    <w:pPr>
      <w:keepNext/>
      <w:keepLines/>
      <w:spacing w:before="24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1B5FE2"/>
    <w:pPr>
      <w:keepNext/>
      <w:keepLines/>
      <w:spacing w:before="40" w:after="0" w:line="240" w:lineRule="auto"/>
      <w:outlineLvl w:val="1"/>
    </w:pPr>
    <w:rPr>
      <w:rFonts w:ascii="Calibri Light" w:eastAsia="SimSun" w:hAnsi="Calibri Light" w:cs="Times New Roman"/>
      <w:color w:val="2E74B5"/>
      <w:sz w:val="26"/>
      <w:szCs w:val="26"/>
    </w:rPr>
  </w:style>
  <w:style w:type="paragraph" w:styleId="Heading3">
    <w:name w:val="heading 3"/>
    <w:basedOn w:val="Normal"/>
    <w:next w:val="Normal"/>
    <w:link w:val="Heading3Char"/>
    <w:uiPriority w:val="9"/>
    <w:unhideWhenUsed/>
    <w:qFormat/>
    <w:rsid w:val="001B5FE2"/>
    <w:pPr>
      <w:keepNext/>
      <w:keepLines/>
      <w:spacing w:before="40" w:after="0" w:line="240" w:lineRule="auto"/>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unhideWhenUsed/>
    <w:qFormat/>
    <w:rsid w:val="001B5FE2"/>
    <w:pPr>
      <w:keepNext/>
      <w:keepLines/>
      <w:spacing w:before="40" w:after="0" w:line="240" w:lineRule="auto"/>
      <w:outlineLvl w:val="3"/>
    </w:pPr>
    <w:rPr>
      <w:rFonts w:ascii="Calibri Light" w:eastAsia="SimSun"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E2"/>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sid w:val="001B5FE2"/>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
    <w:rsid w:val="001B5FE2"/>
    <w:rPr>
      <w:rFonts w:ascii="Calibri Light" w:eastAsia="SimSun" w:hAnsi="Calibri Light" w:cs="Times New Roman"/>
      <w:color w:val="1F4D78"/>
      <w:sz w:val="24"/>
      <w:szCs w:val="24"/>
    </w:rPr>
  </w:style>
  <w:style w:type="character" w:customStyle="1" w:styleId="Heading4Char">
    <w:name w:val="Heading 4 Char"/>
    <w:basedOn w:val="DefaultParagraphFont"/>
    <w:link w:val="Heading4"/>
    <w:uiPriority w:val="9"/>
    <w:rsid w:val="001B5FE2"/>
    <w:rPr>
      <w:rFonts w:ascii="Calibri Light" w:eastAsia="SimSun" w:hAnsi="Calibri Light" w:cs="Times New Roman"/>
      <w:i/>
      <w:iCs/>
      <w:color w:val="2E74B5"/>
      <w:sz w:val="24"/>
      <w:szCs w:val="24"/>
    </w:rPr>
  </w:style>
  <w:style w:type="character" w:styleId="CommentReference">
    <w:name w:val="annotation reference"/>
    <w:uiPriority w:val="99"/>
    <w:unhideWhenUsed/>
    <w:rsid w:val="001B5FE2"/>
    <w:rPr>
      <w:sz w:val="16"/>
      <w:szCs w:val="16"/>
    </w:rPr>
  </w:style>
  <w:style w:type="paragraph" w:styleId="CommentText">
    <w:name w:val="annotation text"/>
    <w:basedOn w:val="Normal"/>
    <w:link w:val="CommentTextChar"/>
    <w:unhideWhenUsed/>
    <w:rsid w:val="001B5FE2"/>
    <w:pPr>
      <w:spacing w:after="0" w:line="240" w:lineRule="auto"/>
    </w:pPr>
    <w:rPr>
      <w:rFonts w:ascii="Calibri" w:eastAsia="SimSun" w:hAnsi="Calibri" w:cs="Arial"/>
      <w:sz w:val="20"/>
      <w:szCs w:val="20"/>
    </w:rPr>
  </w:style>
  <w:style w:type="character" w:customStyle="1" w:styleId="CommentTextChar">
    <w:name w:val="Comment Text Char"/>
    <w:basedOn w:val="DefaultParagraphFont"/>
    <w:link w:val="CommentText"/>
    <w:rsid w:val="001B5FE2"/>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1B5FE2"/>
    <w:rPr>
      <w:b/>
      <w:bCs/>
    </w:rPr>
  </w:style>
  <w:style w:type="character" w:customStyle="1" w:styleId="CommentSubjectChar">
    <w:name w:val="Comment Subject Char"/>
    <w:basedOn w:val="CommentTextChar"/>
    <w:link w:val="CommentSubject"/>
    <w:uiPriority w:val="99"/>
    <w:semiHidden/>
    <w:rsid w:val="001B5FE2"/>
    <w:rPr>
      <w:rFonts w:ascii="Calibri" w:eastAsia="SimSun" w:hAnsi="Calibri" w:cs="Arial"/>
      <w:b/>
      <w:bCs/>
      <w:sz w:val="20"/>
      <w:szCs w:val="20"/>
    </w:rPr>
  </w:style>
  <w:style w:type="paragraph" w:styleId="BalloonText">
    <w:name w:val="Balloon Text"/>
    <w:basedOn w:val="Normal"/>
    <w:link w:val="BalloonTextChar"/>
    <w:uiPriority w:val="99"/>
    <w:semiHidden/>
    <w:unhideWhenUsed/>
    <w:rsid w:val="001B5FE2"/>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1B5FE2"/>
    <w:rPr>
      <w:rFonts w:ascii="Segoe UI" w:eastAsia="SimSun" w:hAnsi="Segoe UI" w:cs="Segoe UI"/>
      <w:sz w:val="18"/>
      <w:szCs w:val="18"/>
    </w:rPr>
  </w:style>
  <w:style w:type="paragraph" w:styleId="ListParagraph">
    <w:name w:val="List Paragraph"/>
    <w:basedOn w:val="Normal"/>
    <w:uiPriority w:val="34"/>
    <w:qFormat/>
    <w:rsid w:val="001B5FE2"/>
    <w:pPr>
      <w:autoSpaceDE w:val="0"/>
      <w:autoSpaceDN w:val="0"/>
      <w:adjustRightInd w:val="0"/>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1B5FE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FE2"/>
    <w:pPr>
      <w:tabs>
        <w:tab w:val="center" w:pos="4680"/>
        <w:tab w:val="right" w:pos="9360"/>
      </w:tabs>
      <w:spacing w:after="0" w:line="240" w:lineRule="auto"/>
    </w:pPr>
    <w:rPr>
      <w:rFonts w:ascii="Calibri" w:eastAsia="SimSun" w:hAnsi="Calibri" w:cs="Arial"/>
      <w:sz w:val="24"/>
      <w:szCs w:val="24"/>
    </w:rPr>
  </w:style>
  <w:style w:type="character" w:customStyle="1" w:styleId="HeaderChar">
    <w:name w:val="Header Char"/>
    <w:basedOn w:val="DefaultParagraphFont"/>
    <w:link w:val="Header"/>
    <w:uiPriority w:val="99"/>
    <w:rsid w:val="001B5FE2"/>
    <w:rPr>
      <w:rFonts w:ascii="Calibri" w:eastAsia="SimSun" w:hAnsi="Calibri" w:cs="Arial"/>
      <w:sz w:val="24"/>
      <w:szCs w:val="24"/>
    </w:rPr>
  </w:style>
  <w:style w:type="paragraph" w:styleId="Footer">
    <w:name w:val="footer"/>
    <w:basedOn w:val="Normal"/>
    <w:link w:val="FooterChar"/>
    <w:uiPriority w:val="99"/>
    <w:unhideWhenUsed/>
    <w:rsid w:val="001B5FE2"/>
    <w:pPr>
      <w:tabs>
        <w:tab w:val="center" w:pos="4680"/>
        <w:tab w:val="right" w:pos="9360"/>
      </w:tabs>
      <w:spacing w:after="0" w:line="240" w:lineRule="auto"/>
    </w:pPr>
    <w:rPr>
      <w:rFonts w:ascii="Calibri" w:eastAsia="SimSun" w:hAnsi="Calibri" w:cs="Arial"/>
      <w:sz w:val="24"/>
      <w:szCs w:val="24"/>
    </w:rPr>
  </w:style>
  <w:style w:type="character" w:customStyle="1" w:styleId="FooterChar">
    <w:name w:val="Footer Char"/>
    <w:basedOn w:val="DefaultParagraphFont"/>
    <w:link w:val="Footer"/>
    <w:uiPriority w:val="99"/>
    <w:rsid w:val="001B5FE2"/>
    <w:rPr>
      <w:rFonts w:ascii="Calibri" w:eastAsia="SimSun" w:hAnsi="Calibri" w:cs="Arial"/>
      <w:sz w:val="24"/>
      <w:szCs w:val="24"/>
    </w:rPr>
  </w:style>
  <w:style w:type="paragraph" w:styleId="Revision">
    <w:name w:val="Revision"/>
    <w:hidden/>
    <w:uiPriority w:val="99"/>
    <w:semiHidden/>
    <w:rsid w:val="001B5FE2"/>
    <w:pPr>
      <w:spacing w:after="0" w:line="240" w:lineRule="auto"/>
    </w:pPr>
    <w:rPr>
      <w:rFonts w:ascii="Calibri" w:eastAsia="SimSun" w:hAnsi="Calibri" w:cs="Arial"/>
      <w:sz w:val="24"/>
      <w:szCs w:val="24"/>
    </w:rPr>
  </w:style>
  <w:style w:type="paragraph" w:customStyle="1" w:styleId="TableText">
    <w:name w:val="Table Text"/>
    <w:qFormat/>
    <w:rsid w:val="001B5FE2"/>
    <w:pPr>
      <w:tabs>
        <w:tab w:val="left" w:pos="288"/>
        <w:tab w:val="left" w:pos="576"/>
        <w:tab w:val="left" w:pos="864"/>
      </w:tabs>
      <w:spacing w:after="0" w:line="240" w:lineRule="auto"/>
    </w:pPr>
    <w:rPr>
      <w:rFonts w:ascii="Times New Roman" w:eastAsia="Times New Roman" w:hAnsi="Times New Roman" w:cs="Times New Roman"/>
      <w:sz w:val="20"/>
      <w:szCs w:val="20"/>
    </w:rPr>
  </w:style>
  <w:style w:type="paragraph" w:customStyle="1" w:styleId="TableFootnote">
    <w:name w:val="Table Footnote"/>
    <w:qFormat/>
    <w:rsid w:val="001B5FE2"/>
    <w:pPr>
      <w:tabs>
        <w:tab w:val="left" w:pos="288"/>
      </w:tabs>
      <w:spacing w:after="0" w:line="240" w:lineRule="auto"/>
      <w:ind w:left="288" w:hanging="288"/>
    </w:pPr>
    <w:rPr>
      <w:rFonts w:ascii="Times New Roman" w:eastAsia="Times New Roman" w:hAnsi="Times New Roman" w:cs="Times New Roman"/>
      <w:sz w:val="20"/>
      <w:szCs w:val="20"/>
    </w:rPr>
  </w:style>
  <w:style w:type="character" w:styleId="Hyperlink">
    <w:name w:val="Hyperlink"/>
    <w:uiPriority w:val="99"/>
    <w:unhideWhenUsed/>
    <w:rsid w:val="001B5FE2"/>
    <w:rPr>
      <w:color w:val="0000FF"/>
      <w:u w:val="single"/>
    </w:rPr>
  </w:style>
  <w:style w:type="character" w:styleId="FollowedHyperlink">
    <w:name w:val="FollowedHyperlink"/>
    <w:uiPriority w:val="99"/>
    <w:semiHidden/>
    <w:unhideWhenUsed/>
    <w:rsid w:val="001B5FE2"/>
    <w:rPr>
      <w:color w:val="954F72"/>
      <w:u w:val="single"/>
    </w:rPr>
  </w:style>
  <w:style w:type="character" w:customStyle="1" w:styleId="Mention1">
    <w:name w:val="Mention1"/>
    <w:uiPriority w:val="99"/>
    <w:semiHidden/>
    <w:unhideWhenUsed/>
    <w:rsid w:val="001B5FE2"/>
    <w:rPr>
      <w:color w:val="2B579A"/>
      <w:shd w:val="clear" w:color="auto" w:fill="E6E6E6"/>
    </w:rPr>
  </w:style>
  <w:style w:type="paragraph" w:customStyle="1" w:styleId="EndNoteBibliographyTitle">
    <w:name w:val="EndNote Bibliography Title"/>
    <w:basedOn w:val="Normal"/>
    <w:link w:val="EndNoteBibliographyTitleChar"/>
    <w:rsid w:val="001B5FE2"/>
    <w:pPr>
      <w:spacing w:after="0" w:line="240" w:lineRule="auto"/>
      <w:jc w:val="center"/>
    </w:pPr>
    <w:rPr>
      <w:rFonts w:ascii="Arial" w:eastAsia="SimSun" w:hAnsi="Arial" w:cs="Arial"/>
      <w:noProof/>
      <w:sz w:val="24"/>
      <w:szCs w:val="24"/>
    </w:rPr>
  </w:style>
  <w:style w:type="character" w:customStyle="1" w:styleId="EndNoteBibliographyTitleChar">
    <w:name w:val="EndNote Bibliography Title Char"/>
    <w:link w:val="EndNoteBibliographyTitle"/>
    <w:rsid w:val="001B5FE2"/>
    <w:rPr>
      <w:rFonts w:ascii="Arial" w:eastAsia="SimSun" w:hAnsi="Arial" w:cs="Arial"/>
      <w:noProof/>
      <w:sz w:val="24"/>
      <w:szCs w:val="24"/>
    </w:rPr>
  </w:style>
  <w:style w:type="paragraph" w:customStyle="1" w:styleId="EndNoteBibliography">
    <w:name w:val="EndNote Bibliography"/>
    <w:basedOn w:val="Normal"/>
    <w:link w:val="EndNoteBibliographyChar"/>
    <w:rsid w:val="001B5FE2"/>
    <w:pPr>
      <w:spacing w:after="0" w:line="240" w:lineRule="auto"/>
    </w:pPr>
    <w:rPr>
      <w:rFonts w:ascii="Arial" w:eastAsia="SimSun" w:hAnsi="Arial" w:cs="Arial"/>
      <w:noProof/>
      <w:sz w:val="24"/>
      <w:szCs w:val="24"/>
    </w:rPr>
  </w:style>
  <w:style w:type="character" w:customStyle="1" w:styleId="EndNoteBibliographyChar">
    <w:name w:val="EndNote Bibliography Char"/>
    <w:link w:val="EndNoteBibliography"/>
    <w:rsid w:val="001B5FE2"/>
    <w:rPr>
      <w:rFonts w:ascii="Arial" w:eastAsia="SimSun" w:hAnsi="Arial" w:cs="Arial"/>
      <w:noProof/>
      <w:sz w:val="24"/>
      <w:szCs w:val="24"/>
    </w:rPr>
  </w:style>
  <w:style w:type="character" w:styleId="LineNumber">
    <w:name w:val="line number"/>
    <w:basedOn w:val="DefaultParagraphFont"/>
    <w:uiPriority w:val="99"/>
    <w:semiHidden/>
    <w:unhideWhenUsed/>
    <w:rsid w:val="001B5FE2"/>
  </w:style>
  <w:style w:type="character" w:customStyle="1" w:styleId="hi">
    <w:name w:val="hi"/>
    <w:basedOn w:val="DefaultParagraphFont"/>
    <w:rsid w:val="001B5FE2"/>
  </w:style>
  <w:style w:type="paragraph" w:styleId="Caption">
    <w:name w:val="caption"/>
    <w:basedOn w:val="Normal"/>
    <w:next w:val="Normal"/>
    <w:uiPriority w:val="35"/>
    <w:unhideWhenUsed/>
    <w:qFormat/>
    <w:rsid w:val="001B5FE2"/>
    <w:pPr>
      <w:spacing w:line="240" w:lineRule="auto"/>
    </w:pPr>
    <w:rPr>
      <w:rFonts w:ascii="Calibri" w:eastAsia="SimSun" w:hAnsi="Calibri" w:cs="Arial"/>
      <w:i/>
      <w:iCs/>
      <w:color w:val="44546A"/>
      <w:sz w:val="18"/>
      <w:szCs w:val="18"/>
    </w:rPr>
  </w:style>
  <w:style w:type="paragraph" w:customStyle="1" w:styleId="Footnote">
    <w:name w:val="Footnote"/>
    <w:basedOn w:val="Normal"/>
    <w:rsid w:val="001B5FE2"/>
    <w:pPr>
      <w:spacing w:after="0" w:line="480" w:lineRule="auto"/>
    </w:pPr>
    <w:rPr>
      <w:rFonts w:ascii="Arial" w:eastAsia="SimSun" w:hAnsi="Arial" w:cs="Arial"/>
      <w:b/>
      <w:sz w:val="24"/>
      <w:szCs w:val="24"/>
    </w:rPr>
  </w:style>
  <w:style w:type="paragraph" w:styleId="NormalWeb">
    <w:name w:val="Normal (Web)"/>
    <w:basedOn w:val="Normal"/>
    <w:uiPriority w:val="99"/>
    <w:unhideWhenUsed/>
    <w:rsid w:val="001B5FE2"/>
    <w:pPr>
      <w:spacing w:before="100" w:beforeAutospacing="1" w:after="100" w:afterAutospacing="1" w:line="240" w:lineRule="auto"/>
    </w:pPr>
    <w:rPr>
      <w:rFonts w:ascii="Times New Roman" w:eastAsia="Calibri" w:hAnsi="Times New Roman" w:cs="Times New Roman"/>
      <w:sz w:val="24"/>
      <w:szCs w:val="24"/>
    </w:rPr>
  </w:style>
  <w:style w:type="paragraph" w:customStyle="1" w:styleId="mdBullet">
    <w:name w:val="md_Bullet"/>
    <w:basedOn w:val="Normal"/>
    <w:next w:val="Normal"/>
    <w:link w:val="mdBulletChar"/>
    <w:uiPriority w:val="99"/>
    <w:rsid w:val="001B5FE2"/>
    <w:pPr>
      <w:keepLines/>
      <w:spacing w:before="14" w:after="144" w:line="279" w:lineRule="exact"/>
      <w:ind w:left="720" w:right="720" w:hanging="360"/>
    </w:pPr>
    <w:rPr>
      <w:rFonts w:ascii="Times New Roman" w:eastAsia="Times New Roman" w:hAnsi="Times New Roman" w:cs="Times New Roman"/>
      <w:sz w:val="24"/>
      <w:szCs w:val="20"/>
    </w:rPr>
  </w:style>
  <w:style w:type="character" w:customStyle="1" w:styleId="mdBulletChar">
    <w:name w:val="md_Bullet Char"/>
    <w:link w:val="mdBullet"/>
    <w:uiPriority w:val="99"/>
    <w:rsid w:val="001B5FE2"/>
    <w:rPr>
      <w:rFonts w:ascii="Times New Roman" w:eastAsia="Times New Roman" w:hAnsi="Times New Roman" w:cs="Times New Roman"/>
      <w:sz w:val="24"/>
      <w:szCs w:val="20"/>
    </w:rPr>
  </w:style>
  <w:style w:type="character" w:customStyle="1" w:styleId="UnresolvedMention1">
    <w:name w:val="Unresolved Mention1"/>
    <w:uiPriority w:val="99"/>
    <w:semiHidden/>
    <w:unhideWhenUsed/>
    <w:rsid w:val="001B5FE2"/>
    <w:rPr>
      <w:color w:val="605E5C"/>
      <w:shd w:val="clear" w:color="auto" w:fill="E1DFDD"/>
    </w:rPr>
  </w:style>
  <w:style w:type="character" w:styleId="PageNumber">
    <w:name w:val="page number"/>
    <w:basedOn w:val="DefaultParagraphFont"/>
    <w:uiPriority w:val="99"/>
    <w:semiHidden/>
    <w:unhideWhenUsed/>
    <w:rsid w:val="001B5FE2"/>
  </w:style>
  <w:style w:type="character" w:customStyle="1" w:styleId="UnresolvedMention2">
    <w:name w:val="Unresolved Mention2"/>
    <w:uiPriority w:val="99"/>
    <w:semiHidden/>
    <w:unhideWhenUsed/>
    <w:rsid w:val="001B5FE2"/>
    <w:rPr>
      <w:color w:val="605E5C"/>
      <w:shd w:val="clear" w:color="auto" w:fill="E1DFDD"/>
    </w:rPr>
  </w:style>
  <w:style w:type="character" w:customStyle="1" w:styleId="UnresolvedMention3">
    <w:name w:val="Unresolved Mention3"/>
    <w:uiPriority w:val="99"/>
    <w:semiHidden/>
    <w:unhideWhenUsed/>
    <w:rsid w:val="001B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2971</Words>
  <Characters>16253</Characters>
  <Application>Microsoft Office Word</Application>
  <DocSecurity>0</DocSecurity>
  <Lines>580</Lines>
  <Paragraphs>492</Paragraphs>
  <ScaleCrop>false</ScaleCrop>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MCREDO</dc:creator>
  <cp:lastModifiedBy>AOMANGAY</cp:lastModifiedBy>
  <cp:revision>2</cp:revision>
  <dcterms:created xsi:type="dcterms:W3CDTF">2019-08-22T18:46:00Z</dcterms:created>
  <dcterms:modified xsi:type="dcterms:W3CDTF">2019-08-23T15:32:00Z</dcterms:modified>
</cp:coreProperties>
</file>