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261" w:rsidRPr="00F90E90" w:rsidRDefault="00497C77" w:rsidP="0015526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Additional</w:t>
      </w:r>
      <w:r w:rsidR="00155261" w:rsidRPr="00F90E9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D59D0">
        <w:rPr>
          <w:rFonts w:ascii="Times New Roman" w:eastAsia="Times New Roman" w:hAnsi="Times New Roman" w:cs="Times New Roman"/>
          <w:b/>
          <w:sz w:val="24"/>
          <w:szCs w:val="24"/>
        </w:rPr>
        <w:t>Figures</w:t>
      </w:r>
    </w:p>
    <w:p w:rsidR="00943FA2" w:rsidRPr="00F90E90" w:rsidRDefault="00943FA2">
      <w:pPr>
        <w:rPr>
          <w:rFonts w:ascii="Times New Roman" w:hAnsi="Times New Roman" w:cs="Times New Roman"/>
          <w:sz w:val="24"/>
          <w:szCs w:val="24"/>
        </w:rPr>
      </w:pPr>
    </w:p>
    <w:p w:rsidR="00155261" w:rsidRPr="00F90E90" w:rsidRDefault="00155261" w:rsidP="0015526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Hlk528663549"/>
      <w:r w:rsidRPr="00F90E9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Potential early clinical stage colorectal cancer diagnosis using a proteomics blood test</w:t>
      </w:r>
    </w:p>
    <w:p w:rsidR="008E6FD4" w:rsidRPr="00F90E90" w:rsidRDefault="008E6FD4" w:rsidP="008E6FD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perscript"/>
          <w:lang w:eastAsia="en-AU"/>
        </w:rPr>
      </w:pPr>
      <w:bookmarkStart w:id="1" w:name="_Hlk9506011"/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Seong Beom Ahn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90E90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+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Samridhi Sharma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90E90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+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Abidali Mohamedali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2+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Sadia Mahboob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William J. Redmond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Dana Pascovici</w:t>
      </w: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AU"/>
        </w:rPr>
        <w:t>3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Jemma X. Wu</w:t>
      </w: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AU"/>
        </w:rPr>
        <w:t>3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Thiri Zaw</w:t>
      </w: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AU"/>
        </w:rPr>
        <w:t>3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Subash Adhikari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Vineet Vaibhav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>, Edouard C. Nice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Mark S. Baker</w:t>
      </w:r>
      <w:r w:rsidRPr="00F90E9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F90E9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vertAlign w:val="superscript"/>
          <w:lang w:eastAsia="en-AU"/>
        </w:rPr>
        <w:t>*</w:t>
      </w:r>
    </w:p>
    <w:bookmarkEnd w:id="1"/>
    <w:p w:rsidR="00155261" w:rsidRPr="00F90E90" w:rsidRDefault="00155261" w:rsidP="0015526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0"/>
    <w:p w:rsidR="008E6FD4" w:rsidRPr="00F90E90" w:rsidRDefault="008E6FD4" w:rsidP="008E6FD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AU"/>
        </w:rPr>
        <w:t xml:space="preserve">1 </w:t>
      </w: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Department of Biomedical Sciences, Faculty of Medicine and Health Sciences, Macquarie University, NSW, 2109, Australia</w:t>
      </w:r>
    </w:p>
    <w:p w:rsidR="008E6FD4" w:rsidRPr="00F90E90" w:rsidRDefault="008E6FD4" w:rsidP="008E6FD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AU"/>
        </w:rPr>
        <w:t xml:space="preserve">2 </w:t>
      </w: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Department of Molecular Sciences, Faculty of Science and Engineering, Macquarie University, NSW, 2109, Australia</w:t>
      </w:r>
    </w:p>
    <w:p w:rsidR="008E6FD4" w:rsidRPr="00F90E90" w:rsidRDefault="008E6FD4" w:rsidP="008E6FD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AU"/>
        </w:rPr>
        <w:t>3</w:t>
      </w: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 Australian Proteome Analysis Facility (APAF), Department of Molecular Sciences, Faculty of Science and Engineering, Macquarie University, NSW, 2109, Australia</w:t>
      </w:r>
    </w:p>
    <w:p w:rsidR="008E6FD4" w:rsidRPr="00F90E90" w:rsidRDefault="008E6FD4" w:rsidP="008E6FD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en-AU"/>
        </w:rPr>
        <w:t xml:space="preserve">4 </w:t>
      </w:r>
      <w:r w:rsidRPr="00F90E9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>Department of Biochemistry and Molecular Biology, Faculty of Medicine, Nursing and Health Sciences, Monash University, VIC, 3800, Australia</w:t>
      </w:r>
    </w:p>
    <w:p w:rsidR="00155261" w:rsidRPr="00F90E90" w:rsidRDefault="00155261">
      <w:pPr>
        <w:rPr>
          <w:rFonts w:ascii="Times New Roman" w:hAnsi="Times New Roman" w:cs="Times New Roman"/>
          <w:sz w:val="24"/>
          <w:szCs w:val="24"/>
        </w:rPr>
      </w:pPr>
    </w:p>
    <w:p w:rsidR="00155261" w:rsidRPr="00F90E90" w:rsidRDefault="00155261" w:rsidP="00155261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F90E9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*Corresponding Author: Mark S. Baker, Level 1, 75 Talavera Road, Macquarie University, 2109, Australia, +61 2 9850 8211, </w:t>
      </w:r>
      <w:hyperlink r:id="rId4" w:history="1">
        <w:r w:rsidRPr="00F90E90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mark.baker@mq.edu.au</w:t>
        </w:r>
      </w:hyperlink>
      <w:r w:rsidRPr="00F90E9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BD59D0" w:rsidRPr="00BD59D0" w:rsidRDefault="00BD59D0" w:rsidP="00BD59D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</w:pPr>
      <w:r w:rsidRPr="00BD59D0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+</w:t>
      </w:r>
      <w:r w:rsidRPr="00BD59D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en-AU"/>
        </w:rPr>
        <w:t xml:space="preserve"> </w:t>
      </w:r>
      <w:r w:rsidRPr="00BD59D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AU"/>
        </w:rPr>
        <w:t xml:space="preserve">These authors contributed equally </w:t>
      </w:r>
    </w:p>
    <w:p w:rsidR="00155261" w:rsidRPr="00F90E90" w:rsidRDefault="00155261">
      <w:pPr>
        <w:rPr>
          <w:rFonts w:ascii="Times New Roman" w:hAnsi="Times New Roman" w:cs="Times New Roman"/>
          <w:sz w:val="24"/>
          <w:szCs w:val="24"/>
        </w:rPr>
      </w:pPr>
    </w:p>
    <w:p w:rsidR="00155261" w:rsidRPr="00F90E90" w:rsidRDefault="00497C77" w:rsidP="00155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Additional</w:t>
      </w:r>
      <w:r w:rsidR="00155261" w:rsidRPr="00F90E90">
        <w:rPr>
          <w:rFonts w:ascii="Times New Roman" w:eastAsia="Times New Roman" w:hAnsi="Times New Roman" w:cs="Times New Roman"/>
          <w:sz w:val="24"/>
          <w:szCs w:val="24"/>
        </w:rPr>
        <w:t xml:space="preserve"> Information contains:</w:t>
      </w:r>
    </w:p>
    <w:p w:rsidR="00155261" w:rsidRPr="00F90E90" w:rsidRDefault="00497C77" w:rsidP="0015526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Additional</w:t>
      </w:r>
      <w:r w:rsidR="00155261" w:rsidRPr="00F90E90">
        <w:rPr>
          <w:rFonts w:ascii="Times New Roman" w:eastAsia="Times New Roman" w:hAnsi="Times New Roman" w:cs="Times New Roman"/>
          <w:sz w:val="24"/>
          <w:szCs w:val="24"/>
        </w:rPr>
        <w:t xml:space="preserve"> Figures </w:t>
      </w:r>
      <w:proofErr w:type="spellStart"/>
      <w:r w:rsidR="00155261" w:rsidRPr="00F90E90">
        <w:rPr>
          <w:rFonts w:ascii="Times New Roman" w:eastAsia="Times New Roman" w:hAnsi="Times New Roman" w:cs="Times New Roman"/>
          <w:sz w:val="24"/>
          <w:szCs w:val="24"/>
        </w:rPr>
        <w:t>S1-S</w:t>
      </w:r>
      <w:r w:rsidR="00A6332B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spellEnd"/>
    </w:p>
    <w:p w:rsidR="00155261" w:rsidRDefault="00155261"/>
    <w:p w:rsidR="00155261" w:rsidRDefault="00155261">
      <w:bookmarkStart w:id="2" w:name="_GoBack"/>
      <w:bookmarkEnd w:id="2"/>
    </w:p>
    <w:p w:rsidR="00BC2A32" w:rsidRDefault="00BC2A32"/>
    <w:p w:rsidR="00BC2A32" w:rsidRDefault="00BC2A32"/>
    <w:p w:rsidR="00155261" w:rsidRDefault="00155261"/>
    <w:p w:rsidR="00155261" w:rsidRDefault="00155261"/>
    <w:p w:rsidR="00155261" w:rsidRDefault="00155261"/>
    <w:p w:rsidR="0097415F" w:rsidRDefault="0097415F">
      <w:pPr>
        <w:rPr>
          <w:noProof/>
        </w:rPr>
      </w:pPr>
    </w:p>
    <w:p w:rsidR="00155261" w:rsidRDefault="0097415F">
      <w:r>
        <w:rPr>
          <w:noProof/>
        </w:rPr>
        <w:lastRenderedPageBreak/>
        <w:drawing>
          <wp:inline distT="0" distB="0" distL="0" distR="0">
            <wp:extent cx="3554011" cy="3095625"/>
            <wp:effectExtent l="0" t="0" r="8890" b="0"/>
            <wp:docPr id="21" name="Picture 21" descr="C:\Users\44722656\AppData\Local\Microsoft\Windows\INetCache\Content.MSO\999BC2C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4722656\AppData\Local\Microsoft\Windows\INetCache\Content.MSO\999BC2C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35" t="5153" r="3435" b="13730"/>
                    <a:stretch/>
                  </pic:blipFill>
                  <pic:spPr bwMode="auto">
                    <a:xfrm>
                      <a:off x="0" y="0"/>
                      <a:ext cx="3592469" cy="312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3D69" w:rsidRPr="00213D69" w:rsidRDefault="00213D69" w:rsidP="00213D69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213D69">
        <w:rPr>
          <w:rFonts w:ascii="Times New Roman" w:hAnsi="Times New Roman" w:cs="Times New Roman"/>
          <w:b/>
          <w:bCs/>
          <w:sz w:val="24"/>
          <w:szCs w:val="24"/>
          <w:lang w:val="en-AU"/>
        </w:rPr>
        <w:t>Figure S1</w:t>
      </w:r>
      <w:r w:rsidRPr="00213D69">
        <w:rPr>
          <w:rFonts w:ascii="Times New Roman" w:hAnsi="Times New Roman" w:cs="Times New Roman"/>
          <w:sz w:val="24"/>
          <w:szCs w:val="24"/>
          <w:lang w:val="en-AU"/>
        </w:rPr>
        <w:t xml:space="preserve">: Venn diagram comparison of number of common, unshared and shared identified proteins </w:t>
      </w:r>
      <w:r w:rsidR="00FF51F3" w:rsidRPr="00213D69">
        <w:rPr>
          <w:rFonts w:ascii="Times New Roman" w:hAnsi="Times New Roman" w:cs="Times New Roman"/>
          <w:sz w:val="24"/>
          <w:szCs w:val="24"/>
          <w:lang w:val="en-AU"/>
        </w:rPr>
        <w:t>(</w:t>
      </w:r>
      <w:r w:rsidR="00FF51F3">
        <w:rPr>
          <w:rFonts w:ascii="Times New Roman" w:hAnsi="Times New Roman" w:cs="Times New Roman"/>
          <w:sz w:val="24"/>
          <w:szCs w:val="24"/>
          <w:lang w:val="en-AU"/>
        </w:rPr>
        <w:t xml:space="preserve">containing </w:t>
      </w:r>
      <w:r w:rsidRPr="00213D69">
        <w:rPr>
          <w:rFonts w:ascii="Times New Roman" w:hAnsi="Times New Roman" w:cs="Times New Roman"/>
          <w:sz w:val="24"/>
          <w:szCs w:val="24"/>
          <w:u w:val="single"/>
          <w:lang w:val="en-AU"/>
        </w:rPr>
        <w:t>&gt;</w:t>
      </w:r>
      <w:r w:rsidR="00FF51F3" w:rsidRPr="00213D69">
        <w:rPr>
          <w:rFonts w:ascii="Times New Roman" w:hAnsi="Times New Roman" w:cs="Times New Roman"/>
          <w:sz w:val="24"/>
          <w:szCs w:val="24"/>
          <w:lang w:val="en-AU"/>
        </w:rPr>
        <w:t xml:space="preserve">2 </w:t>
      </w:r>
      <w:r w:rsidR="00FF51F3">
        <w:rPr>
          <w:rFonts w:ascii="Times New Roman" w:hAnsi="Times New Roman" w:cs="Times New Roman"/>
          <w:sz w:val="24"/>
          <w:szCs w:val="24"/>
          <w:lang w:val="en-AU"/>
        </w:rPr>
        <w:t xml:space="preserve">uniquely mapping non-nested </w:t>
      </w:r>
      <w:r w:rsidRPr="00213D69">
        <w:rPr>
          <w:rFonts w:ascii="Times New Roman" w:hAnsi="Times New Roman" w:cs="Times New Roman"/>
          <w:sz w:val="24"/>
          <w:szCs w:val="24"/>
          <w:lang w:val="en-AU"/>
        </w:rPr>
        <w:t>peptides</w:t>
      </w:r>
      <w:r w:rsidR="00F90E90">
        <w:rPr>
          <w:rFonts w:ascii="Times New Roman" w:hAnsi="Times New Roman" w:cs="Times New Roman"/>
          <w:sz w:val="24"/>
          <w:szCs w:val="24"/>
          <w:lang w:val="en-AU"/>
        </w:rPr>
        <w:t xml:space="preserve"> of amino acid length </w:t>
      </w:r>
      <w:r w:rsidR="00F90E90" w:rsidRPr="00F90E90">
        <w:rPr>
          <w:rFonts w:ascii="Times New Roman" w:hAnsi="Times New Roman" w:cs="Times New Roman"/>
          <w:sz w:val="24"/>
          <w:szCs w:val="24"/>
          <w:u w:val="single"/>
          <w:lang w:val="en-AU"/>
        </w:rPr>
        <w:t>&gt;</w:t>
      </w:r>
      <w:r w:rsidR="00F90E90">
        <w:rPr>
          <w:rFonts w:ascii="Times New Roman" w:hAnsi="Times New Roman" w:cs="Times New Roman"/>
          <w:sz w:val="24"/>
          <w:szCs w:val="24"/>
          <w:lang w:val="en-AU"/>
        </w:rPr>
        <w:t>9</w:t>
      </w:r>
      <w:r w:rsidRPr="00213D69">
        <w:rPr>
          <w:rFonts w:ascii="Times New Roman" w:hAnsi="Times New Roman" w:cs="Times New Roman"/>
          <w:sz w:val="24"/>
          <w:szCs w:val="24"/>
          <w:lang w:val="en-AU"/>
        </w:rPr>
        <w:t xml:space="preserve">) between four peptide fractionation methods. </w:t>
      </w:r>
      <w:proofErr w:type="spellStart"/>
      <w:r w:rsidRPr="00213D69">
        <w:rPr>
          <w:rFonts w:ascii="Times New Roman" w:hAnsi="Times New Roman" w:cs="Times New Roman"/>
          <w:b/>
          <w:bCs/>
          <w:sz w:val="24"/>
          <w:szCs w:val="24"/>
          <w:lang w:val="en-AU"/>
        </w:rPr>
        <w:t>HpH</w:t>
      </w:r>
      <w:proofErr w:type="spellEnd"/>
      <w:r w:rsidRPr="00213D69">
        <w:rPr>
          <w:rFonts w:ascii="Times New Roman" w:hAnsi="Times New Roman" w:cs="Times New Roman"/>
          <w:sz w:val="24"/>
          <w:szCs w:val="24"/>
          <w:lang w:val="en-AU"/>
        </w:rPr>
        <w:t xml:space="preserve">: High pH C18 reversed phase, </w:t>
      </w:r>
      <w:r w:rsidRPr="00213D69">
        <w:rPr>
          <w:rFonts w:ascii="Times New Roman" w:hAnsi="Times New Roman" w:cs="Times New Roman"/>
          <w:b/>
          <w:bCs/>
          <w:sz w:val="24"/>
          <w:szCs w:val="24"/>
          <w:lang w:val="en-AU"/>
        </w:rPr>
        <w:t>SEC</w:t>
      </w:r>
      <w:r w:rsidRPr="00213D69">
        <w:rPr>
          <w:rFonts w:ascii="Times New Roman" w:hAnsi="Times New Roman" w:cs="Times New Roman"/>
          <w:sz w:val="24"/>
          <w:szCs w:val="24"/>
          <w:lang w:val="en-AU"/>
        </w:rPr>
        <w:t xml:space="preserve">: Size exclusion chromatography, </w:t>
      </w:r>
      <w:r w:rsidRPr="00213D69">
        <w:rPr>
          <w:rFonts w:ascii="Times New Roman" w:hAnsi="Times New Roman" w:cs="Times New Roman"/>
          <w:b/>
          <w:bCs/>
          <w:sz w:val="24"/>
          <w:szCs w:val="24"/>
          <w:lang w:val="en-AU"/>
        </w:rPr>
        <w:t>SAX</w:t>
      </w:r>
      <w:r w:rsidRPr="00213D69">
        <w:rPr>
          <w:rFonts w:ascii="Times New Roman" w:hAnsi="Times New Roman" w:cs="Times New Roman"/>
          <w:sz w:val="24"/>
          <w:szCs w:val="24"/>
          <w:lang w:val="en-AU"/>
        </w:rPr>
        <w:t xml:space="preserve">: Strong anion exchange, </w:t>
      </w:r>
      <w:r w:rsidRPr="00213D69">
        <w:rPr>
          <w:rFonts w:ascii="Times New Roman" w:hAnsi="Times New Roman" w:cs="Times New Roman"/>
          <w:b/>
          <w:bCs/>
          <w:sz w:val="24"/>
          <w:szCs w:val="24"/>
          <w:lang w:val="en-AU"/>
        </w:rPr>
        <w:t>SCX</w:t>
      </w:r>
      <w:r w:rsidRPr="00213D69">
        <w:rPr>
          <w:rFonts w:ascii="Times New Roman" w:hAnsi="Times New Roman" w:cs="Times New Roman"/>
          <w:sz w:val="24"/>
          <w:szCs w:val="24"/>
          <w:lang w:val="en-AU"/>
        </w:rPr>
        <w:t>: Strong cation exchange.</w:t>
      </w:r>
    </w:p>
    <w:p w:rsidR="00213D69" w:rsidRDefault="00213D69" w:rsidP="00C811D8">
      <w:pPr>
        <w:rPr>
          <w:lang w:val="en-AU"/>
        </w:rPr>
      </w:pPr>
    </w:p>
    <w:p w:rsidR="00C811D8" w:rsidRDefault="00C811D8" w:rsidP="00C811D8">
      <w:pPr>
        <w:rPr>
          <w:lang w:val="en-AU"/>
        </w:rPr>
      </w:pPr>
      <w:r>
        <w:rPr>
          <w:lang w:val="en-AU"/>
        </w:rPr>
        <w:br w:type="page"/>
      </w:r>
    </w:p>
    <w:p w:rsidR="00BC2A32" w:rsidRDefault="00BC2A3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190216</wp:posOffset>
            </wp:positionV>
            <wp:extent cx="6351905" cy="320675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3630295</wp:posOffset>
            </wp:positionV>
            <wp:extent cx="6242685" cy="320929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320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A32" w:rsidRDefault="00BC2A32"/>
    <w:p w:rsidR="00BC2A32" w:rsidRDefault="00BC2A32"/>
    <w:p w:rsidR="00BC2A32" w:rsidRDefault="00BC2A32"/>
    <w:p w:rsidR="00BC2A32" w:rsidRDefault="00BC2A32"/>
    <w:p w:rsidR="00BC2A32" w:rsidRDefault="00BC2A32"/>
    <w:p w:rsidR="00BC2A32" w:rsidRDefault="00BC2A32"/>
    <w:p w:rsidR="00BC2A32" w:rsidRDefault="00BC2A32"/>
    <w:p w:rsidR="00BC2A32" w:rsidRDefault="00C811D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-71755</wp:posOffset>
            </wp:positionH>
            <wp:positionV relativeFrom="paragraph">
              <wp:posOffset>3705225</wp:posOffset>
            </wp:positionV>
            <wp:extent cx="5960110" cy="3248660"/>
            <wp:effectExtent l="0" t="0" r="2540" b="889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324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-215265</wp:posOffset>
            </wp:positionH>
            <wp:positionV relativeFrom="paragraph">
              <wp:posOffset>0</wp:posOffset>
            </wp:positionV>
            <wp:extent cx="6035040" cy="3361055"/>
            <wp:effectExtent l="0" t="0" r="381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336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2A32" w:rsidRDefault="00BC2A32" w:rsidP="00BC2A32">
      <w:pPr>
        <w:rPr>
          <w:b/>
          <w:bCs/>
          <w:lang w:val="en-AU"/>
        </w:rPr>
      </w:pPr>
    </w:p>
    <w:p w:rsidR="00BC2A32" w:rsidRPr="00F90E90" w:rsidRDefault="00BC2A32" w:rsidP="00BC2A32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F90E90">
        <w:rPr>
          <w:rFonts w:ascii="Times New Roman" w:hAnsi="Times New Roman" w:cs="Times New Roman"/>
          <w:b/>
          <w:bCs/>
          <w:sz w:val="24"/>
          <w:szCs w:val="24"/>
          <w:lang w:val="en-AU"/>
        </w:rPr>
        <w:t>Figure S2</w:t>
      </w:r>
      <w:r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: </w:t>
      </w:r>
      <w:r w:rsidRPr="00F90E90">
        <w:rPr>
          <w:rFonts w:ascii="Times New Roman" w:hAnsi="Times New Roman" w:cs="Times New Roman"/>
          <w:sz w:val="24"/>
          <w:szCs w:val="24"/>
        </w:rPr>
        <w:t xml:space="preserve">Extracted SWATH dataset from </w:t>
      </w:r>
      <w:r w:rsidRPr="00F90E90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F90E90">
        <w:rPr>
          <w:rFonts w:ascii="Times New Roman" w:hAnsi="Times New Roman" w:cs="Times New Roman"/>
          <w:sz w:val="24"/>
          <w:szCs w:val="24"/>
        </w:rPr>
        <w:t xml:space="preserve"> non-depleted, </w:t>
      </w:r>
      <w:r w:rsidRPr="00F90E90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Pr="00F90E90">
        <w:rPr>
          <w:rFonts w:ascii="Times New Roman" w:hAnsi="Times New Roman" w:cs="Times New Roman"/>
          <w:sz w:val="24"/>
          <w:szCs w:val="24"/>
        </w:rPr>
        <w:t xml:space="preserve"> MARS-14 depleted, </w:t>
      </w:r>
      <w:r w:rsidRPr="00F90E90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F90E90">
        <w:rPr>
          <w:rFonts w:ascii="Times New Roman" w:hAnsi="Times New Roman" w:cs="Times New Roman"/>
          <w:sz w:val="24"/>
          <w:szCs w:val="24"/>
        </w:rPr>
        <w:t xml:space="preserve"> MARS-14→API depleted </w:t>
      </w:r>
      <w:r w:rsidRPr="00F90E90">
        <w:rPr>
          <w:rFonts w:ascii="Times New Roman" w:hAnsi="Times New Roman" w:cs="Times New Roman"/>
          <w:b/>
          <w:bCs/>
          <w:sz w:val="24"/>
          <w:szCs w:val="24"/>
        </w:rPr>
        <w:t>(d)</w:t>
      </w:r>
      <w:r w:rsidRPr="00F90E90">
        <w:rPr>
          <w:rFonts w:ascii="Times New Roman" w:hAnsi="Times New Roman" w:cs="Times New Roman"/>
          <w:sz w:val="24"/>
          <w:szCs w:val="24"/>
        </w:rPr>
        <w:t xml:space="preserve"> API→MARS-14 depleted experiments were independently normalized using total area normalization. T</w:t>
      </w:r>
      <w:r w:rsidRPr="00F90E90">
        <w:rPr>
          <w:rFonts w:ascii="Times New Roman" w:hAnsi="Times New Roman" w:cs="Times New Roman"/>
          <w:sz w:val="24"/>
          <w:szCs w:val="24"/>
          <w:lang w:val="en-AU"/>
        </w:rPr>
        <w:t>he data distribution was examined using density plots and boxplots. The consistency of the sample replication was examined visually using heatmap hierarchical clustering and PCA plots. Healthy controls represented as stage E in the images. PCA: Principal component analysis.</w:t>
      </w:r>
    </w:p>
    <w:p w:rsidR="00C811D8" w:rsidRDefault="00C811D8">
      <w:pPr>
        <w:rPr>
          <w:lang w:val="en-AU"/>
        </w:rPr>
      </w:pPr>
      <w:r>
        <w:rPr>
          <w:lang w:val="en-AU"/>
        </w:rPr>
        <w:lastRenderedPageBreak/>
        <w:br w:type="page"/>
      </w:r>
    </w:p>
    <w:p w:rsidR="009A0BB7" w:rsidRDefault="009A0BB7" w:rsidP="009A0BB7">
      <w:pPr>
        <w:spacing w:after="240"/>
      </w:pPr>
      <w:r>
        <w:rPr>
          <w:noProof/>
        </w:rPr>
        <w:lastRenderedPageBreak/>
        <w:drawing>
          <wp:inline distT="0" distB="0" distL="0" distR="0">
            <wp:extent cx="5479222" cy="2269253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49" cy="2283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BB7" w:rsidRDefault="009A0BB7" w:rsidP="009A0BB7">
      <w:pPr>
        <w:spacing w:after="240"/>
      </w:pPr>
      <w:r>
        <w:rPr>
          <w:noProof/>
        </w:rPr>
        <w:drawing>
          <wp:inline distT="0" distB="0" distL="0" distR="0">
            <wp:extent cx="5923943" cy="239789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93" cy="241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BB7" w:rsidRDefault="009A0BB7" w:rsidP="009A0BB7">
      <w:pPr>
        <w:spacing w:after="240"/>
        <w:rPr>
          <w:b/>
          <w:bCs/>
          <w:lang w:val="en-AU"/>
        </w:rPr>
      </w:pPr>
      <w:r>
        <w:rPr>
          <w:b/>
          <w:bCs/>
          <w:noProof/>
        </w:rPr>
        <w:drawing>
          <wp:inline distT="0" distB="0" distL="0" distR="0">
            <wp:extent cx="5503046" cy="2527189"/>
            <wp:effectExtent l="0" t="0" r="254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72" cy="2542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BB7" w:rsidRDefault="009A0BB7" w:rsidP="009A0BB7">
      <w:pPr>
        <w:spacing w:after="240"/>
        <w:rPr>
          <w:b/>
          <w:bCs/>
          <w:lang w:val="en-AU"/>
        </w:rPr>
      </w:pPr>
    </w:p>
    <w:p w:rsidR="009A0BB7" w:rsidRDefault="009A0BB7" w:rsidP="009A0BB7">
      <w:pPr>
        <w:spacing w:after="240"/>
        <w:rPr>
          <w:b/>
          <w:bCs/>
          <w:lang w:val="en-AU"/>
        </w:rPr>
      </w:pPr>
    </w:p>
    <w:p w:rsidR="009A0BB7" w:rsidRDefault="009A0BB7" w:rsidP="009A0BB7">
      <w:pPr>
        <w:rPr>
          <w:b/>
          <w:bCs/>
          <w:lang w:val="en-AU"/>
        </w:rPr>
      </w:pPr>
    </w:p>
    <w:p w:rsidR="009A0BB7" w:rsidRDefault="009A0BB7" w:rsidP="009A0BB7">
      <w:pPr>
        <w:rPr>
          <w:b/>
          <w:bCs/>
          <w:lang w:val="en-AU"/>
        </w:rPr>
      </w:pPr>
    </w:p>
    <w:p w:rsidR="009A0BB7" w:rsidRDefault="009A0BB7" w:rsidP="009A0BB7">
      <w:pPr>
        <w:rPr>
          <w:b/>
          <w:bCs/>
          <w:lang w:val="en-AU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120640" cy="272938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5031"/>
                    <a:stretch/>
                  </pic:blipFill>
                  <pic:spPr bwMode="auto">
                    <a:xfrm>
                      <a:off x="0" y="0"/>
                      <a:ext cx="5162150" cy="27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A0BB7" w:rsidRDefault="00F65AAA" w:rsidP="009A0BB7">
      <w:pPr>
        <w:rPr>
          <w:b/>
          <w:bCs/>
          <w:lang w:val="en-AU"/>
        </w:rPr>
      </w:pPr>
      <w:r>
        <w:rPr>
          <w:b/>
          <w:bCs/>
          <w:noProof/>
        </w:rPr>
        <w:drawing>
          <wp:inline distT="0" distB="0" distL="0" distR="0">
            <wp:extent cx="5471324" cy="235289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38" cy="2370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BB7" w:rsidRDefault="00F65AAA" w:rsidP="009A0BB7">
      <w:pPr>
        <w:rPr>
          <w:b/>
          <w:bCs/>
          <w:lang w:val="en-AU"/>
        </w:rPr>
      </w:pPr>
      <w:r>
        <w:rPr>
          <w:b/>
          <w:bCs/>
          <w:noProof/>
        </w:rPr>
        <w:drawing>
          <wp:inline distT="0" distB="0" distL="0" distR="0">
            <wp:extent cx="5202663" cy="26550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216" cy="266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F0F" w:rsidRDefault="009A0BB7" w:rsidP="00F90E90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F90E90">
        <w:rPr>
          <w:rFonts w:ascii="Times New Roman" w:hAnsi="Times New Roman" w:cs="Times New Roman"/>
          <w:b/>
          <w:bCs/>
          <w:sz w:val="24"/>
          <w:szCs w:val="24"/>
          <w:lang w:val="en-AU"/>
        </w:rPr>
        <w:t>Figure S</w:t>
      </w:r>
      <w:r w:rsidR="00730F0F" w:rsidRPr="00F90E90">
        <w:rPr>
          <w:rFonts w:ascii="Times New Roman" w:hAnsi="Times New Roman" w:cs="Times New Roman"/>
          <w:b/>
          <w:bCs/>
          <w:sz w:val="24"/>
          <w:szCs w:val="24"/>
          <w:lang w:val="en-AU"/>
        </w:rPr>
        <w:t>3</w:t>
      </w:r>
      <w:r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: Western blotting images (left) and Ponceau stained images (right) of </w:t>
      </w:r>
      <w:r w:rsidRPr="00F90E90">
        <w:rPr>
          <w:rFonts w:ascii="Times New Roman" w:hAnsi="Times New Roman" w:cs="Times New Roman"/>
          <w:b/>
          <w:bCs/>
          <w:sz w:val="24"/>
          <w:szCs w:val="24"/>
          <w:lang w:val="en-AU"/>
        </w:rPr>
        <w:t>(a)</w:t>
      </w:r>
      <w:r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 Complement factor D, CST3, </w:t>
      </w:r>
      <w:r w:rsidRPr="00F90E90">
        <w:rPr>
          <w:rFonts w:ascii="Times New Roman" w:hAnsi="Times New Roman" w:cs="Times New Roman"/>
          <w:b/>
          <w:bCs/>
          <w:sz w:val="24"/>
          <w:szCs w:val="24"/>
          <w:lang w:val="en-AU"/>
        </w:rPr>
        <w:t>(b)</w:t>
      </w:r>
      <w:r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 Glutathione peroxidase 3, GPX3, </w:t>
      </w:r>
      <w:r w:rsidRPr="00F90E90">
        <w:rPr>
          <w:rFonts w:ascii="Times New Roman" w:hAnsi="Times New Roman" w:cs="Times New Roman"/>
          <w:b/>
          <w:bCs/>
          <w:sz w:val="24"/>
          <w:szCs w:val="24"/>
          <w:lang w:val="en-AU"/>
        </w:rPr>
        <w:t>(c)</w:t>
      </w:r>
      <w:r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 Complement factor D, CFD, </w:t>
      </w:r>
      <w:r w:rsidRPr="00F90E90">
        <w:rPr>
          <w:rFonts w:ascii="Times New Roman" w:hAnsi="Times New Roman" w:cs="Times New Roman"/>
          <w:b/>
          <w:bCs/>
          <w:sz w:val="24"/>
          <w:szCs w:val="24"/>
          <w:lang w:val="en-AU"/>
        </w:rPr>
        <w:t>(d)</w:t>
      </w:r>
      <w:r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 Macrophage mannose receptor 1, MRC1, </w:t>
      </w:r>
      <w:r w:rsidRPr="00F90E90">
        <w:rPr>
          <w:rFonts w:ascii="Times New Roman" w:hAnsi="Times New Roman" w:cs="Times New Roman"/>
          <w:b/>
          <w:bCs/>
          <w:sz w:val="24"/>
          <w:szCs w:val="24"/>
          <w:lang w:val="en-AU"/>
        </w:rPr>
        <w:t>(e)</w:t>
      </w:r>
      <w:r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 Cartilage oligomeric matrix protein, COMP and </w:t>
      </w:r>
      <w:r w:rsidRPr="00F90E90">
        <w:rPr>
          <w:rFonts w:ascii="Times New Roman" w:hAnsi="Times New Roman" w:cs="Times New Roman"/>
          <w:b/>
          <w:bCs/>
          <w:sz w:val="24"/>
          <w:szCs w:val="24"/>
          <w:lang w:val="en-AU"/>
        </w:rPr>
        <w:t>(f)</w:t>
      </w:r>
      <w:r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 Serum </w:t>
      </w:r>
      <w:proofErr w:type="spellStart"/>
      <w:r w:rsidRPr="00F90E90">
        <w:rPr>
          <w:rFonts w:ascii="Times New Roman" w:hAnsi="Times New Roman" w:cs="Times New Roman"/>
          <w:sz w:val="24"/>
          <w:szCs w:val="24"/>
          <w:lang w:val="en-AU"/>
        </w:rPr>
        <w:t>paraoxonase</w:t>
      </w:r>
      <w:proofErr w:type="spellEnd"/>
      <w:r w:rsidRPr="00F90E90">
        <w:rPr>
          <w:rFonts w:ascii="Times New Roman" w:hAnsi="Times New Roman" w:cs="Times New Roman"/>
          <w:sz w:val="24"/>
          <w:szCs w:val="24"/>
          <w:lang w:val="en-AU"/>
        </w:rPr>
        <w:t>/</w:t>
      </w:r>
      <w:proofErr w:type="spellStart"/>
      <w:r w:rsidRPr="00F90E90">
        <w:rPr>
          <w:rFonts w:ascii="Times New Roman" w:hAnsi="Times New Roman" w:cs="Times New Roman"/>
          <w:sz w:val="24"/>
          <w:szCs w:val="24"/>
          <w:lang w:val="en-AU"/>
        </w:rPr>
        <w:t>arylesterase</w:t>
      </w:r>
      <w:proofErr w:type="spellEnd"/>
      <w:r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 1, PON1</w:t>
      </w:r>
      <w:r w:rsidR="00F65AAA" w:rsidRPr="00F90E90"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</w:p>
    <w:p w:rsidR="008B0215" w:rsidRDefault="00363A4E" w:rsidP="00F90E90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363A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30737" cy="2127688"/>
            <wp:effectExtent l="0" t="0" r="3810" b="6350"/>
            <wp:docPr id="1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319553-940E-41AC-953F-1074417F55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319553-940E-41AC-953F-1074417F55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212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A4E" w:rsidRPr="00E23DD3" w:rsidRDefault="00363A4E" w:rsidP="00F90E90">
      <w:pPr>
        <w:jc w:val="both"/>
        <w:rPr>
          <w:rFonts w:ascii="Times New Roman" w:hAnsi="Times New Roman" w:cs="Times New Roman"/>
          <w:sz w:val="24"/>
          <w:szCs w:val="24"/>
          <w:lang w:val="en-AU"/>
        </w:rPr>
      </w:pPr>
      <w:r w:rsidRPr="00E23DD3">
        <w:rPr>
          <w:rFonts w:ascii="Times New Roman" w:hAnsi="Times New Roman" w:cs="Times New Roman"/>
          <w:b/>
          <w:bCs/>
          <w:sz w:val="24"/>
          <w:szCs w:val="24"/>
          <w:lang w:val="en-AU"/>
        </w:rPr>
        <w:t>Figure S4</w:t>
      </w:r>
      <w:r w:rsidRPr="00E23DD3">
        <w:rPr>
          <w:rFonts w:ascii="Times New Roman" w:hAnsi="Times New Roman" w:cs="Times New Roman"/>
          <w:sz w:val="24"/>
          <w:szCs w:val="24"/>
          <w:lang w:val="en-AU"/>
        </w:rPr>
        <w:t>: Iso</w:t>
      </w:r>
      <w:r w:rsidR="00797AB0" w:rsidRPr="00E23DD3">
        <w:rPr>
          <w:rFonts w:ascii="Times New Roman" w:hAnsi="Times New Roman" w:cs="Times New Roman"/>
          <w:sz w:val="24"/>
          <w:szCs w:val="24"/>
          <w:lang w:val="en-AU"/>
        </w:rPr>
        <w:t>type controls for western blots. (a)</w:t>
      </w:r>
      <w:r w:rsidR="00315290" w:rsidRPr="00E23DD3">
        <w:rPr>
          <w:rFonts w:ascii="Times New Roman" w:hAnsi="Times New Roman" w:cs="Times New Roman"/>
          <w:sz w:val="24"/>
          <w:szCs w:val="24"/>
          <w:lang w:val="en-AU"/>
        </w:rPr>
        <w:t xml:space="preserve"> IgG </w:t>
      </w:r>
      <w:r w:rsidR="00B91B91" w:rsidRPr="00E23DD3">
        <w:rPr>
          <w:rFonts w:ascii="Times New Roman" w:hAnsi="Times New Roman" w:cs="Times New Roman"/>
          <w:sz w:val="24"/>
          <w:szCs w:val="24"/>
          <w:lang w:val="en-AU"/>
        </w:rPr>
        <w:t>controls</w:t>
      </w:r>
      <w:r w:rsidR="00315290" w:rsidRPr="00E23DD3">
        <w:rPr>
          <w:rFonts w:ascii="Times New Roman" w:hAnsi="Times New Roman" w:cs="Times New Roman"/>
          <w:sz w:val="24"/>
          <w:szCs w:val="24"/>
          <w:lang w:val="en-AU"/>
        </w:rPr>
        <w:t xml:space="preserve"> for CST1, MRC1 and COMP</w:t>
      </w:r>
      <w:r w:rsidR="00FA1A6D" w:rsidRPr="00E23DD3">
        <w:rPr>
          <w:rFonts w:ascii="Times New Roman" w:hAnsi="Times New Roman" w:cs="Times New Roman"/>
          <w:sz w:val="24"/>
          <w:szCs w:val="24"/>
          <w:lang w:val="en-AU"/>
        </w:rPr>
        <w:t xml:space="preserve"> (</w:t>
      </w:r>
      <w:r w:rsidR="00E21DE2" w:rsidRPr="00E23DD3">
        <w:rPr>
          <w:rFonts w:ascii="Times New Roman" w:hAnsi="Times New Roman" w:cs="Times New Roman"/>
          <w:sz w:val="24"/>
          <w:szCs w:val="24"/>
          <w:lang w:val="en-AU"/>
        </w:rPr>
        <w:t>polyclonal Rabbit, IgG</w:t>
      </w:r>
      <w:r w:rsidR="00FA1A6D" w:rsidRPr="00E23DD3">
        <w:rPr>
          <w:rFonts w:ascii="Times New Roman" w:hAnsi="Times New Roman" w:cs="Times New Roman"/>
          <w:sz w:val="24"/>
          <w:szCs w:val="24"/>
          <w:lang w:val="en-AU"/>
        </w:rPr>
        <w:t>)</w:t>
      </w:r>
      <w:r w:rsidR="00E21DE2" w:rsidRPr="00E23DD3">
        <w:rPr>
          <w:rFonts w:ascii="Times New Roman" w:hAnsi="Times New Roman" w:cs="Times New Roman"/>
          <w:sz w:val="24"/>
          <w:szCs w:val="24"/>
          <w:lang w:val="en-AU"/>
        </w:rPr>
        <w:t xml:space="preserve">. </w:t>
      </w:r>
      <w:r w:rsidR="00B91B91" w:rsidRPr="00E23DD3">
        <w:rPr>
          <w:rFonts w:ascii="Times New Roman" w:hAnsi="Times New Roman" w:cs="Times New Roman"/>
          <w:sz w:val="24"/>
          <w:szCs w:val="24"/>
          <w:lang w:val="en-AU"/>
        </w:rPr>
        <w:t>(b)</w:t>
      </w:r>
      <w:r w:rsidR="00E21DE2" w:rsidRPr="00E23DD3">
        <w:rPr>
          <w:rFonts w:ascii="Times New Roman" w:hAnsi="Times New Roman" w:cs="Times New Roman"/>
          <w:sz w:val="24"/>
          <w:szCs w:val="24"/>
          <w:lang w:val="en-AU"/>
        </w:rPr>
        <w:t xml:space="preserve"> IgG </w:t>
      </w:r>
      <w:r w:rsidR="00F85B7B" w:rsidRPr="00E23DD3">
        <w:rPr>
          <w:rFonts w:ascii="Times New Roman" w:hAnsi="Times New Roman" w:cs="Times New Roman"/>
          <w:sz w:val="24"/>
          <w:szCs w:val="24"/>
          <w:lang w:val="en-AU"/>
        </w:rPr>
        <w:t>control for CFD and GPX3 (polyclonal goat</w:t>
      </w:r>
      <w:r w:rsidR="00915426" w:rsidRPr="00E23DD3">
        <w:rPr>
          <w:rFonts w:ascii="Times New Roman" w:hAnsi="Times New Roman" w:cs="Times New Roman"/>
          <w:sz w:val="24"/>
          <w:szCs w:val="24"/>
          <w:lang w:val="en-AU"/>
        </w:rPr>
        <w:t>, IgG). (c) IgG1 control for PON1</w:t>
      </w:r>
      <w:r w:rsidR="00BE1AFE" w:rsidRPr="00E23DD3">
        <w:rPr>
          <w:rFonts w:ascii="Times New Roman" w:hAnsi="Times New Roman" w:cs="Times New Roman"/>
          <w:sz w:val="24"/>
          <w:szCs w:val="24"/>
          <w:lang w:val="en-AU"/>
        </w:rPr>
        <w:t xml:space="preserve"> (</w:t>
      </w:r>
      <w:r w:rsidR="000555A5" w:rsidRPr="00E23D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monoclonal </w:t>
      </w:r>
      <w:r w:rsidR="00E23D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</w:t>
      </w:r>
      <w:r w:rsidR="00E23DD3" w:rsidRPr="00E23D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abbit</w:t>
      </w:r>
      <w:r w:rsidR="00E23DD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IgG1</w:t>
      </w:r>
      <w:r w:rsidR="00BE1AFE" w:rsidRPr="00E23DD3">
        <w:rPr>
          <w:rFonts w:ascii="Times New Roman" w:hAnsi="Times New Roman" w:cs="Times New Roman"/>
          <w:sz w:val="24"/>
          <w:szCs w:val="24"/>
          <w:lang w:val="en-AU"/>
        </w:rPr>
        <w:t>)</w:t>
      </w:r>
      <w:r w:rsidR="00E23DD3">
        <w:rPr>
          <w:rFonts w:ascii="Times New Roman" w:hAnsi="Times New Roman" w:cs="Times New Roman"/>
          <w:sz w:val="24"/>
          <w:szCs w:val="24"/>
          <w:lang w:val="en-AU"/>
        </w:rPr>
        <w:t>.</w:t>
      </w:r>
    </w:p>
    <w:sectPr w:rsidR="00363A4E" w:rsidRPr="00E23DD3" w:rsidSect="00DF53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MDYwNTS0MDUzsTSyMDdX0lEKTi0uzszPAymwqAUA6w1rHSwAAAA="/>
  </w:docVars>
  <w:rsids>
    <w:rsidRoot w:val="00BC2A32"/>
    <w:rsid w:val="000243C3"/>
    <w:rsid w:val="00052B2C"/>
    <w:rsid w:val="000555A5"/>
    <w:rsid w:val="000F30D2"/>
    <w:rsid w:val="00155261"/>
    <w:rsid w:val="001E5C15"/>
    <w:rsid w:val="00213D69"/>
    <w:rsid w:val="00315290"/>
    <w:rsid w:val="00363A4E"/>
    <w:rsid w:val="00497C77"/>
    <w:rsid w:val="00533F96"/>
    <w:rsid w:val="005E2793"/>
    <w:rsid w:val="00730F0F"/>
    <w:rsid w:val="00797AB0"/>
    <w:rsid w:val="007D0B8B"/>
    <w:rsid w:val="008B0215"/>
    <w:rsid w:val="008E6FD4"/>
    <w:rsid w:val="00915426"/>
    <w:rsid w:val="00943FA2"/>
    <w:rsid w:val="0097415F"/>
    <w:rsid w:val="009A0BB7"/>
    <w:rsid w:val="00A6332B"/>
    <w:rsid w:val="00A85D00"/>
    <w:rsid w:val="00B91B91"/>
    <w:rsid w:val="00BA2D54"/>
    <w:rsid w:val="00BC2A32"/>
    <w:rsid w:val="00BD1374"/>
    <w:rsid w:val="00BD59D0"/>
    <w:rsid w:val="00BE1AFE"/>
    <w:rsid w:val="00BE4F3E"/>
    <w:rsid w:val="00C811D8"/>
    <w:rsid w:val="00D058F9"/>
    <w:rsid w:val="00DF539F"/>
    <w:rsid w:val="00E21DE2"/>
    <w:rsid w:val="00E23DD3"/>
    <w:rsid w:val="00E7334B"/>
    <w:rsid w:val="00EF3F4A"/>
    <w:rsid w:val="00F65AAA"/>
    <w:rsid w:val="00F66391"/>
    <w:rsid w:val="00F85B7B"/>
    <w:rsid w:val="00F90E90"/>
    <w:rsid w:val="00FA1A6D"/>
    <w:rsid w:val="00FF5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39F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52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F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F0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2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mailto:mark.baker@mq.edu.au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Charlie Ahn</dc:creator>
  <cp:keywords/>
  <dc:description/>
  <cp:lastModifiedBy>0011692</cp:lastModifiedBy>
  <cp:revision>5</cp:revision>
  <cp:lastPrinted>2019-05-26T12:11:00Z</cp:lastPrinted>
  <dcterms:created xsi:type="dcterms:W3CDTF">2019-08-10T13:21:00Z</dcterms:created>
  <dcterms:modified xsi:type="dcterms:W3CDTF">2019-08-17T14:50:00Z</dcterms:modified>
</cp:coreProperties>
</file>