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77" w:rsidRDefault="00542677" w:rsidP="00542677">
      <w:pPr>
        <w:spacing w:after="0"/>
        <w:rPr>
          <w:lang w:val="en-US"/>
        </w:rPr>
      </w:pPr>
    </w:p>
    <w:p w:rsidR="00542677" w:rsidRPr="00475DAC" w:rsidRDefault="00542677" w:rsidP="00542677">
      <w:pPr>
        <w:spacing w:after="0"/>
        <w:rPr>
          <w:lang w:val="en-US"/>
        </w:rPr>
      </w:pPr>
      <w:r>
        <w:rPr>
          <w:rFonts w:ascii="Times New Roman" w:hAnsi="Times New Roman" w:cs="Times New Roman"/>
          <w:b/>
          <w:noProof/>
          <w:sz w:val="18"/>
          <w:lang w:val="it-IT" w:eastAsia="it-IT"/>
        </w:rPr>
        <w:drawing>
          <wp:inline distT="0" distB="0" distL="0" distR="0" wp14:anchorId="7843A80E" wp14:editId="56930856">
            <wp:extent cx="6176010" cy="84378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843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677" w:rsidRDefault="00542677" w:rsidP="00542677">
      <w:pPr>
        <w:jc w:val="both"/>
        <w:rPr>
          <w:rFonts w:ascii="Times New Roman" w:hAnsi="Times New Roman" w:cs="Times New Roman"/>
          <w:b/>
          <w:sz w:val="18"/>
        </w:rPr>
      </w:pPr>
    </w:p>
    <w:p w:rsidR="00542677" w:rsidRDefault="00542677" w:rsidP="00542677">
      <w:pPr>
        <w:jc w:val="both"/>
        <w:rPr>
          <w:rFonts w:ascii="Times New Roman" w:hAnsi="Times New Roman" w:cs="Times New Roman"/>
          <w:sz w:val="18"/>
          <w:lang w:val="en-US"/>
        </w:rPr>
      </w:pPr>
      <w:r w:rsidRPr="00B527EE">
        <w:rPr>
          <w:rFonts w:ascii="Times New Roman" w:hAnsi="Times New Roman" w:cs="Times New Roman"/>
          <w:b/>
          <w:sz w:val="18"/>
        </w:rPr>
        <w:t>Table S1</w:t>
      </w:r>
      <w:r w:rsidRPr="00475DAC">
        <w:rPr>
          <w:rFonts w:ascii="Times New Roman" w:hAnsi="Times New Roman" w:cs="Times New Roman"/>
          <w:b/>
          <w:sz w:val="18"/>
        </w:rPr>
        <w:t>.</w:t>
      </w:r>
      <w:r w:rsidRPr="00B527E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List of</w:t>
      </w:r>
      <w:r w:rsidRPr="00B527EE">
        <w:rPr>
          <w:rFonts w:ascii="Times New Roman" w:hAnsi="Times New Roman" w:cs="Times New Roman"/>
          <w:sz w:val="18"/>
        </w:rPr>
        <w:t xml:space="preserve"> the </w:t>
      </w:r>
      <w:r w:rsidRPr="00B527EE">
        <w:rPr>
          <w:rFonts w:ascii="Times New Roman" w:hAnsi="Times New Roman" w:cs="Times New Roman"/>
          <w:i/>
          <w:iCs/>
          <w:sz w:val="18"/>
        </w:rPr>
        <w:t>endo</w:t>
      </w:r>
      <w:r w:rsidRPr="00B527EE">
        <w:rPr>
          <w:rFonts w:ascii="Times New Roman" w:hAnsi="Times New Roman" w:cs="Times New Roman"/>
          <w:sz w:val="18"/>
        </w:rPr>
        <w:t xml:space="preserve">- and </w:t>
      </w:r>
      <w:proofErr w:type="spellStart"/>
      <w:r w:rsidRPr="00B527EE">
        <w:rPr>
          <w:rFonts w:ascii="Times New Roman" w:hAnsi="Times New Roman" w:cs="Times New Roman"/>
          <w:i/>
          <w:iCs/>
          <w:sz w:val="18"/>
        </w:rPr>
        <w:t>exo</w:t>
      </w:r>
      <w:proofErr w:type="spellEnd"/>
      <w:r w:rsidRPr="00B527EE">
        <w:rPr>
          <w:rFonts w:ascii="Times New Roman" w:hAnsi="Times New Roman" w:cs="Times New Roman"/>
          <w:sz w:val="18"/>
        </w:rPr>
        <w:t xml:space="preserve">-metabolites assigned and analysed over time before and after </w:t>
      </w:r>
      <w:proofErr w:type="spellStart"/>
      <w:r w:rsidRPr="00B527EE">
        <w:rPr>
          <w:rFonts w:ascii="Times New Roman" w:hAnsi="Times New Roman" w:cs="Times New Roman"/>
          <w:sz w:val="18"/>
        </w:rPr>
        <w:t>GlaB</w:t>
      </w:r>
      <w:proofErr w:type="spellEnd"/>
      <w:r w:rsidRPr="00B527EE">
        <w:rPr>
          <w:rFonts w:ascii="Times New Roman" w:hAnsi="Times New Roman" w:cs="Times New Roman"/>
          <w:sz w:val="18"/>
        </w:rPr>
        <w:t xml:space="preserve"> treatment. Metabolites realised from GL261 cells after 48h of treatment </w:t>
      </w:r>
      <w:proofErr w:type="gramStart"/>
      <w:r w:rsidRPr="00B527EE">
        <w:rPr>
          <w:rFonts w:ascii="Times New Roman" w:hAnsi="Times New Roman" w:cs="Times New Roman"/>
          <w:sz w:val="18"/>
        </w:rPr>
        <w:t>are reported</w:t>
      </w:r>
      <w:proofErr w:type="gramEnd"/>
      <w:r w:rsidRPr="00B527EE">
        <w:rPr>
          <w:rFonts w:ascii="Times New Roman" w:hAnsi="Times New Roman" w:cs="Times New Roman"/>
          <w:sz w:val="18"/>
        </w:rPr>
        <w:t xml:space="preserve"> separately. The Human Metabolome Database (HMDB) compound ID of each metabolite </w:t>
      </w:r>
      <w:proofErr w:type="gramStart"/>
      <w:r w:rsidRPr="00B527EE">
        <w:rPr>
          <w:rFonts w:ascii="Times New Roman" w:hAnsi="Times New Roman" w:cs="Times New Roman"/>
          <w:sz w:val="18"/>
        </w:rPr>
        <w:t>is also reported</w:t>
      </w:r>
      <w:proofErr w:type="gramEnd"/>
      <w:r w:rsidRPr="00B527EE">
        <w:rPr>
          <w:rFonts w:ascii="Times New Roman" w:hAnsi="Times New Roman" w:cs="Times New Roman"/>
          <w:sz w:val="18"/>
        </w:rPr>
        <w:t>.</w:t>
      </w:r>
      <w:r w:rsidRPr="00B527EE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542677" w:rsidRPr="00B527EE" w:rsidRDefault="00542677" w:rsidP="00542677">
      <w:pPr>
        <w:jc w:val="both"/>
        <w:rPr>
          <w:rFonts w:ascii="Times New Roman" w:hAnsi="Times New Roman" w:cs="Times New Roman"/>
          <w:sz w:val="18"/>
          <w:lang w:val="en-US"/>
        </w:rPr>
      </w:pPr>
    </w:p>
    <w:p w:rsidR="00542677" w:rsidRDefault="00542677" w:rsidP="00542677">
      <w:pPr>
        <w:jc w:val="both"/>
        <w:rPr>
          <w:rFonts w:ascii="Times New Roman" w:hAnsi="Times New Roman" w:cs="Times New Roman"/>
          <w:sz w:val="18"/>
        </w:rPr>
      </w:pPr>
    </w:p>
    <w:p w:rsidR="00542677" w:rsidRPr="0064129F" w:rsidRDefault="00542677" w:rsidP="00542677">
      <w:pPr>
        <w:jc w:val="both"/>
        <w:rPr>
          <w:rFonts w:ascii="Times New Roman" w:hAnsi="Times New Roman" w:cs="Times New Roman"/>
          <w:sz w:val="18"/>
        </w:rPr>
      </w:pPr>
    </w:p>
    <w:tbl>
      <w:tblPr>
        <w:tblStyle w:val="Sfondochiaro-Colore2"/>
        <w:tblpPr w:leftFromText="141" w:rightFromText="141" w:vertAnchor="text" w:horzAnchor="margin" w:tblpXSpec="center" w:tblpY="359"/>
        <w:tblW w:w="0" w:type="auto"/>
        <w:tblLook w:val="04A0" w:firstRow="1" w:lastRow="0" w:firstColumn="1" w:lastColumn="0" w:noHBand="0" w:noVBand="1"/>
      </w:tblPr>
      <w:tblGrid>
        <w:gridCol w:w="1684"/>
        <w:gridCol w:w="1826"/>
        <w:gridCol w:w="1540"/>
      </w:tblGrid>
      <w:tr w:rsidR="00542677" w:rsidTr="005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42677" w:rsidRPr="00D01E66" w:rsidRDefault="00542677" w:rsidP="005A5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TIME (min)</w:t>
            </w:r>
          </w:p>
        </w:tc>
        <w:tc>
          <w:tcPr>
            <w:tcW w:w="1826" w:type="dxa"/>
          </w:tcPr>
          <w:p w:rsidR="00542677" w:rsidRPr="00D01E66" w:rsidRDefault="00542677" w:rsidP="005A55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FLOW (ml/min)</w:t>
            </w:r>
          </w:p>
        </w:tc>
        <w:tc>
          <w:tcPr>
            <w:tcW w:w="1540" w:type="dxa"/>
          </w:tcPr>
          <w:p w:rsidR="00542677" w:rsidRPr="00D01E66" w:rsidRDefault="00542677" w:rsidP="005A55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% Solvent B</w:t>
            </w:r>
          </w:p>
        </w:tc>
      </w:tr>
      <w:tr w:rsidR="00542677" w:rsidTr="005A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42677" w:rsidRPr="00D01E66" w:rsidRDefault="00542677" w:rsidP="005A552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b w:val="0"/>
                <w:color w:val="000000" w:themeColor="text1"/>
              </w:rPr>
              <w:t>0</w:t>
            </w:r>
          </w:p>
        </w:tc>
        <w:tc>
          <w:tcPr>
            <w:tcW w:w="1826" w:type="dxa"/>
          </w:tcPr>
          <w:p w:rsidR="00542677" w:rsidRPr="00D01E66" w:rsidRDefault="00542677" w:rsidP="005A5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40" w:type="dxa"/>
          </w:tcPr>
          <w:p w:rsidR="00542677" w:rsidRPr="00D01E66" w:rsidRDefault="00542677" w:rsidP="005A5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42677" w:rsidTr="005A552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42677" w:rsidRPr="00D01E66" w:rsidRDefault="00542677" w:rsidP="005A552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1826" w:type="dxa"/>
          </w:tcPr>
          <w:p w:rsidR="00542677" w:rsidRPr="00D01E66" w:rsidRDefault="00542677" w:rsidP="005A5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40" w:type="dxa"/>
          </w:tcPr>
          <w:p w:rsidR="00542677" w:rsidRPr="00D01E66" w:rsidRDefault="00542677" w:rsidP="005A5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42677" w:rsidTr="005A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42677" w:rsidRPr="00D01E66" w:rsidRDefault="00542677" w:rsidP="005A552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1826" w:type="dxa"/>
          </w:tcPr>
          <w:p w:rsidR="00542677" w:rsidRPr="00D01E66" w:rsidRDefault="00542677" w:rsidP="005A5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40" w:type="dxa"/>
          </w:tcPr>
          <w:p w:rsidR="00542677" w:rsidRPr="00D01E66" w:rsidRDefault="00542677" w:rsidP="005A5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42677" w:rsidTr="005A552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42677" w:rsidRPr="00D01E66" w:rsidRDefault="00542677" w:rsidP="005A552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b w:val="0"/>
                <w:color w:val="000000" w:themeColor="text1"/>
              </w:rPr>
              <w:t>37</w:t>
            </w:r>
          </w:p>
        </w:tc>
        <w:tc>
          <w:tcPr>
            <w:tcW w:w="1826" w:type="dxa"/>
          </w:tcPr>
          <w:p w:rsidR="00542677" w:rsidRPr="00D01E66" w:rsidRDefault="00542677" w:rsidP="005A5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40" w:type="dxa"/>
          </w:tcPr>
          <w:p w:rsidR="00542677" w:rsidRPr="00D01E66" w:rsidRDefault="00542677" w:rsidP="005A5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42677" w:rsidTr="005A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42677" w:rsidRPr="00D01E66" w:rsidRDefault="00542677" w:rsidP="005A552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b w:val="0"/>
                <w:color w:val="000000" w:themeColor="text1"/>
              </w:rPr>
              <w:t>42</w:t>
            </w:r>
          </w:p>
        </w:tc>
        <w:tc>
          <w:tcPr>
            <w:tcW w:w="1826" w:type="dxa"/>
          </w:tcPr>
          <w:p w:rsidR="00542677" w:rsidRPr="00D01E66" w:rsidRDefault="00542677" w:rsidP="005A5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40" w:type="dxa"/>
          </w:tcPr>
          <w:p w:rsidR="00542677" w:rsidRPr="00D01E66" w:rsidRDefault="00542677" w:rsidP="005A5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42677" w:rsidTr="005A552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42677" w:rsidRPr="00D01E66" w:rsidRDefault="00542677" w:rsidP="005A552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b w:val="0"/>
                <w:color w:val="000000" w:themeColor="text1"/>
              </w:rPr>
              <w:t>44</w:t>
            </w:r>
          </w:p>
        </w:tc>
        <w:tc>
          <w:tcPr>
            <w:tcW w:w="1826" w:type="dxa"/>
          </w:tcPr>
          <w:p w:rsidR="00542677" w:rsidRPr="00D01E66" w:rsidRDefault="00542677" w:rsidP="005A5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40" w:type="dxa"/>
          </w:tcPr>
          <w:p w:rsidR="00542677" w:rsidRPr="00D01E66" w:rsidRDefault="00542677" w:rsidP="005A5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42677" w:rsidTr="005A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542677" w:rsidRPr="00D01E66" w:rsidRDefault="00542677" w:rsidP="005A552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b w:val="0"/>
                <w:color w:val="000000" w:themeColor="text1"/>
              </w:rPr>
              <w:t>48</w:t>
            </w:r>
          </w:p>
        </w:tc>
        <w:tc>
          <w:tcPr>
            <w:tcW w:w="1826" w:type="dxa"/>
          </w:tcPr>
          <w:p w:rsidR="00542677" w:rsidRPr="00D01E66" w:rsidRDefault="00542677" w:rsidP="005A5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40" w:type="dxa"/>
          </w:tcPr>
          <w:p w:rsidR="00542677" w:rsidRPr="00D01E66" w:rsidRDefault="00542677" w:rsidP="005A5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01E6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</w:tbl>
    <w:p w:rsidR="00542677" w:rsidRDefault="00542677" w:rsidP="00542677">
      <w:pPr>
        <w:rPr>
          <w:rFonts w:ascii="Times New Roman" w:hAnsi="Times New Roman" w:cs="Times New Roman"/>
          <w:b/>
        </w:rPr>
      </w:pPr>
    </w:p>
    <w:p w:rsidR="00542677" w:rsidRDefault="00542677" w:rsidP="00542677">
      <w:pPr>
        <w:rPr>
          <w:rFonts w:ascii="Times New Roman" w:hAnsi="Times New Roman" w:cs="Times New Roman"/>
          <w:b/>
        </w:rPr>
      </w:pPr>
    </w:p>
    <w:p w:rsidR="00542677" w:rsidRDefault="00542677" w:rsidP="00542677">
      <w:pPr>
        <w:rPr>
          <w:rFonts w:ascii="Times New Roman" w:hAnsi="Times New Roman" w:cs="Times New Roman"/>
          <w:b/>
        </w:rPr>
      </w:pPr>
    </w:p>
    <w:p w:rsidR="00542677" w:rsidRDefault="00542677" w:rsidP="00542677">
      <w:pPr>
        <w:rPr>
          <w:rFonts w:ascii="Times New Roman" w:hAnsi="Times New Roman" w:cs="Times New Roman"/>
          <w:b/>
        </w:rPr>
      </w:pPr>
    </w:p>
    <w:p w:rsidR="00542677" w:rsidRDefault="00542677" w:rsidP="00542677">
      <w:pPr>
        <w:rPr>
          <w:rFonts w:ascii="Times New Roman" w:hAnsi="Times New Roman" w:cs="Times New Roman"/>
          <w:b/>
        </w:rPr>
      </w:pPr>
    </w:p>
    <w:p w:rsidR="00542677" w:rsidRDefault="00542677" w:rsidP="00542677">
      <w:pPr>
        <w:rPr>
          <w:rFonts w:ascii="Times New Roman" w:hAnsi="Times New Roman" w:cs="Times New Roman"/>
          <w:b/>
        </w:rPr>
      </w:pPr>
    </w:p>
    <w:p w:rsidR="00542677" w:rsidRDefault="00542677" w:rsidP="00542677">
      <w:pPr>
        <w:rPr>
          <w:rFonts w:ascii="Times New Roman" w:hAnsi="Times New Roman" w:cs="Times New Roman"/>
          <w:b/>
        </w:rPr>
      </w:pPr>
    </w:p>
    <w:p w:rsidR="00542677" w:rsidRDefault="00542677" w:rsidP="00542677">
      <w:pPr>
        <w:rPr>
          <w:rFonts w:ascii="Times New Roman" w:hAnsi="Times New Roman" w:cs="Times New Roman"/>
          <w:b/>
        </w:rPr>
      </w:pPr>
    </w:p>
    <w:p w:rsidR="00542677" w:rsidRPr="0064129F" w:rsidRDefault="00542677" w:rsidP="00542677">
      <w:pPr>
        <w:jc w:val="both"/>
        <w:rPr>
          <w:rFonts w:ascii="Times New Roman" w:hAnsi="Times New Roman" w:cs="Times New Roman"/>
          <w:sz w:val="18"/>
        </w:rPr>
      </w:pPr>
      <w:r w:rsidRPr="0064129F">
        <w:rPr>
          <w:rFonts w:ascii="Times New Roman" w:hAnsi="Times New Roman" w:cs="Times New Roman"/>
          <w:b/>
          <w:sz w:val="18"/>
        </w:rPr>
        <w:t>Table S2</w:t>
      </w:r>
      <w:r w:rsidRPr="00475DAC">
        <w:rPr>
          <w:rFonts w:ascii="Times New Roman" w:hAnsi="Times New Roman" w:cs="Times New Roman"/>
          <w:b/>
          <w:sz w:val="18"/>
        </w:rPr>
        <w:t>.</w:t>
      </w:r>
      <w:r w:rsidRPr="0064129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The </w:t>
      </w:r>
      <w:r w:rsidRPr="0064129F">
        <w:rPr>
          <w:rFonts w:ascii="Times New Roman" w:hAnsi="Times New Roman" w:cs="Times New Roman"/>
          <w:sz w:val="18"/>
        </w:rPr>
        <w:t>HPLC gradient for</w:t>
      </w:r>
      <w:r>
        <w:rPr>
          <w:rFonts w:ascii="Times New Roman" w:hAnsi="Times New Roman" w:cs="Times New Roman"/>
          <w:sz w:val="18"/>
        </w:rPr>
        <w:t xml:space="preserve"> the brain extracts analysis</w:t>
      </w:r>
      <w:r w:rsidRPr="0064129F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 xml:space="preserve"> </w:t>
      </w:r>
      <w:bookmarkStart w:id="0" w:name="_GoBack"/>
      <w:bookmarkEnd w:id="0"/>
      <w:r w:rsidRPr="0064129F">
        <w:rPr>
          <w:rFonts w:ascii="Times New Roman" w:hAnsi="Times New Roman" w:cs="Times New Roman"/>
          <w:sz w:val="18"/>
        </w:rPr>
        <w:t xml:space="preserve">All chromatographic runs </w:t>
      </w:r>
      <w:proofErr w:type="gramStart"/>
      <w:r w:rsidRPr="0064129F">
        <w:rPr>
          <w:rFonts w:ascii="Times New Roman" w:hAnsi="Times New Roman" w:cs="Times New Roman"/>
          <w:sz w:val="18"/>
        </w:rPr>
        <w:t>were performed</w:t>
      </w:r>
      <w:proofErr w:type="gramEnd"/>
      <w:r w:rsidRPr="0064129F">
        <w:rPr>
          <w:rFonts w:ascii="Times New Roman" w:hAnsi="Times New Roman" w:cs="Times New Roman"/>
          <w:sz w:val="18"/>
        </w:rPr>
        <w:t xml:space="preserve"> at a flow-rate of 0.4 m</w:t>
      </w:r>
      <w:r>
        <w:rPr>
          <w:rFonts w:ascii="Times New Roman" w:hAnsi="Times New Roman" w:cs="Times New Roman"/>
          <w:sz w:val="18"/>
        </w:rPr>
        <w:t>l</w:t>
      </w:r>
      <w:r w:rsidRPr="0064129F">
        <w:rPr>
          <w:rFonts w:ascii="Times New Roman" w:hAnsi="Times New Roman" w:cs="Times New Roman"/>
          <w:sz w:val="18"/>
        </w:rPr>
        <w:t xml:space="preserve">/min. Solvent A was Water/Acetonitrile 90:10 with the 0.1% v/v of formic acid, and solvent B was Acetonitrile/Methanol 50:50 with the 0.1% v/v of formic acid. </w:t>
      </w:r>
    </w:p>
    <w:p w:rsidR="00542677" w:rsidRPr="0064129F" w:rsidRDefault="00542677" w:rsidP="00542677">
      <w:pPr>
        <w:rPr>
          <w:sz w:val="18"/>
        </w:rPr>
      </w:pPr>
    </w:p>
    <w:p w:rsidR="00542677" w:rsidRPr="002850DC" w:rsidRDefault="00542677" w:rsidP="00542677"/>
    <w:p w:rsidR="001051E6" w:rsidRDefault="001051E6"/>
    <w:sectPr w:rsidR="001051E6" w:rsidSect="006C4E1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77"/>
    <w:rsid w:val="001051E6"/>
    <w:rsid w:val="00542677"/>
    <w:rsid w:val="006B1783"/>
    <w:rsid w:val="006E3BDF"/>
    <w:rsid w:val="00F104FF"/>
    <w:rsid w:val="00F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95E8D-5C92-449F-8032-118884B0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67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2">
    <w:name w:val="Light Shading Accent 2"/>
    <w:basedOn w:val="Tabellanormale"/>
    <w:uiPriority w:val="60"/>
    <w:rsid w:val="0054267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bottalab</dc:creator>
  <cp:keywords/>
  <dc:description/>
  <cp:lastModifiedBy>bottalab</cp:lastModifiedBy>
  <cp:revision>1</cp:revision>
  <dcterms:created xsi:type="dcterms:W3CDTF">2019-05-23T10:43:00Z</dcterms:created>
  <dcterms:modified xsi:type="dcterms:W3CDTF">2019-05-23T10:53:00Z</dcterms:modified>
</cp:coreProperties>
</file>