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DE" w:rsidRDefault="0071698E" w:rsidP="0071698E">
      <w:pPr>
        <w:pStyle w:val="Heading1"/>
      </w:pPr>
      <w:bookmarkStart w:id="0" w:name="_Hlk532908546"/>
      <w:bookmarkStart w:id="1" w:name="_GoBack"/>
      <w:bookmarkEnd w:id="1"/>
      <w:r w:rsidRPr="0071698E">
        <w:t>The pain trajectory of juvenile idiopathic arthritis (JIA): translating from adolescent patient report to behavioural sensitivity in a juvenile animal model</w:t>
      </w:r>
      <w:bookmarkEnd w:id="0"/>
      <w:r w:rsidR="00511ADE">
        <w:t xml:space="preserve"> </w:t>
      </w:r>
    </w:p>
    <w:p w:rsidR="0071698E" w:rsidRPr="0071698E" w:rsidRDefault="00511ADE" w:rsidP="0071698E">
      <w:pPr>
        <w:pStyle w:val="Heading1"/>
      </w:pPr>
      <w:r>
        <w:t xml:space="preserve">Supplementary material </w:t>
      </w:r>
    </w:p>
    <w:p w:rsidR="0071698E" w:rsidRDefault="0071698E" w:rsidP="0071698E">
      <w:bookmarkStart w:id="2" w:name="_Hlk531085004"/>
      <w:r>
        <w:t>Annastazia E Learoyd</w:t>
      </w:r>
      <w:r w:rsidRPr="004315A2">
        <w:rPr>
          <w:vertAlign w:val="superscript"/>
        </w:rPr>
        <w:t>1</w:t>
      </w:r>
      <w:r>
        <w:t>, Debajit Sen</w:t>
      </w:r>
      <w:r w:rsidRPr="004315A2">
        <w:rPr>
          <w:vertAlign w:val="superscript"/>
        </w:rPr>
        <w:t>2</w:t>
      </w:r>
      <w:r>
        <w:t>, Maria Fitzgerald</w:t>
      </w:r>
      <w:r w:rsidRPr="004315A2">
        <w:rPr>
          <w:vertAlign w:val="superscript"/>
        </w:rPr>
        <w:t>1</w:t>
      </w:r>
    </w:p>
    <w:p w:rsidR="0071698E" w:rsidRDefault="0071698E" w:rsidP="0071698E">
      <w:r w:rsidRPr="004315A2">
        <w:rPr>
          <w:vertAlign w:val="superscript"/>
        </w:rPr>
        <w:t>1</w:t>
      </w:r>
      <w:r>
        <w:t xml:space="preserve">Department of Neuroscience, Physiology &amp; Pharmacology, University College London, UK and </w:t>
      </w:r>
      <w:r w:rsidRPr="004315A2">
        <w:rPr>
          <w:vertAlign w:val="superscript"/>
        </w:rPr>
        <w:t>2</w:t>
      </w:r>
      <w:r>
        <w:t>Arthritis Research UK Centre for Adolescent Rheumatology, University College London, UK</w:t>
      </w:r>
    </w:p>
    <w:bookmarkEnd w:id="2"/>
    <w:p w:rsidR="00995FEF" w:rsidRDefault="00995FEF">
      <w:pPr>
        <w:spacing w:line="259" w:lineRule="auto"/>
      </w:pPr>
      <w:r>
        <w:br w:type="page"/>
      </w:r>
    </w:p>
    <w:p w:rsidR="002B01BB" w:rsidRDefault="002B01BB" w:rsidP="0071698E">
      <w:pPr>
        <w:pStyle w:val="Heading1"/>
      </w:pPr>
      <w:r w:rsidRPr="0071698E">
        <w:lastRenderedPageBreak/>
        <w:t>M</w:t>
      </w:r>
      <w:r w:rsidR="0071698E" w:rsidRPr="0071698E">
        <w:t>ETHODS</w:t>
      </w:r>
    </w:p>
    <w:p w:rsidR="001576B5" w:rsidRPr="00E63BF2" w:rsidRDefault="00E63BF2" w:rsidP="00E63BF2">
      <w:pPr>
        <w:pStyle w:val="Heading2"/>
      </w:pPr>
      <w:r>
        <w:t>Part 1: Patient cohort</w:t>
      </w:r>
    </w:p>
    <w:tbl>
      <w:tblPr>
        <w:tblStyle w:val="TableGridLight1"/>
        <w:tblW w:w="8667" w:type="dxa"/>
        <w:tblInd w:w="-5" w:type="dxa"/>
        <w:tblLook w:val="04A0" w:firstRow="1" w:lastRow="0" w:firstColumn="1" w:lastColumn="0" w:noHBand="0" w:noVBand="1"/>
      </w:tblPr>
      <w:tblGrid>
        <w:gridCol w:w="1565"/>
        <w:gridCol w:w="1281"/>
        <w:gridCol w:w="1275"/>
        <w:gridCol w:w="1276"/>
        <w:gridCol w:w="1276"/>
        <w:gridCol w:w="1281"/>
        <w:gridCol w:w="713"/>
      </w:tblGrid>
      <w:tr w:rsidR="001576B5" w:rsidRPr="000C059D" w:rsidTr="00460F40">
        <w:tc>
          <w:tcPr>
            <w:tcW w:w="156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All patients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Trajectory: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Statistical analysis</w:t>
            </w:r>
          </w:p>
        </w:tc>
      </w:tr>
      <w:tr w:rsidR="001576B5" w:rsidRPr="00B23887" w:rsidTr="00460F40">
        <w:tc>
          <w:tcPr>
            <w:tcW w:w="156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Low pain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Variable pain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High pain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F value/Chi-Square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  <w:right w:val="nil"/>
            </w:tcBorders>
            <w:vAlign w:val="bottom"/>
          </w:tcPr>
          <w:p w:rsidR="001576B5" w:rsidRPr="00DD44C1" w:rsidRDefault="001576B5" w:rsidP="00460F40">
            <w:pPr>
              <w:pStyle w:val="Table"/>
              <w:rPr>
                <w:b/>
              </w:rPr>
            </w:pPr>
            <w:r w:rsidRPr="00DD44C1">
              <w:rPr>
                <w:b/>
              </w:rPr>
              <w:t>P value</w:t>
            </w:r>
          </w:p>
        </w:tc>
      </w:tr>
      <w:tr w:rsidR="00DD44C1" w:rsidRPr="004761AB" w:rsidTr="00DD44C1"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D44C1" w:rsidRPr="000C059D" w:rsidRDefault="00710A12" w:rsidP="00DD44C1">
            <w:pPr>
              <w:pStyle w:val="Table"/>
              <w:jc w:val="left"/>
            </w:pPr>
            <w:r>
              <w:t>Total n</w:t>
            </w:r>
            <w:r w:rsidR="00DD44C1" w:rsidRPr="000C059D">
              <w:t>o. of patients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D44C1" w:rsidRPr="003320A1" w:rsidRDefault="00DD44C1" w:rsidP="00DD44C1">
            <w:pPr>
              <w:pStyle w:val="Table"/>
            </w:pPr>
            <w:r w:rsidRPr="000C059D">
              <w:t>9</w:t>
            </w: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D44C1" w:rsidRPr="003320A1" w:rsidRDefault="00DD44C1" w:rsidP="00DD44C1">
            <w:pPr>
              <w:pStyle w:val="Table"/>
            </w:pPr>
            <w:r w:rsidRPr="000C059D">
              <w:t>4</w:t>
            </w:r>
            <w:r>
              <w:t>5</w:t>
            </w:r>
            <w:r w:rsidRPr="000C059D">
              <w:t xml:space="preserve"> (4</w:t>
            </w:r>
            <w:r>
              <w:t>6.4</w:t>
            </w:r>
            <w:r w:rsidRPr="000C059D">
              <w:t>%)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DD44C1" w:rsidRPr="003320A1" w:rsidRDefault="00DD44C1" w:rsidP="00DD44C1">
            <w:pPr>
              <w:pStyle w:val="Table"/>
            </w:pPr>
            <w:r>
              <w:t>30</w:t>
            </w:r>
            <w:r w:rsidRPr="000C059D">
              <w:t xml:space="preserve"> (</w:t>
            </w:r>
            <w:r>
              <w:t>30.9</w:t>
            </w:r>
            <w:r w:rsidRPr="000C059D">
              <w:t>%)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DD44C1" w:rsidRPr="003320A1" w:rsidRDefault="00DD44C1" w:rsidP="00DD44C1">
            <w:pPr>
              <w:pStyle w:val="Table"/>
            </w:pPr>
            <w:r w:rsidRPr="000C059D">
              <w:t>22 (2</w:t>
            </w:r>
            <w:r>
              <w:t>2.7</w:t>
            </w:r>
            <w:r w:rsidRPr="000C059D">
              <w:t>%)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D44C1" w:rsidRPr="003320A1" w:rsidRDefault="00DD44C1" w:rsidP="00DD44C1">
            <w:pPr>
              <w:pStyle w:val="Table"/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DD44C1" w:rsidRPr="00DD44C1" w:rsidRDefault="00DD44C1" w:rsidP="00DD44C1">
            <w:pPr>
              <w:pStyle w:val="Table"/>
            </w:pPr>
          </w:p>
        </w:tc>
      </w:tr>
      <w:tr w:rsidR="00710A12" w:rsidRPr="004761AB" w:rsidTr="00710A12">
        <w:tc>
          <w:tcPr>
            <w:tcW w:w="4121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10A12" w:rsidRPr="003320A1" w:rsidRDefault="00710A12" w:rsidP="00710A12">
            <w:pPr>
              <w:pStyle w:val="Table"/>
              <w:jc w:val="left"/>
            </w:pPr>
            <w:r w:rsidRPr="00710A12">
              <w:rPr>
                <w:b/>
                <w:i/>
              </w:rPr>
              <w:t>Included disease activity markers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:rsidR="00710A12" w:rsidRPr="003320A1" w:rsidRDefault="00710A12" w:rsidP="00DD44C1">
            <w:pPr>
              <w:pStyle w:val="Table"/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710A12" w:rsidRPr="003320A1" w:rsidRDefault="00710A12" w:rsidP="00DD44C1">
            <w:pPr>
              <w:pStyle w:val="Table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710A12" w:rsidRPr="003320A1" w:rsidRDefault="00710A12" w:rsidP="00DD44C1">
            <w:pPr>
              <w:pStyle w:val="Table"/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710A12" w:rsidRPr="00DA19A2" w:rsidRDefault="00710A12" w:rsidP="00DD44C1">
            <w:pPr>
              <w:pStyle w:val="Table"/>
              <w:rPr>
                <w:b/>
                <w:i/>
              </w:rPr>
            </w:pPr>
          </w:p>
        </w:tc>
      </w:tr>
      <w:tr w:rsidR="00DD44C1" w:rsidRPr="004761AB" w:rsidTr="00710A12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44C1" w:rsidRPr="000C059D" w:rsidRDefault="00DD44C1" w:rsidP="00DD44C1">
            <w:pPr>
              <w:pStyle w:val="Table"/>
              <w:jc w:val="left"/>
            </w:pPr>
            <w:r w:rsidRPr="000C059D">
              <w:t>PGA (cm)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D44C1" w:rsidRPr="000C059D" w:rsidRDefault="00DD44C1" w:rsidP="00DD44C1">
            <w:pPr>
              <w:pStyle w:val="Table"/>
            </w:pPr>
            <w:r w:rsidRPr="003320A1">
              <w:t>2.40 (2.52)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0C059D" w:rsidRDefault="00DD44C1" w:rsidP="00DD44C1">
            <w:pPr>
              <w:pStyle w:val="Table"/>
            </w:pPr>
            <w:r w:rsidRPr="003320A1">
              <w:t>1.40 (2.11)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0C059D" w:rsidRDefault="00DD44C1" w:rsidP="00DD44C1">
            <w:pPr>
              <w:pStyle w:val="Table"/>
            </w:pPr>
            <w:r w:rsidRPr="003320A1">
              <w:t>3.11 (2.73)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0C059D" w:rsidRDefault="00DD44C1" w:rsidP="00DD44C1">
            <w:pPr>
              <w:pStyle w:val="Table"/>
            </w:pPr>
            <w:r w:rsidRPr="003320A1">
              <w:t>3.47 (2.31)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D44C1" w:rsidRPr="004761AB" w:rsidRDefault="00DD44C1" w:rsidP="00DD44C1">
            <w:pPr>
              <w:pStyle w:val="Table"/>
            </w:pPr>
            <w:r w:rsidRPr="003320A1">
              <w:t>7.64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D44C1" w:rsidRPr="004761AB" w:rsidRDefault="00DD44C1" w:rsidP="00DD44C1">
            <w:pPr>
              <w:pStyle w:val="Table"/>
            </w:pPr>
            <w:r w:rsidRPr="00DA19A2">
              <w:rPr>
                <w:b/>
                <w:i/>
              </w:rPr>
              <w:t>0.001</w:t>
            </w:r>
          </w:p>
        </w:tc>
      </w:tr>
      <w:tr w:rsidR="00DD44C1" w:rsidRPr="00DA19A2" w:rsidTr="00460F40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44C1" w:rsidRPr="000C059D" w:rsidRDefault="00DD44C1" w:rsidP="00DD44C1">
            <w:pPr>
              <w:pStyle w:val="Table"/>
              <w:jc w:val="left"/>
            </w:pPr>
            <w:r>
              <w:t>No. of: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D44C1" w:rsidRPr="003320A1" w:rsidRDefault="00DD44C1" w:rsidP="00DD44C1">
            <w:pPr>
              <w:pStyle w:val="Table"/>
              <w:rPr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3320A1" w:rsidRDefault="00DD44C1" w:rsidP="00DD44C1">
            <w:pPr>
              <w:pStyle w:val="Table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3320A1" w:rsidRDefault="00DD44C1" w:rsidP="00DD44C1">
            <w:pPr>
              <w:pStyle w:val="Table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3320A1" w:rsidRDefault="00DD44C1" w:rsidP="00DD44C1">
            <w:pPr>
              <w:pStyle w:val="Table"/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D44C1" w:rsidRPr="003320A1" w:rsidRDefault="00DD44C1" w:rsidP="00DD44C1">
            <w:pPr>
              <w:pStyle w:val="Table"/>
            </w:pP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D44C1" w:rsidRPr="00DD44C1" w:rsidRDefault="00DD44C1" w:rsidP="00DD44C1">
            <w:pPr>
              <w:pStyle w:val="Table"/>
            </w:pPr>
          </w:p>
        </w:tc>
      </w:tr>
      <w:tr w:rsidR="00DD44C1" w:rsidRPr="004761AB" w:rsidTr="00460F40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44C1" w:rsidRPr="000C059D" w:rsidRDefault="00DD44C1" w:rsidP="00DD44C1">
            <w:pPr>
              <w:pStyle w:val="Table"/>
              <w:jc w:val="right"/>
            </w:pPr>
            <w:r>
              <w:t>Active joints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D44C1" w:rsidRPr="000C059D" w:rsidRDefault="00DD44C1" w:rsidP="00DD44C1">
            <w:pPr>
              <w:pStyle w:val="Table"/>
            </w:pPr>
            <w:r w:rsidRPr="000C059D">
              <w:t>0 (0</w:t>
            </w:r>
            <w:r>
              <w:t>-</w:t>
            </w:r>
            <w:r w:rsidRPr="000C059D">
              <w:t>2)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0C059D" w:rsidRDefault="00DD44C1" w:rsidP="00DD44C1">
            <w:pPr>
              <w:pStyle w:val="Table"/>
            </w:pPr>
            <w:r w:rsidRPr="000C059D">
              <w:t>0 (0</w:t>
            </w:r>
            <w:r>
              <w:t>-</w:t>
            </w:r>
            <w:r w:rsidRPr="000C059D"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6A2C96" w:rsidRDefault="00DD44C1" w:rsidP="00DD44C1">
            <w:pPr>
              <w:pStyle w:val="Table"/>
            </w:pPr>
            <w:r w:rsidRPr="006A2C96">
              <w:t>1 (0</w:t>
            </w:r>
            <w:r>
              <w:t>-1</w:t>
            </w:r>
            <w:r w:rsidRPr="006A2C96">
              <w:t>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50764D" w:rsidRDefault="00DD44C1" w:rsidP="00DD44C1">
            <w:pPr>
              <w:pStyle w:val="Table"/>
            </w:pPr>
            <w:r w:rsidRPr="0050764D">
              <w:t>0 (0</w:t>
            </w:r>
            <w:r>
              <w:t>-</w:t>
            </w:r>
            <w:r w:rsidRPr="0050764D">
              <w:t>2)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DD44C1" w:rsidRPr="004761AB" w:rsidRDefault="00DD44C1" w:rsidP="00DD44C1">
            <w:pPr>
              <w:pStyle w:val="Table"/>
            </w:pPr>
            <w:r w:rsidRPr="004761AB">
              <w:t>2.06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4761AB" w:rsidRDefault="00DD44C1" w:rsidP="00DD44C1">
            <w:pPr>
              <w:pStyle w:val="Table"/>
            </w:pPr>
            <w:r w:rsidRPr="004761AB">
              <w:t>0.13</w:t>
            </w:r>
          </w:p>
        </w:tc>
      </w:tr>
      <w:tr w:rsidR="00DD44C1" w:rsidRPr="004761AB" w:rsidTr="00460F40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44C1" w:rsidRPr="00DD44C1" w:rsidRDefault="00DD44C1" w:rsidP="00DD44C1">
            <w:pPr>
              <w:pStyle w:val="Table"/>
              <w:jc w:val="right"/>
            </w:pPr>
            <w:r w:rsidRPr="00DD44C1">
              <w:t>Swollen joints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 w:rsidRPr="00DD44C1">
              <w:t>0 (0-2)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0 (0-0)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 (0-2.25)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 (0-3.25)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4.33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DD44C1" w:rsidRDefault="00DD44C1" w:rsidP="00DD44C1">
            <w:pPr>
              <w:pStyle w:val="Table"/>
              <w:rPr>
                <w:b/>
                <w:i/>
              </w:rPr>
            </w:pPr>
            <w:r w:rsidRPr="00DD44C1">
              <w:rPr>
                <w:b/>
                <w:i/>
              </w:rPr>
              <w:t>0.016</w:t>
            </w:r>
          </w:p>
        </w:tc>
      </w:tr>
      <w:tr w:rsidR="00DD44C1" w:rsidRPr="004761AB" w:rsidTr="00DD44C1"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44C1" w:rsidRPr="00DD44C1" w:rsidRDefault="00DD44C1" w:rsidP="00DD44C1">
            <w:pPr>
              <w:pStyle w:val="Table"/>
              <w:jc w:val="right"/>
            </w:pPr>
            <w:r w:rsidRPr="00DD44C1">
              <w:t>Limited joints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 (0-2)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0 (0-1)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2 (0-3)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2 (0-5)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3.16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DD44C1" w:rsidRDefault="00DD44C1" w:rsidP="00DD44C1">
            <w:pPr>
              <w:pStyle w:val="Table"/>
              <w:rPr>
                <w:b/>
                <w:i/>
              </w:rPr>
            </w:pPr>
            <w:r w:rsidRPr="00DD44C1">
              <w:rPr>
                <w:b/>
                <w:i/>
              </w:rPr>
              <w:t>0.047</w:t>
            </w:r>
          </w:p>
        </w:tc>
      </w:tr>
      <w:tr w:rsidR="00DD44C1" w:rsidRPr="004761AB" w:rsidTr="00DD44C1"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D44C1" w:rsidRPr="00710A12" w:rsidRDefault="00DD44C1" w:rsidP="00DD44C1">
            <w:pPr>
              <w:pStyle w:val="Table"/>
              <w:jc w:val="left"/>
              <w:rPr>
                <w:b/>
                <w:i/>
              </w:rPr>
            </w:pPr>
            <w:r w:rsidRPr="00710A12">
              <w:rPr>
                <w:b/>
                <w:i/>
              </w:rPr>
              <w:t>Blood disease markers: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</w:p>
        </w:tc>
      </w:tr>
      <w:tr w:rsidR="00DD44C1" w:rsidRPr="004761AB" w:rsidTr="00710A12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44C1" w:rsidRPr="00DD44C1" w:rsidRDefault="00DD44C1" w:rsidP="00710A12">
            <w:pPr>
              <w:pStyle w:val="Table"/>
              <w:jc w:val="left"/>
            </w:pPr>
            <w:r w:rsidRPr="00DD44C1">
              <w:t>ESR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11.98 (18.10)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8.27 (11.97)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16.13 (17.02)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16.67 (29.74)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1.54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0.22</w:t>
            </w:r>
          </w:p>
        </w:tc>
      </w:tr>
      <w:tr w:rsidR="00710A12" w:rsidRPr="004761AB" w:rsidTr="00710A12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0A12" w:rsidRPr="00710A12" w:rsidRDefault="00710A12" w:rsidP="00710A12">
            <w:pPr>
              <w:pStyle w:val="Table"/>
              <w:jc w:val="right"/>
              <w:rPr>
                <w:i/>
              </w:rPr>
            </w:pPr>
            <w:r w:rsidRPr="00710A12">
              <w:rPr>
                <w:i/>
              </w:rPr>
              <w:t>No. of patients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710A12" w:rsidRPr="00710A12" w:rsidRDefault="00710A12" w:rsidP="00DD44C1">
            <w:pPr>
              <w:pStyle w:val="Table"/>
              <w:rPr>
                <w:i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10A12" w:rsidRPr="00710A12" w:rsidRDefault="00710A12" w:rsidP="00DD44C1">
            <w:pPr>
              <w:pStyle w:val="Table"/>
              <w:rPr>
                <w:i/>
              </w:rPr>
            </w:pPr>
          </w:p>
        </w:tc>
      </w:tr>
      <w:tr w:rsidR="00DD44C1" w:rsidRPr="004761AB" w:rsidTr="00710A12"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44C1" w:rsidRPr="00DD44C1" w:rsidRDefault="00DD44C1" w:rsidP="00710A12">
            <w:pPr>
              <w:pStyle w:val="Table"/>
              <w:jc w:val="left"/>
            </w:pPr>
            <w:r w:rsidRPr="00DD44C1">
              <w:t>CRP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3.75 (6.99)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2.66 (3.96)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5.77 (10.72)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4.24 (7.93)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0.90</w:t>
            </w: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D44C1" w:rsidRPr="00DD44C1" w:rsidRDefault="00DD44C1" w:rsidP="00DD44C1">
            <w:pPr>
              <w:pStyle w:val="Table"/>
            </w:pPr>
            <w:r>
              <w:t>0.41</w:t>
            </w:r>
          </w:p>
        </w:tc>
      </w:tr>
      <w:tr w:rsidR="00710A12" w:rsidRPr="004761AB" w:rsidTr="00710A12">
        <w:tc>
          <w:tcPr>
            <w:tcW w:w="1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A12" w:rsidRPr="00710A12" w:rsidRDefault="00710A12" w:rsidP="00710A12">
            <w:pPr>
              <w:pStyle w:val="Table"/>
              <w:jc w:val="right"/>
              <w:rPr>
                <w:i/>
              </w:rPr>
            </w:pPr>
            <w:r w:rsidRPr="00710A12">
              <w:rPr>
                <w:i/>
              </w:rPr>
              <w:t>No. of patients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710A12" w:rsidRPr="00710A12" w:rsidRDefault="00710A12" w:rsidP="00710A12">
            <w:pPr>
              <w:pStyle w:val="Table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10A12" w:rsidRDefault="00710A12" w:rsidP="00DD44C1">
            <w:pPr>
              <w:pStyle w:val="Table"/>
            </w:pPr>
          </w:p>
        </w:tc>
        <w:tc>
          <w:tcPr>
            <w:tcW w:w="713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710A12" w:rsidRDefault="00710A12" w:rsidP="00DD44C1">
            <w:pPr>
              <w:pStyle w:val="Table"/>
            </w:pPr>
          </w:p>
        </w:tc>
      </w:tr>
    </w:tbl>
    <w:p w:rsidR="001576B5" w:rsidRDefault="001576B5" w:rsidP="001576B5">
      <w:pPr>
        <w:pStyle w:val="Caption"/>
        <w:rPr>
          <w:b w:val="0"/>
        </w:rPr>
      </w:pPr>
      <w:r>
        <w:t>Table 1 – JIA disease activity markers for each pain trajectory</w:t>
      </w:r>
    </w:p>
    <w:p w:rsidR="00E63BF2" w:rsidRDefault="00DD44C1" w:rsidP="001576B5">
      <w:r w:rsidRPr="00AD4611">
        <w:rPr>
          <w:color w:val="000000"/>
          <w:szCs w:val="20"/>
        </w:rPr>
        <w:t>Data is described as mean (</w:t>
      </w:r>
      <w:r>
        <w:rPr>
          <w:color w:val="000000"/>
          <w:szCs w:val="20"/>
        </w:rPr>
        <w:t>standard deviation) for continuous data, number (% of patients with</w:t>
      </w:r>
      <w:r w:rsidRPr="00AD461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trajectory type</w:t>
      </w:r>
      <w:r w:rsidRPr="00AD4611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 for categorical data or median (interquartile range) for discreet data (no. of active joints)</w:t>
      </w:r>
      <w:r w:rsidRPr="00AD4611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 Statistical comparison between trajectory groups were made using either one-way ANOVA or Chi-Square test.</w:t>
      </w:r>
      <w:r w:rsidR="00710A12">
        <w:rPr>
          <w:color w:val="000000"/>
          <w:szCs w:val="20"/>
        </w:rPr>
        <w:t xml:space="preserve"> The number of patients with available information on blood disease markers is shown beneath each marker.</w:t>
      </w:r>
      <w:r>
        <w:rPr>
          <w:color w:val="000000"/>
          <w:szCs w:val="20"/>
        </w:rPr>
        <w:t xml:space="preserve">  PGA=Physician global assessment </w:t>
      </w:r>
      <w:r w:rsidRPr="00105828">
        <w:rPr>
          <w:color w:val="000000"/>
          <w:szCs w:val="20"/>
        </w:rPr>
        <w:t>VAS.</w:t>
      </w:r>
    </w:p>
    <w:p w:rsidR="00DD44C1" w:rsidRDefault="00DD44C1">
      <w:pPr>
        <w:spacing w:line="259" w:lineRule="auto"/>
      </w:pPr>
      <w:r>
        <w:br w:type="page"/>
      </w:r>
    </w:p>
    <w:tbl>
      <w:tblPr>
        <w:tblStyle w:val="GridTableLight"/>
        <w:tblW w:w="8541" w:type="dxa"/>
        <w:tblInd w:w="-5" w:type="dxa"/>
        <w:tblLook w:val="04A0" w:firstRow="1" w:lastRow="0" w:firstColumn="1" w:lastColumn="0" w:noHBand="0" w:noVBand="1"/>
      </w:tblPr>
      <w:tblGrid>
        <w:gridCol w:w="2132"/>
        <w:gridCol w:w="1268"/>
        <w:gridCol w:w="1546"/>
        <w:gridCol w:w="1544"/>
        <w:gridCol w:w="1276"/>
        <w:gridCol w:w="775"/>
      </w:tblGrid>
      <w:tr w:rsidR="006C2A1B" w:rsidRPr="00AE448F" w:rsidTr="006C2A1B">
        <w:tc>
          <w:tcPr>
            <w:tcW w:w="213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Included</w:t>
            </w:r>
            <w:r w:rsidRPr="00AE448F">
              <w:rPr>
                <w:b/>
                <w:sz w:val="20"/>
                <w:szCs w:val="20"/>
              </w:rPr>
              <w:t xml:space="preserve"> patients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Excluded patients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448F">
              <w:rPr>
                <w:b/>
                <w:sz w:val="20"/>
                <w:szCs w:val="20"/>
              </w:rPr>
              <w:t>Statistical analysis</w:t>
            </w:r>
          </w:p>
        </w:tc>
      </w:tr>
      <w:tr w:rsidR="00B81372" w:rsidRPr="00AE448F" w:rsidTr="006C2A1B">
        <w:tc>
          <w:tcPr>
            <w:tcW w:w="213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≤</w:t>
            </w:r>
            <w:r>
              <w:rPr>
                <w:b/>
                <w:sz w:val="20"/>
                <w:szCs w:val="20"/>
              </w:rPr>
              <w:t>2 pain VAS scores</w:t>
            </w:r>
          </w:p>
        </w:tc>
        <w:tc>
          <w:tcPr>
            <w:tcW w:w="1544" w:type="dxa"/>
            <w:tcBorders>
              <w:top w:val="nil"/>
              <w:bottom w:val="single" w:sz="12" w:space="0" w:color="auto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Incorrect time intervals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448F">
              <w:rPr>
                <w:b/>
                <w:sz w:val="20"/>
                <w:szCs w:val="20"/>
              </w:rPr>
              <w:t>F val</w:t>
            </w:r>
            <w:r>
              <w:rPr>
                <w:b/>
                <w:sz w:val="20"/>
                <w:szCs w:val="20"/>
              </w:rPr>
              <w:t>u</w:t>
            </w:r>
            <w:r w:rsidRPr="00AE448F">
              <w:rPr>
                <w:b/>
                <w:sz w:val="20"/>
                <w:szCs w:val="20"/>
              </w:rPr>
              <w:t>e/Chi-Square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  <w:right w:val="nil"/>
            </w:tcBorders>
            <w:vAlign w:val="bottom"/>
          </w:tcPr>
          <w:p w:rsidR="00D40D9B" w:rsidRPr="00AE448F" w:rsidRDefault="00D40D9B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448F">
              <w:rPr>
                <w:b/>
                <w:sz w:val="20"/>
                <w:szCs w:val="20"/>
              </w:rPr>
              <w:t>P value</w:t>
            </w:r>
          </w:p>
        </w:tc>
      </w:tr>
      <w:tr w:rsidR="00B81372" w:rsidRPr="00AE448F" w:rsidTr="006C2A1B">
        <w:tc>
          <w:tcPr>
            <w:tcW w:w="2132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No. of patients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9</w:t>
            </w:r>
            <w:r w:rsidR="008A5221"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60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6" w:space="0" w:color="auto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BFBFBF" w:themeColor="background1" w:themeShade="BF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6" w:space="0" w:color="auto"/>
              <w:right w:val="nil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C2A1B" w:rsidRPr="00AE448F" w:rsidTr="006C2A1B"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6C2A1B" w:rsidRPr="00AE448F" w:rsidRDefault="006C2A1B" w:rsidP="007E49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PainVAS at study onset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6C2A1B" w:rsidRPr="00AE448F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0A78">
              <w:rPr>
                <w:sz w:val="20"/>
                <w:szCs w:val="20"/>
              </w:rPr>
              <w:t>29</w:t>
            </w:r>
            <w:r w:rsidR="006C2A1B">
              <w:rPr>
                <w:sz w:val="20"/>
                <w:szCs w:val="20"/>
              </w:rPr>
              <w:t xml:space="preserve"> (2.</w:t>
            </w:r>
            <w:r w:rsidR="00CF0A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6C2A1B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C2A1B" w:rsidRPr="009B4FCA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3109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(3.3</w:t>
            </w:r>
            <w:r w:rsidR="00493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6C2A1B" w:rsidRPr="009B4FCA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 (3.0</w:t>
            </w:r>
            <w:r w:rsidR="00CF0A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6C2A1B" w:rsidRPr="009B4FCA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6C2A1B" w:rsidRPr="006C2A1B" w:rsidRDefault="006C2A1B" w:rsidP="007E495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C2A1B">
              <w:rPr>
                <w:i/>
                <w:sz w:val="20"/>
                <w:szCs w:val="20"/>
              </w:rPr>
              <w:t>0.064</w:t>
            </w:r>
          </w:p>
        </w:tc>
      </w:tr>
      <w:tr w:rsidR="00B81372" w:rsidRPr="00AE448F" w:rsidTr="006C2A1B"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Age at JIA onset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9.</w:t>
            </w:r>
            <w:r w:rsidR="008A5221">
              <w:rPr>
                <w:sz w:val="20"/>
                <w:szCs w:val="20"/>
              </w:rPr>
              <w:t>62</w:t>
            </w:r>
            <w:r w:rsidRPr="00AE448F">
              <w:rPr>
                <w:sz w:val="20"/>
                <w:szCs w:val="20"/>
              </w:rPr>
              <w:t xml:space="preserve"> (4.8</w:t>
            </w:r>
            <w:r w:rsidR="008A5221">
              <w:rPr>
                <w:sz w:val="20"/>
                <w:szCs w:val="20"/>
              </w:rPr>
              <w:t>6</w:t>
            </w:r>
            <w:r w:rsidRPr="00AE448F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9.</w:t>
            </w:r>
            <w:r w:rsidR="00800995" w:rsidRPr="009B4FCA">
              <w:rPr>
                <w:sz w:val="20"/>
                <w:szCs w:val="20"/>
              </w:rPr>
              <w:t>13</w:t>
            </w:r>
            <w:r w:rsidRPr="009B4FCA">
              <w:rPr>
                <w:sz w:val="20"/>
                <w:szCs w:val="20"/>
              </w:rPr>
              <w:t xml:space="preserve"> (4.</w:t>
            </w:r>
            <w:r w:rsidR="00800995" w:rsidRPr="009B4FCA">
              <w:rPr>
                <w:sz w:val="20"/>
                <w:szCs w:val="20"/>
              </w:rPr>
              <w:t>55</w:t>
            </w:r>
            <w:r w:rsidRPr="009B4FCA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9.</w:t>
            </w:r>
            <w:r w:rsidR="00800995" w:rsidRPr="009B4FCA">
              <w:rPr>
                <w:sz w:val="20"/>
                <w:szCs w:val="20"/>
              </w:rPr>
              <w:t>0</w:t>
            </w:r>
            <w:r w:rsidR="00CF0A78">
              <w:rPr>
                <w:sz w:val="20"/>
                <w:szCs w:val="20"/>
              </w:rPr>
              <w:t>0</w:t>
            </w:r>
            <w:r w:rsidRPr="009B4FCA">
              <w:rPr>
                <w:sz w:val="20"/>
                <w:szCs w:val="20"/>
              </w:rPr>
              <w:t xml:space="preserve"> (4.9</w:t>
            </w:r>
            <w:r w:rsidR="00CF0A78">
              <w:rPr>
                <w:sz w:val="20"/>
                <w:szCs w:val="20"/>
              </w:rPr>
              <w:t>3</w:t>
            </w:r>
            <w:r w:rsidRPr="009B4FC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9B4FCA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0.</w:t>
            </w:r>
            <w:r w:rsidR="0057747B">
              <w:rPr>
                <w:sz w:val="20"/>
                <w:szCs w:val="20"/>
              </w:rPr>
              <w:t>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9B4FCA" w:rsidRDefault="009B4FCA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0.</w:t>
            </w:r>
            <w:r w:rsidR="0057747B">
              <w:rPr>
                <w:sz w:val="20"/>
                <w:szCs w:val="20"/>
              </w:rPr>
              <w:t>62</w:t>
            </w: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Age at study onset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16.4</w:t>
            </w:r>
            <w:r w:rsidR="008A5221">
              <w:rPr>
                <w:sz w:val="20"/>
                <w:szCs w:val="20"/>
              </w:rPr>
              <w:t>0</w:t>
            </w:r>
            <w:r w:rsidRPr="00AE448F">
              <w:rPr>
                <w:sz w:val="20"/>
                <w:szCs w:val="20"/>
              </w:rPr>
              <w:t xml:space="preserve"> (1.</w:t>
            </w:r>
            <w:r w:rsidR="008A5221">
              <w:rPr>
                <w:sz w:val="20"/>
                <w:szCs w:val="20"/>
              </w:rPr>
              <w:t>21</w:t>
            </w:r>
            <w:r w:rsidRPr="00AE448F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</w:tcPr>
          <w:p w:rsidR="00D40D9B" w:rsidRPr="00800995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  <w:r w:rsidR="00CF0A78">
              <w:rPr>
                <w:sz w:val="20"/>
                <w:szCs w:val="20"/>
              </w:rPr>
              <w:t>9</w:t>
            </w:r>
            <w:r w:rsidR="00800995" w:rsidRPr="00800995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5</w:t>
            </w:r>
            <w:r w:rsidR="00CF0A78">
              <w:rPr>
                <w:sz w:val="20"/>
                <w:szCs w:val="20"/>
              </w:rPr>
              <w:t>7</w:t>
            </w:r>
            <w:r w:rsidR="00800995" w:rsidRPr="008009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40D9B" w:rsidRPr="00800995" w:rsidRDefault="00800995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995">
              <w:rPr>
                <w:sz w:val="20"/>
                <w:szCs w:val="20"/>
              </w:rPr>
              <w:t>1</w:t>
            </w:r>
            <w:r w:rsidR="006C2A1B">
              <w:rPr>
                <w:sz w:val="20"/>
                <w:szCs w:val="20"/>
              </w:rPr>
              <w:t>6.4</w:t>
            </w:r>
            <w:r w:rsidR="00CF0A78">
              <w:rPr>
                <w:sz w:val="20"/>
                <w:szCs w:val="20"/>
              </w:rPr>
              <w:t>6</w:t>
            </w:r>
            <w:r w:rsidRPr="00800995">
              <w:rPr>
                <w:sz w:val="20"/>
                <w:szCs w:val="20"/>
              </w:rPr>
              <w:t xml:space="preserve"> (1.</w:t>
            </w:r>
            <w:r w:rsidR="006C2A1B">
              <w:rPr>
                <w:sz w:val="20"/>
                <w:szCs w:val="20"/>
              </w:rPr>
              <w:t>34</w:t>
            </w:r>
            <w:r w:rsidRPr="0080099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800995" w:rsidRDefault="00CA040D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800995" w:rsidRDefault="00800995" w:rsidP="007E495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&lt;0.001</w:t>
            </w: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Years since JIA onset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A52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Pr="00AE448F">
              <w:rPr>
                <w:sz w:val="20"/>
                <w:szCs w:val="20"/>
              </w:rPr>
              <w:t xml:space="preserve"> (5.</w:t>
            </w:r>
            <w:r>
              <w:rPr>
                <w:sz w:val="20"/>
                <w:szCs w:val="20"/>
              </w:rPr>
              <w:t>1</w:t>
            </w:r>
            <w:r w:rsidR="008A5221">
              <w:rPr>
                <w:sz w:val="20"/>
                <w:szCs w:val="20"/>
              </w:rPr>
              <w:t>7</w:t>
            </w:r>
            <w:r w:rsidRPr="00AE448F"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40D9B" w:rsidRPr="009B4FCA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F0A78">
              <w:rPr>
                <w:sz w:val="20"/>
                <w:szCs w:val="20"/>
              </w:rPr>
              <w:t>78</w:t>
            </w:r>
            <w:r w:rsidR="00D40D9B" w:rsidRPr="009B4FC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="00CF0A78">
              <w:rPr>
                <w:sz w:val="20"/>
                <w:szCs w:val="20"/>
              </w:rPr>
              <w:t>.83</w:t>
            </w:r>
            <w:r w:rsidR="00D40D9B" w:rsidRPr="009B4FCA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nil"/>
              <w:bottom w:val="single" w:sz="6" w:space="0" w:color="auto"/>
            </w:tcBorders>
          </w:tcPr>
          <w:p w:rsidR="00D40D9B" w:rsidRPr="009B4FCA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  <w:r w:rsidR="00D40D9B" w:rsidRPr="009B4FCA">
              <w:rPr>
                <w:sz w:val="20"/>
                <w:szCs w:val="20"/>
              </w:rPr>
              <w:t xml:space="preserve"> (</w:t>
            </w:r>
            <w:r w:rsidR="006C2A1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39</w:t>
            </w:r>
            <w:r w:rsidR="00D40D9B" w:rsidRPr="009B4FC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BFBFBF" w:themeColor="background1" w:themeShade="BF"/>
            </w:tcBorders>
          </w:tcPr>
          <w:p w:rsidR="00D40D9B" w:rsidRPr="009B4FCA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747B">
              <w:rPr>
                <w:sz w:val="20"/>
                <w:szCs w:val="20"/>
              </w:rPr>
              <w:t>60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single" w:sz="6" w:space="0" w:color="auto"/>
              <w:right w:val="nil"/>
            </w:tcBorders>
          </w:tcPr>
          <w:p w:rsidR="00D40D9B" w:rsidRPr="009B4FCA" w:rsidRDefault="009B4FCA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FCA">
              <w:rPr>
                <w:sz w:val="20"/>
                <w:szCs w:val="20"/>
              </w:rPr>
              <w:t>0.</w:t>
            </w:r>
            <w:r w:rsidR="006C2A1B">
              <w:rPr>
                <w:sz w:val="20"/>
                <w:szCs w:val="20"/>
              </w:rPr>
              <w:t>2</w:t>
            </w:r>
            <w:r w:rsidR="0057747B">
              <w:rPr>
                <w:sz w:val="20"/>
                <w:szCs w:val="20"/>
              </w:rPr>
              <w:t>0</w:t>
            </w:r>
          </w:p>
        </w:tc>
      </w:tr>
      <w:tr w:rsidR="00B81372" w:rsidRPr="00AE448F" w:rsidTr="006C2A1B"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D30E27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2.4</w:t>
            </w:r>
            <w:r w:rsidR="0057747B">
              <w:rPr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0.</w:t>
            </w:r>
            <w:r w:rsidR="00D30E27" w:rsidRPr="00D30E27">
              <w:rPr>
                <w:sz w:val="20"/>
                <w:szCs w:val="20"/>
              </w:rPr>
              <w:t>29</w:t>
            </w: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Female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5</w:t>
            </w:r>
            <w:r w:rsidR="008A5221">
              <w:rPr>
                <w:sz w:val="20"/>
                <w:szCs w:val="20"/>
              </w:rPr>
              <w:t>5</w:t>
            </w:r>
            <w:r w:rsidRPr="00AE448F">
              <w:rPr>
                <w:sz w:val="20"/>
                <w:szCs w:val="20"/>
              </w:rPr>
              <w:t xml:space="preserve"> (5</w:t>
            </w:r>
            <w:r w:rsidR="008A5221">
              <w:rPr>
                <w:sz w:val="20"/>
                <w:szCs w:val="20"/>
              </w:rPr>
              <w:t>6.</w:t>
            </w:r>
            <w:r w:rsidRPr="00AE448F">
              <w:rPr>
                <w:sz w:val="20"/>
                <w:szCs w:val="20"/>
              </w:rPr>
              <w:t>7%)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</w:tcPr>
          <w:p w:rsidR="00D40D9B" w:rsidRPr="00D30E27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30</w:t>
            </w:r>
            <w:r w:rsidR="00D40D9B" w:rsidRPr="00D30E27">
              <w:rPr>
                <w:sz w:val="20"/>
                <w:szCs w:val="20"/>
              </w:rPr>
              <w:t xml:space="preserve"> (5</w:t>
            </w:r>
            <w:r w:rsidRPr="00D30E27">
              <w:rPr>
                <w:sz w:val="20"/>
                <w:szCs w:val="20"/>
              </w:rPr>
              <w:t>0.0</w:t>
            </w:r>
            <w:r w:rsidR="00D40D9B" w:rsidRPr="00D30E27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40D9B" w:rsidRPr="00D30E27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65</w:t>
            </w:r>
            <w:r w:rsidR="00D40D9B" w:rsidRPr="00D30E27">
              <w:rPr>
                <w:sz w:val="20"/>
                <w:szCs w:val="20"/>
              </w:rPr>
              <w:t xml:space="preserve"> (</w:t>
            </w:r>
            <w:r w:rsidRPr="00D30E27">
              <w:rPr>
                <w:sz w:val="20"/>
                <w:szCs w:val="20"/>
              </w:rPr>
              <w:t>62</w:t>
            </w:r>
            <w:r w:rsidR="00D40D9B" w:rsidRPr="00D30E27">
              <w:rPr>
                <w:sz w:val="20"/>
                <w:szCs w:val="20"/>
              </w:rPr>
              <w:t>.5%)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Male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right w:val="single" w:sz="6" w:space="0" w:color="auto"/>
            </w:tcBorders>
          </w:tcPr>
          <w:p w:rsidR="00D40D9B" w:rsidRPr="00AE448F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D40D9B" w:rsidRPr="00AE448F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3.3</w:t>
            </w:r>
            <w:r w:rsidR="00D40D9B" w:rsidRPr="00AE448F">
              <w:rPr>
                <w:sz w:val="20"/>
                <w:szCs w:val="20"/>
              </w:rPr>
              <w:t>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</w:tcBorders>
          </w:tcPr>
          <w:p w:rsidR="00D40D9B" w:rsidRPr="00D30E27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30</w:t>
            </w:r>
            <w:r w:rsidR="00D40D9B" w:rsidRPr="00D30E27">
              <w:rPr>
                <w:sz w:val="20"/>
                <w:szCs w:val="20"/>
              </w:rPr>
              <w:t xml:space="preserve"> (</w:t>
            </w:r>
            <w:r w:rsidRPr="00D30E27">
              <w:rPr>
                <w:sz w:val="20"/>
                <w:szCs w:val="20"/>
              </w:rPr>
              <w:t>50.0</w:t>
            </w:r>
            <w:r w:rsidR="00D40D9B" w:rsidRPr="00D30E27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</w:tcBorders>
          </w:tcPr>
          <w:p w:rsidR="00D40D9B" w:rsidRPr="00D30E27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0E27">
              <w:rPr>
                <w:sz w:val="20"/>
                <w:szCs w:val="20"/>
              </w:rPr>
              <w:t>39</w:t>
            </w:r>
            <w:r w:rsidR="00D40D9B" w:rsidRPr="00D30E27">
              <w:rPr>
                <w:sz w:val="20"/>
                <w:szCs w:val="20"/>
              </w:rPr>
              <w:t xml:space="preserve"> (</w:t>
            </w:r>
            <w:r w:rsidRPr="00D30E27">
              <w:rPr>
                <w:sz w:val="20"/>
                <w:szCs w:val="20"/>
              </w:rPr>
              <w:t>37</w:t>
            </w:r>
            <w:r w:rsidR="00D40D9B" w:rsidRPr="00D30E27">
              <w:rPr>
                <w:sz w:val="20"/>
                <w:szCs w:val="20"/>
              </w:rPr>
              <w:t>.5%)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4" w:space="0" w:color="BFBFBF" w:themeColor="background1" w:themeShade="BF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40D9B" w:rsidRPr="00D30E27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 xml:space="preserve">JIA </w:t>
            </w:r>
            <w:r w:rsidR="00487238">
              <w:rPr>
                <w:sz w:val="20"/>
                <w:szCs w:val="20"/>
              </w:rPr>
              <w:t>subtype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B81372" w:rsidRDefault="0057747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0.</w:t>
            </w:r>
            <w:r w:rsidR="0057747B">
              <w:rPr>
                <w:sz w:val="20"/>
                <w:szCs w:val="20"/>
              </w:rPr>
              <w:t>2</w:t>
            </w:r>
            <w:r w:rsidR="00B81372" w:rsidRPr="00B81372">
              <w:rPr>
                <w:sz w:val="20"/>
                <w:szCs w:val="20"/>
              </w:rPr>
              <w:t>3</w:t>
            </w: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Polyarticular course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5</w:t>
            </w:r>
            <w:r w:rsidR="008A5221">
              <w:rPr>
                <w:sz w:val="20"/>
                <w:szCs w:val="20"/>
              </w:rPr>
              <w:t>4</w:t>
            </w:r>
            <w:r w:rsidRPr="00AE448F">
              <w:rPr>
                <w:sz w:val="20"/>
                <w:szCs w:val="20"/>
              </w:rPr>
              <w:t xml:space="preserve"> (5</w:t>
            </w:r>
            <w:r w:rsidR="008A5221">
              <w:rPr>
                <w:sz w:val="20"/>
                <w:szCs w:val="20"/>
              </w:rPr>
              <w:t>5.</w:t>
            </w:r>
            <w:r w:rsidRPr="00AE448F">
              <w:rPr>
                <w:sz w:val="20"/>
                <w:szCs w:val="20"/>
              </w:rPr>
              <w:t>7%)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</w:tcPr>
          <w:p w:rsidR="00D40D9B" w:rsidRPr="00B81372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25 (41.7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40D9B" w:rsidRPr="00B81372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61</w:t>
            </w:r>
            <w:r w:rsidR="00D40D9B" w:rsidRPr="00B81372">
              <w:rPr>
                <w:sz w:val="20"/>
                <w:szCs w:val="20"/>
              </w:rPr>
              <w:t xml:space="preserve"> (5</w:t>
            </w:r>
            <w:r w:rsidRPr="00B81372">
              <w:rPr>
                <w:sz w:val="20"/>
                <w:szCs w:val="20"/>
              </w:rPr>
              <w:t>8.7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Oligoarticular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6 (6.</w:t>
            </w:r>
            <w:r w:rsidR="008A5221">
              <w:rPr>
                <w:sz w:val="20"/>
                <w:szCs w:val="20"/>
              </w:rPr>
              <w:t>2</w:t>
            </w:r>
            <w:r w:rsidRPr="00AE448F">
              <w:rPr>
                <w:sz w:val="20"/>
                <w:szCs w:val="20"/>
              </w:rPr>
              <w:t>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</w:tcPr>
          <w:p w:rsidR="00D40D9B" w:rsidRPr="00B81372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9</w:t>
            </w:r>
            <w:r w:rsidR="00D40D9B" w:rsidRPr="00B81372">
              <w:rPr>
                <w:sz w:val="20"/>
                <w:szCs w:val="20"/>
              </w:rPr>
              <w:t xml:space="preserve"> (</w:t>
            </w:r>
            <w:r w:rsidRPr="00B81372">
              <w:rPr>
                <w:sz w:val="20"/>
                <w:szCs w:val="20"/>
              </w:rPr>
              <w:t>15.0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1</w:t>
            </w:r>
            <w:r w:rsidR="00D30E27" w:rsidRPr="00B81372">
              <w:rPr>
                <w:sz w:val="20"/>
                <w:szCs w:val="20"/>
              </w:rPr>
              <w:t>1</w:t>
            </w:r>
            <w:r w:rsidRPr="00B81372">
              <w:rPr>
                <w:sz w:val="20"/>
                <w:szCs w:val="20"/>
              </w:rPr>
              <w:t xml:space="preserve"> (</w:t>
            </w:r>
            <w:r w:rsidR="00D30E27" w:rsidRPr="00B81372">
              <w:rPr>
                <w:sz w:val="20"/>
                <w:szCs w:val="20"/>
              </w:rPr>
              <w:t>10.6</w:t>
            </w:r>
            <w:r w:rsidRPr="00B81372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Enthesitis Related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40D9B" w:rsidRPr="00AE448F">
              <w:rPr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>3.</w:t>
            </w:r>
            <w:r w:rsidR="00D40D9B" w:rsidRPr="00AE448F">
              <w:rPr>
                <w:sz w:val="20"/>
                <w:szCs w:val="20"/>
              </w:rPr>
              <w:t>0%)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</w:tcPr>
          <w:p w:rsidR="00D40D9B" w:rsidRPr="00B81372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0E27" w:rsidRPr="00B81372">
              <w:rPr>
                <w:sz w:val="20"/>
                <w:szCs w:val="20"/>
              </w:rPr>
              <w:t>0</w:t>
            </w:r>
            <w:r w:rsidR="00D40D9B" w:rsidRPr="00B81372">
              <w:rPr>
                <w:sz w:val="20"/>
                <w:szCs w:val="20"/>
              </w:rPr>
              <w:t xml:space="preserve"> (3</w:t>
            </w:r>
            <w:r w:rsidR="00D30E27" w:rsidRPr="00B81372">
              <w:rPr>
                <w:sz w:val="20"/>
                <w:szCs w:val="20"/>
              </w:rPr>
              <w:t>3.3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D40D9B" w:rsidRPr="00B81372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25</w:t>
            </w:r>
            <w:r w:rsidR="00D40D9B" w:rsidRPr="00B81372">
              <w:rPr>
                <w:sz w:val="20"/>
                <w:szCs w:val="20"/>
              </w:rPr>
              <w:t xml:space="preserve"> (</w:t>
            </w:r>
            <w:r w:rsidR="00B81372" w:rsidRPr="00B81372">
              <w:rPr>
                <w:sz w:val="20"/>
                <w:szCs w:val="20"/>
              </w:rPr>
              <w:t>24.0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Systemic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448F">
              <w:rPr>
                <w:sz w:val="20"/>
                <w:szCs w:val="20"/>
              </w:rPr>
              <w:t>5 (5.</w:t>
            </w:r>
            <w:r w:rsidR="008A5221">
              <w:rPr>
                <w:sz w:val="20"/>
                <w:szCs w:val="20"/>
              </w:rPr>
              <w:t>2</w:t>
            </w:r>
            <w:r w:rsidRPr="00AE448F">
              <w:rPr>
                <w:sz w:val="20"/>
                <w:szCs w:val="20"/>
              </w:rPr>
              <w:t>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40D9B" w:rsidRPr="00B81372" w:rsidRDefault="00D30E27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6</w:t>
            </w:r>
            <w:r w:rsidR="00D40D9B" w:rsidRPr="00B81372">
              <w:rPr>
                <w:sz w:val="20"/>
                <w:szCs w:val="20"/>
              </w:rPr>
              <w:t xml:space="preserve"> (1</w:t>
            </w:r>
            <w:r w:rsidRPr="00B81372">
              <w:rPr>
                <w:sz w:val="20"/>
                <w:szCs w:val="20"/>
              </w:rPr>
              <w:t>0.0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544" w:type="dxa"/>
            <w:tcBorders>
              <w:top w:val="nil"/>
              <w:bottom w:val="single" w:sz="6" w:space="0" w:color="auto"/>
            </w:tcBorders>
          </w:tcPr>
          <w:p w:rsidR="00D40D9B" w:rsidRPr="00B81372" w:rsidRDefault="00B81372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372">
              <w:rPr>
                <w:sz w:val="20"/>
                <w:szCs w:val="20"/>
              </w:rPr>
              <w:t>7</w:t>
            </w:r>
            <w:r w:rsidR="00D40D9B" w:rsidRPr="00B81372">
              <w:rPr>
                <w:sz w:val="20"/>
                <w:szCs w:val="20"/>
              </w:rPr>
              <w:t xml:space="preserve"> (</w:t>
            </w:r>
            <w:r w:rsidRPr="00B81372">
              <w:rPr>
                <w:sz w:val="20"/>
                <w:szCs w:val="20"/>
              </w:rPr>
              <w:t>6.7</w:t>
            </w:r>
            <w:r w:rsidR="00D40D9B" w:rsidRPr="00B81372">
              <w:rPr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BFBFBF" w:themeColor="background1" w:themeShade="BF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single" w:sz="6" w:space="0" w:color="auto"/>
              <w:right w:val="nil"/>
            </w:tcBorders>
          </w:tcPr>
          <w:p w:rsidR="00D40D9B" w:rsidRPr="00B81372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81372" w:rsidRPr="00AE448F" w:rsidTr="006C2A1B">
        <w:tc>
          <w:tcPr>
            <w:tcW w:w="213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0D9B" w:rsidRDefault="00D40D9B" w:rsidP="007E49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JIA activity markers: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0D9B" w:rsidRPr="00D40D9B" w:rsidRDefault="00D40D9B" w:rsidP="007E495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D40D9B" w:rsidRPr="00D40D9B" w:rsidRDefault="00D40D9B" w:rsidP="007E495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D40D9B" w:rsidRDefault="00D40D9B" w:rsidP="007E495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D40D9B" w:rsidRDefault="00D40D9B" w:rsidP="007E495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1372" w:rsidRPr="007B03AB" w:rsidTr="006C2A1B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D9B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PGA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40D9B" w:rsidRPr="00AE448F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A52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(2.5</w:t>
            </w:r>
            <w:r w:rsidR="008A52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40D9B" w:rsidRPr="006C2A1B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1.6</w:t>
            </w:r>
            <w:r w:rsidR="00CF0A78">
              <w:rPr>
                <w:sz w:val="20"/>
                <w:szCs w:val="20"/>
              </w:rPr>
              <w:t>3</w:t>
            </w:r>
            <w:r w:rsidR="00D40D9B" w:rsidRPr="006C2A1B">
              <w:rPr>
                <w:sz w:val="20"/>
                <w:szCs w:val="20"/>
              </w:rPr>
              <w:t xml:space="preserve"> (2.</w:t>
            </w:r>
            <w:r w:rsidR="00CF0A78">
              <w:rPr>
                <w:sz w:val="20"/>
                <w:szCs w:val="20"/>
              </w:rPr>
              <w:t>55</w:t>
            </w:r>
            <w:r w:rsidR="00D40D9B" w:rsidRPr="006C2A1B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D40D9B" w:rsidRPr="006C2A1B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2.2</w:t>
            </w:r>
            <w:r w:rsidR="00CF0A78">
              <w:rPr>
                <w:sz w:val="20"/>
                <w:szCs w:val="20"/>
              </w:rPr>
              <w:t>5</w:t>
            </w:r>
            <w:r w:rsidR="00D40D9B" w:rsidRPr="006C2A1B">
              <w:rPr>
                <w:sz w:val="20"/>
                <w:szCs w:val="20"/>
              </w:rPr>
              <w:t xml:space="preserve"> (2.</w:t>
            </w:r>
            <w:r w:rsidRPr="006C2A1B">
              <w:rPr>
                <w:sz w:val="20"/>
                <w:szCs w:val="20"/>
              </w:rPr>
              <w:t>63</w:t>
            </w:r>
            <w:r w:rsidR="00D40D9B" w:rsidRPr="006C2A1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</w:tcPr>
          <w:p w:rsidR="00D40D9B" w:rsidRPr="006C2A1B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1.</w:t>
            </w:r>
            <w:r w:rsidR="0057747B">
              <w:rPr>
                <w:sz w:val="20"/>
                <w:szCs w:val="20"/>
              </w:rPr>
              <w:t>78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40D9B" w:rsidRPr="006C2A1B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0.</w:t>
            </w:r>
            <w:r w:rsidR="0057747B">
              <w:rPr>
                <w:sz w:val="20"/>
                <w:szCs w:val="20"/>
              </w:rPr>
              <w:t>17</w:t>
            </w:r>
          </w:p>
        </w:tc>
      </w:tr>
      <w:tr w:rsidR="00B81372" w:rsidRPr="00AE448F" w:rsidTr="008A5221"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0D9B" w:rsidRDefault="00D40D9B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active joints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D9B" w:rsidRPr="00AE448F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(0-2)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D40D9B" w:rsidRPr="006C2A1B" w:rsidRDefault="00D40D9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0 (0-1)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:rsidR="00D40D9B" w:rsidRPr="006C2A1B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0 (0-2</w:t>
            </w:r>
            <w:r w:rsidR="00D40D9B" w:rsidRPr="006C2A1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40D9B" w:rsidRPr="006C2A1B" w:rsidRDefault="006C2A1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1.</w:t>
            </w:r>
            <w:r w:rsidR="0057747B">
              <w:rPr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D40D9B" w:rsidRPr="006C2A1B" w:rsidRDefault="00D40D9B" w:rsidP="007E4957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  <w:r w:rsidRPr="006C2A1B">
              <w:rPr>
                <w:sz w:val="20"/>
                <w:szCs w:val="20"/>
              </w:rPr>
              <w:t>0.</w:t>
            </w:r>
            <w:r w:rsidR="0057747B">
              <w:rPr>
                <w:sz w:val="20"/>
                <w:szCs w:val="20"/>
              </w:rPr>
              <w:t>3</w:t>
            </w:r>
            <w:r w:rsidR="006C2A1B" w:rsidRPr="006C2A1B">
              <w:rPr>
                <w:sz w:val="20"/>
                <w:szCs w:val="20"/>
              </w:rPr>
              <w:t>2</w:t>
            </w:r>
          </w:p>
        </w:tc>
      </w:tr>
      <w:tr w:rsidR="008A5221" w:rsidRPr="00AE448F" w:rsidTr="008A5221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5221" w:rsidRPr="008A5221" w:rsidRDefault="00487238" w:rsidP="007E49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</w:t>
            </w:r>
            <w:r w:rsidR="008A5221" w:rsidRPr="008A5221">
              <w:rPr>
                <w:sz w:val="20"/>
                <w:szCs w:val="20"/>
              </w:rPr>
              <w:t>s: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8A5221" w:rsidRPr="008A5221" w:rsidRDefault="008A5221" w:rsidP="007E4957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5221" w:rsidRPr="00AE448F" w:rsidTr="008A5221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221" w:rsidRPr="008A5221" w:rsidRDefault="008A5221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No. taking DMARDs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67 (69.1%)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A5221" w:rsidRPr="008A5221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(58.3%)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8A5221" w:rsidRPr="008A5221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(53.8%)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8A5221" w:rsidRPr="008A5221" w:rsidRDefault="0057747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8A5221" w:rsidRPr="0057747B" w:rsidRDefault="0057747B" w:rsidP="007E4957">
            <w:pPr>
              <w:keepNext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7747B">
              <w:rPr>
                <w:i/>
                <w:sz w:val="20"/>
                <w:szCs w:val="20"/>
              </w:rPr>
              <w:t>0.081</w:t>
            </w:r>
          </w:p>
        </w:tc>
      </w:tr>
      <w:tr w:rsidR="008A5221" w:rsidRPr="00AE448F" w:rsidTr="008A5221"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221" w:rsidRPr="008A5221" w:rsidRDefault="008A5221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No. taking Biologics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40 (41.2%)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A5221" w:rsidRPr="008A5221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(31.7%)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8A5221" w:rsidRPr="008A5221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(39.4%)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8A5221" w:rsidRPr="008A5221" w:rsidRDefault="0057747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8A5221" w:rsidRPr="006F75BE" w:rsidRDefault="0057747B" w:rsidP="007E4957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8A5221" w:rsidRPr="00AE448F" w:rsidTr="006C2A1B"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A5221" w:rsidRPr="008A5221" w:rsidRDefault="008A5221" w:rsidP="007E49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No. taking Steroids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221" w:rsidRPr="008A5221" w:rsidRDefault="008A5221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5221">
              <w:rPr>
                <w:sz w:val="20"/>
                <w:szCs w:val="20"/>
              </w:rPr>
              <w:t>16 (16.5%)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8A5221" w:rsidRPr="008A5221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(10.0%)</w:t>
            </w:r>
          </w:p>
        </w:tc>
        <w:tc>
          <w:tcPr>
            <w:tcW w:w="1544" w:type="dxa"/>
            <w:tcBorders>
              <w:top w:val="nil"/>
              <w:bottom w:val="single" w:sz="12" w:space="0" w:color="auto"/>
            </w:tcBorders>
            <w:vAlign w:val="center"/>
          </w:tcPr>
          <w:p w:rsidR="008A5221" w:rsidRPr="006F75BE" w:rsidRDefault="00CF0A78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(12.5%)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8A5221" w:rsidRPr="006F75BE" w:rsidRDefault="0057747B" w:rsidP="007E49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775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8A5221" w:rsidRPr="006F75BE" w:rsidRDefault="0057747B" w:rsidP="007E4957">
            <w:pPr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</w:tbl>
    <w:p w:rsidR="006C2A1B" w:rsidRDefault="006C2A1B" w:rsidP="006C2A1B">
      <w:pPr>
        <w:pStyle w:val="Caption"/>
        <w:rPr>
          <w:b w:val="0"/>
        </w:rPr>
      </w:pPr>
      <w:r>
        <w:t xml:space="preserve">Table </w:t>
      </w:r>
      <w:r w:rsidR="001576B5">
        <w:t>2</w:t>
      </w:r>
      <w:r>
        <w:t xml:space="preserve"> </w:t>
      </w:r>
      <w:r w:rsidR="0071698E">
        <w:t>–</w:t>
      </w:r>
      <w:r>
        <w:t xml:space="preserve"> </w:t>
      </w:r>
      <w:r w:rsidRPr="006C2A1B">
        <w:t>Patient characteristics of included and excluded patients</w:t>
      </w:r>
    </w:p>
    <w:p w:rsidR="00E63BF2" w:rsidRPr="00105828" w:rsidRDefault="00105828" w:rsidP="00EC1AB0">
      <w:pPr>
        <w:rPr>
          <w:color w:val="000000"/>
          <w:szCs w:val="20"/>
        </w:rPr>
      </w:pPr>
      <w:r w:rsidRPr="00AD4611">
        <w:rPr>
          <w:color w:val="000000"/>
          <w:szCs w:val="20"/>
        </w:rPr>
        <w:t>Data is described as mean (</w:t>
      </w:r>
      <w:r>
        <w:rPr>
          <w:color w:val="000000"/>
          <w:szCs w:val="20"/>
        </w:rPr>
        <w:t>standard deviation) for continuous data, number (% of patients with</w:t>
      </w:r>
      <w:r w:rsidRPr="00AD461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trajectory type</w:t>
      </w:r>
      <w:r w:rsidRPr="00AD4611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 for categorical data or median (interquartile range) for discreet data (no. of active joints)</w:t>
      </w:r>
      <w:r w:rsidRPr="00AD4611">
        <w:rPr>
          <w:color w:val="000000"/>
          <w:szCs w:val="20"/>
        </w:rPr>
        <w:t>.</w:t>
      </w:r>
      <w:r w:rsidR="00A02B1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Statistical comparison between trajectory groups were made using either one</w:t>
      </w:r>
      <w:r w:rsidR="00030DC9">
        <w:rPr>
          <w:color w:val="000000"/>
          <w:szCs w:val="20"/>
        </w:rPr>
        <w:t>-</w:t>
      </w:r>
      <w:r>
        <w:rPr>
          <w:color w:val="000000"/>
          <w:szCs w:val="20"/>
        </w:rPr>
        <w:t xml:space="preserve">way ANOVA or Chi-Square test. </w:t>
      </w:r>
      <w:r w:rsidR="00A02B1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PGA=Physician global assessment </w:t>
      </w:r>
      <w:r w:rsidRPr="00105828">
        <w:rPr>
          <w:color w:val="000000"/>
          <w:szCs w:val="20"/>
        </w:rPr>
        <w:t>VAS.</w:t>
      </w:r>
      <w:r w:rsidR="00A02B19">
        <w:rPr>
          <w:color w:val="000000"/>
          <w:szCs w:val="20"/>
        </w:rPr>
        <w:t xml:space="preserve"> </w:t>
      </w:r>
      <w:r w:rsidRPr="00105828">
        <w:rPr>
          <w:color w:val="000000"/>
          <w:szCs w:val="20"/>
        </w:rPr>
        <w:t xml:space="preserve"> </w:t>
      </w:r>
      <w:r w:rsidR="00800995" w:rsidRPr="00105828">
        <w:t>* sig vs. included patients in post-hoc analysis</w:t>
      </w:r>
      <w:r w:rsidR="00487238">
        <w:t>.</w:t>
      </w:r>
    </w:p>
    <w:p w:rsidR="00BA14D9" w:rsidRDefault="00BA14D9">
      <w:pPr>
        <w:spacing w:line="259" w:lineRule="auto"/>
        <w:rPr>
          <w:u w:val="single"/>
        </w:rPr>
      </w:pPr>
      <w:r>
        <w:rPr>
          <w:u w:val="single"/>
        </w:rPr>
        <w:br w:type="page"/>
      </w:r>
    </w:p>
    <w:p w:rsidR="002B01BB" w:rsidRPr="0071698E" w:rsidRDefault="002B01BB" w:rsidP="0071698E">
      <w:pPr>
        <w:pStyle w:val="Heading1"/>
      </w:pPr>
      <w:r w:rsidRPr="0071698E">
        <w:lastRenderedPageBreak/>
        <w:t>R</w:t>
      </w:r>
      <w:r w:rsidR="0071698E" w:rsidRPr="0071698E">
        <w:t>ESULTS</w:t>
      </w:r>
    </w:p>
    <w:p w:rsidR="007E4957" w:rsidDel="007E4957" w:rsidRDefault="007E4957" w:rsidP="007E4957">
      <w:pPr>
        <w:pStyle w:val="Heading2"/>
      </w:pPr>
      <w:r w:rsidRPr="007E4957">
        <w:t>Part 1: Pain in adolescent JIA patients</w:t>
      </w:r>
    </w:p>
    <w:p w:rsidR="00EC1AB0" w:rsidDel="007E4957" w:rsidRDefault="008A5221" w:rsidP="008F4921">
      <w:pPr>
        <w:pStyle w:val="NoSpacing"/>
      </w:pPr>
      <w:r w:rsidDel="007E4957">
        <w:rPr>
          <w:noProof/>
          <w:lang w:val="en-US"/>
        </w:rPr>
        <w:drawing>
          <wp:inline distT="0" distB="0" distL="0" distR="0">
            <wp:extent cx="5769589" cy="23267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Q and PGE for suppleme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 r="2621" b="2354"/>
                    <a:stretch/>
                  </pic:blipFill>
                  <pic:spPr bwMode="auto">
                    <a:xfrm>
                      <a:off x="0" y="0"/>
                      <a:ext cx="5776811" cy="232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AB0" w:rsidDel="007E4957" w:rsidRDefault="00EC1AB0" w:rsidP="00EC1AB0">
      <w:pPr>
        <w:pStyle w:val="Caption"/>
      </w:pPr>
      <w:r w:rsidDel="007E4957">
        <w:t xml:space="preserve">Figure </w:t>
      </w:r>
      <w:r w:rsidR="00487238" w:rsidDel="007E4957">
        <w:t>1</w:t>
      </w:r>
      <w:r w:rsidDel="007E4957">
        <w:t xml:space="preserve"> – Disability and quality of life as reported by patients with different levels of pain</w:t>
      </w:r>
    </w:p>
    <w:p w:rsidR="006F75BE" w:rsidDel="007E4957" w:rsidRDefault="00EC1AB0" w:rsidP="00FF3324">
      <w:r w:rsidDel="007E4957">
        <w:t>Patients separated into low (n=4</w:t>
      </w:r>
      <w:r w:rsidR="008A5221" w:rsidDel="007E4957">
        <w:t>5</w:t>
      </w:r>
      <w:r w:rsidDel="007E4957">
        <w:t>), variable (n=</w:t>
      </w:r>
      <w:r w:rsidR="008A5221" w:rsidDel="007E4957">
        <w:t>30</w:t>
      </w:r>
      <w:r w:rsidDel="007E4957">
        <w:t xml:space="preserve">) and high (n=22) pain trajectories via cluster analysis also experienced: </w:t>
      </w:r>
      <w:r w:rsidDel="007E4957">
        <w:rPr>
          <w:b/>
        </w:rPr>
        <w:t>A</w:t>
      </w:r>
      <w:r w:rsidDel="007E4957">
        <w:t xml:space="preserve">: </w:t>
      </w:r>
      <w:r w:rsidRPr="00810274" w:rsidDel="007E4957">
        <w:t>differing</w:t>
      </w:r>
      <w:r w:rsidDel="007E4957">
        <w:t xml:space="preserve"> levels of disability (as assessed by the Childhood </w:t>
      </w:r>
      <w:r w:rsidRPr="00F70B59" w:rsidDel="007E4957">
        <w:t>Health Assessment Questionnaire</w:t>
      </w:r>
      <w:r w:rsidDel="007E4957">
        <w:t xml:space="preserve"> [</w:t>
      </w:r>
      <w:r w:rsidRPr="00F70B59" w:rsidDel="007E4957">
        <w:t>CHAQ</w:t>
      </w:r>
      <w:r w:rsidDel="007E4957">
        <w:t xml:space="preserve">]) (p&lt;0.001) and </w:t>
      </w:r>
      <w:r w:rsidDel="007E4957">
        <w:rPr>
          <w:b/>
        </w:rPr>
        <w:t>B</w:t>
      </w:r>
      <w:r w:rsidDel="007E4957">
        <w:t>: varying levels of quality of life (as reported by the patient general evaluation VAS</w:t>
      </w:r>
      <w:r w:rsidR="00E9763D" w:rsidDel="007E4957">
        <w:t xml:space="preserve"> [PGE]</w:t>
      </w:r>
      <w:r w:rsidDel="007E4957">
        <w:t>) (p&lt;0.001).</w:t>
      </w:r>
      <w:r w:rsidR="00A02B19" w:rsidDel="007E4957">
        <w:t xml:space="preserve"> </w:t>
      </w:r>
      <w:r w:rsidDel="007E4957">
        <w:t xml:space="preserve"> * p&lt;0.05 between indicated groups.</w:t>
      </w:r>
    </w:p>
    <w:p w:rsidR="007E4957" w:rsidDel="007E4957" w:rsidRDefault="007E4957" w:rsidP="00D67EF4">
      <w:pPr>
        <w:rPr>
          <w:rFonts w:eastAsiaTheme="majorEastAsia" w:cstheme="minorHAnsi"/>
        </w:rPr>
      </w:pPr>
    </w:p>
    <w:p w:rsidR="00D67EF4" w:rsidRDefault="004D77DE" w:rsidP="008F4921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5931899" cy="214567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 diagrams for supplemen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2918" r="5724" b="222"/>
                    <a:stretch/>
                  </pic:blipFill>
                  <pic:spPr bwMode="auto">
                    <a:xfrm>
                      <a:off x="0" y="0"/>
                      <a:ext cx="5969018" cy="215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480" w:rsidRDefault="00265480" w:rsidP="00265480">
      <w:pPr>
        <w:pStyle w:val="Caption"/>
      </w:pPr>
      <w:r>
        <w:t xml:space="preserve">Figure 2 – Ven diagrams examining </w:t>
      </w:r>
      <w:r w:rsidR="007A784D">
        <w:t>proportions of patients with each type of joint</w:t>
      </w:r>
    </w:p>
    <w:p w:rsidR="004D77DE" w:rsidRDefault="004D77DE" w:rsidP="00D67EF4">
      <w:r>
        <w:t>Venn diagrams examining the proportion of patients with active (green), swollen (blue) or limited joints (orange), or a combination of the three, within each trajectory type revealed a reduced number of patients with only active joints and an increase in the number of patients with swollen and limited joints in the variable and high pain trajectory groups (p=0.029).</w:t>
      </w:r>
    </w:p>
    <w:p w:rsidR="006F75BE" w:rsidRPr="006F75BE" w:rsidRDefault="007E4957" w:rsidP="00E63BF2">
      <w:pPr>
        <w:pStyle w:val="Heading2"/>
      </w:pPr>
      <w:bookmarkStart w:id="3" w:name="_Hlk12290822"/>
      <w:bookmarkStart w:id="4" w:name="_Hlk530472395"/>
      <w:r>
        <w:lastRenderedPageBreak/>
        <w:t>Part 2:</w:t>
      </w:r>
      <w:r w:rsidR="006F75BE">
        <w:t xml:space="preserve"> </w:t>
      </w:r>
      <w:r>
        <w:t>Pain in a rodent model of joint inflammation</w:t>
      </w:r>
      <w:bookmarkEnd w:id="3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096"/>
        <w:gridCol w:w="1134"/>
        <w:gridCol w:w="1134"/>
        <w:gridCol w:w="1400"/>
        <w:gridCol w:w="1113"/>
        <w:gridCol w:w="8"/>
      </w:tblGrid>
      <w:tr w:rsidR="006F75BE" w:rsidTr="00D67EF4">
        <w:tc>
          <w:tcPr>
            <w:tcW w:w="1881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A778CD">
              <w:rPr>
                <w:b/>
                <w:sz w:val="20"/>
              </w:rPr>
              <w:t>All animals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A778CD">
              <w:rPr>
                <w:b/>
                <w:sz w:val="20"/>
              </w:rPr>
              <w:t>Sex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Statistical Analysis</w:t>
            </w:r>
          </w:p>
        </w:tc>
      </w:tr>
      <w:tr w:rsidR="006F75BE" w:rsidTr="00D67EF4">
        <w:trPr>
          <w:gridAfter w:val="1"/>
          <w:wAfter w:w="8" w:type="dxa"/>
        </w:trPr>
        <w:tc>
          <w:tcPr>
            <w:tcW w:w="1881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A778CD">
              <w:rPr>
                <w:b/>
                <w:sz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bottom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A778CD">
              <w:rPr>
                <w:b/>
                <w:sz w:val="20"/>
              </w:rPr>
              <w:t>Male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bottom"/>
          </w:tcPr>
          <w:p w:rsidR="006F75BE" w:rsidRPr="00AE448F" w:rsidRDefault="006F75BE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448F">
              <w:rPr>
                <w:b/>
                <w:sz w:val="20"/>
                <w:szCs w:val="20"/>
              </w:rPr>
              <w:t>Chi-Square</w:t>
            </w:r>
          </w:p>
        </w:tc>
        <w:tc>
          <w:tcPr>
            <w:tcW w:w="1113" w:type="dxa"/>
            <w:tcBorders>
              <w:top w:val="nil"/>
              <w:left w:val="single" w:sz="4" w:space="0" w:color="BFBFBF" w:themeColor="background1" w:themeShade="BF"/>
              <w:bottom w:val="single" w:sz="12" w:space="0" w:color="auto"/>
            </w:tcBorders>
            <w:vAlign w:val="bottom"/>
          </w:tcPr>
          <w:p w:rsidR="006F75BE" w:rsidRPr="00AE448F" w:rsidRDefault="006F75BE" w:rsidP="007E49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448F">
              <w:rPr>
                <w:b/>
                <w:sz w:val="20"/>
                <w:szCs w:val="20"/>
              </w:rPr>
              <w:t>P value</w:t>
            </w:r>
          </w:p>
        </w:tc>
      </w:tr>
      <w:tr w:rsidR="006F75BE" w:rsidTr="00D67EF4">
        <w:trPr>
          <w:gridAfter w:val="1"/>
          <w:wAfter w:w="8" w:type="dxa"/>
          <w:trHeight w:val="385"/>
        </w:trPr>
        <w:tc>
          <w:tcPr>
            <w:tcW w:w="188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No. of</w:t>
            </w:r>
            <w:r w:rsidRPr="00A778CD">
              <w:rPr>
                <w:sz w:val="20"/>
              </w:rPr>
              <w:t xml:space="preserve"> Animals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 w:rsidRPr="00A778CD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 w:rsidRPr="00A778C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6" w:space="0" w:color="auto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 w:rsidRPr="00A778CD">
              <w:rPr>
                <w:sz w:val="20"/>
              </w:rPr>
              <w:t>15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6" w:space="0" w:color="auto"/>
            </w:tcBorders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F75BE" w:rsidTr="00D67EF4">
        <w:trPr>
          <w:gridAfter w:val="1"/>
          <w:wAfter w:w="8" w:type="dxa"/>
        </w:trPr>
        <w:tc>
          <w:tcPr>
            <w:tcW w:w="188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rPr>
                <w:sz w:val="20"/>
              </w:rPr>
            </w:pPr>
            <w:r w:rsidRPr="00A778CD">
              <w:rPr>
                <w:sz w:val="20"/>
              </w:rPr>
              <w:t>Trajectory</w:t>
            </w:r>
            <w:r>
              <w:rPr>
                <w:sz w:val="20"/>
              </w:rPr>
              <w:t>: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8" w:space="0" w:color="auto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58.40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BFBFBF" w:themeColor="background1" w:themeShade="BF"/>
            </w:tcBorders>
          </w:tcPr>
          <w:p w:rsidR="006F75BE" w:rsidRPr="00A536BF" w:rsidRDefault="006F75BE" w:rsidP="007E4957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A536BF">
              <w:rPr>
                <w:b/>
                <w:i/>
                <w:sz w:val="20"/>
              </w:rPr>
              <w:t>&lt;0.001</w:t>
            </w:r>
          </w:p>
        </w:tc>
      </w:tr>
      <w:tr w:rsidR="006F75BE" w:rsidTr="00D67EF4">
        <w:trPr>
          <w:gridAfter w:val="1"/>
          <w:wAfter w:w="8" w:type="dxa"/>
        </w:trPr>
        <w:tc>
          <w:tcPr>
            <w:tcW w:w="1881" w:type="dxa"/>
            <w:tcBorders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right"/>
              <w:rPr>
                <w:sz w:val="20"/>
              </w:rPr>
            </w:pPr>
            <w:r w:rsidRPr="00A778CD">
              <w:rPr>
                <w:sz w:val="20"/>
              </w:rPr>
              <w:t>Low Sensitivity</w:t>
            </w:r>
          </w:p>
        </w:tc>
        <w:tc>
          <w:tcPr>
            <w:tcW w:w="109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 (28.0%)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(10.0%)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(40.0%)</w:t>
            </w:r>
          </w:p>
        </w:tc>
        <w:tc>
          <w:tcPr>
            <w:tcW w:w="1400" w:type="dxa"/>
            <w:tcBorders>
              <w:left w:val="single" w:sz="8" w:space="0" w:color="auto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left w:val="single" w:sz="4" w:space="0" w:color="BFBFBF" w:themeColor="background1" w:themeShade="BF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F75BE" w:rsidTr="00D67EF4">
        <w:trPr>
          <w:gridAfter w:val="1"/>
          <w:wAfter w:w="8" w:type="dxa"/>
        </w:trPr>
        <w:tc>
          <w:tcPr>
            <w:tcW w:w="1881" w:type="dxa"/>
            <w:tcBorders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right"/>
              <w:rPr>
                <w:sz w:val="20"/>
              </w:rPr>
            </w:pPr>
            <w:r w:rsidRPr="00A778CD">
              <w:rPr>
                <w:sz w:val="20"/>
              </w:rPr>
              <w:t>Medium Sensitivity</w:t>
            </w:r>
          </w:p>
        </w:tc>
        <w:tc>
          <w:tcPr>
            <w:tcW w:w="109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 (36.0%)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(60.0%)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(20.0%)</w:t>
            </w:r>
          </w:p>
        </w:tc>
        <w:tc>
          <w:tcPr>
            <w:tcW w:w="1400" w:type="dxa"/>
            <w:tcBorders>
              <w:left w:val="single" w:sz="8" w:space="0" w:color="auto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left w:val="single" w:sz="4" w:space="0" w:color="BFBFBF" w:themeColor="background1" w:themeShade="BF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F75BE" w:rsidTr="00D67EF4">
        <w:trPr>
          <w:gridAfter w:val="1"/>
          <w:wAfter w:w="8" w:type="dxa"/>
        </w:trPr>
        <w:tc>
          <w:tcPr>
            <w:tcW w:w="188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right"/>
              <w:rPr>
                <w:sz w:val="20"/>
              </w:rPr>
            </w:pPr>
            <w:r w:rsidRPr="00A778CD">
              <w:rPr>
                <w:sz w:val="20"/>
              </w:rPr>
              <w:t>High Sensitivity</w:t>
            </w:r>
          </w:p>
        </w:tc>
        <w:tc>
          <w:tcPr>
            <w:tcW w:w="109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 (36.0%)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(30.0%)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6F75BE" w:rsidRPr="00A778CD" w:rsidRDefault="006F75BE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(40.0%)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12" w:space="0" w:color="auto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left w:val="single" w:sz="4" w:space="0" w:color="BFBFBF" w:themeColor="background1" w:themeShade="BF"/>
              <w:bottom w:val="single" w:sz="12" w:space="0" w:color="auto"/>
            </w:tcBorders>
          </w:tcPr>
          <w:p w:rsidR="006F75BE" w:rsidRDefault="006F75BE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6F75BE" w:rsidRDefault="006F75BE" w:rsidP="006F75BE">
      <w:pPr>
        <w:pStyle w:val="Caption"/>
      </w:pPr>
      <w:r>
        <w:t xml:space="preserve">Table </w:t>
      </w:r>
      <w:r w:rsidR="001576B5">
        <w:t>3</w:t>
      </w:r>
      <w:r>
        <w:t xml:space="preserve"> – Animal numbers and the distribution of pain trajectories in female and male adolescent rats </w:t>
      </w:r>
    </w:p>
    <w:p w:rsidR="006F75BE" w:rsidRDefault="006F75BE" w:rsidP="006F75BE">
      <w:pPr>
        <w:rPr>
          <w:color w:val="000000"/>
          <w:szCs w:val="20"/>
        </w:rPr>
      </w:pPr>
      <w:r w:rsidRPr="00AD4611">
        <w:rPr>
          <w:color w:val="000000"/>
          <w:szCs w:val="20"/>
        </w:rPr>
        <w:t xml:space="preserve">Data is described as </w:t>
      </w:r>
      <w:r>
        <w:rPr>
          <w:color w:val="000000"/>
          <w:szCs w:val="20"/>
        </w:rPr>
        <w:t>number (% of animals</w:t>
      </w:r>
      <w:r w:rsidRPr="00AD4611">
        <w:rPr>
          <w:color w:val="000000"/>
          <w:szCs w:val="20"/>
        </w:rPr>
        <w:t>).</w:t>
      </w:r>
      <w:r>
        <w:rPr>
          <w:color w:val="000000"/>
          <w:szCs w:val="20"/>
        </w:rPr>
        <w:t xml:space="preserve">  Statistical comparison between trajectory groups were made using Chi-Square test.</w:t>
      </w:r>
    </w:p>
    <w:p w:rsidR="0071698E" w:rsidRDefault="0071698E" w:rsidP="00E63BF2"/>
    <w:bookmarkEnd w:id="4"/>
    <w:tbl>
      <w:tblPr>
        <w:tblStyle w:val="TableGrid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367"/>
        <w:gridCol w:w="1181"/>
        <w:gridCol w:w="1143"/>
        <w:gridCol w:w="1128"/>
        <w:gridCol w:w="1134"/>
      </w:tblGrid>
      <w:tr w:rsidR="00ED46FA" w:rsidTr="009B1EAA">
        <w:tc>
          <w:tcPr>
            <w:tcW w:w="1843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animals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Animal groups</w:t>
            </w:r>
          </w:p>
        </w:tc>
      </w:tr>
      <w:tr w:rsidR="00ED46FA" w:rsidTr="009B1EAA">
        <w:tc>
          <w:tcPr>
            <w:tcW w:w="1843" w:type="dxa"/>
            <w:vMerge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Saline+Saline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Saline+CFA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5A5A5" w:themeColor="accent3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CFA+CFA</w:t>
            </w:r>
          </w:p>
        </w:tc>
        <w:tc>
          <w:tcPr>
            <w:tcW w:w="226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CFA+CFA subgroup</w:t>
            </w:r>
            <w:r>
              <w:rPr>
                <w:sz w:val="20"/>
              </w:rPr>
              <w:t>s</w:t>
            </w:r>
          </w:p>
        </w:tc>
      </w:tr>
      <w:tr w:rsidR="00ED46FA" w:rsidTr="009B1EAA">
        <w:tc>
          <w:tcPr>
            <w:tcW w:w="1843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5A5A5" w:themeColor="accent3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5A5A5" w:themeColor="accent3"/>
              <w:bottom w:val="single" w:sz="12" w:space="0" w:color="auto"/>
              <w:right w:val="single" w:sz="6" w:space="0" w:color="auto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5A5A5" w:themeColor="accent3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Low Sensitivity</w:t>
            </w: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12" w:space="0" w:color="auto"/>
            </w:tcBorders>
            <w:vAlign w:val="bottom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b/>
                <w:sz w:val="20"/>
              </w:rPr>
            </w:pPr>
            <w:r w:rsidRPr="00CA4A0F">
              <w:rPr>
                <w:b/>
                <w:sz w:val="20"/>
              </w:rPr>
              <w:t>High Sensitivity</w:t>
            </w:r>
          </w:p>
        </w:tc>
      </w:tr>
      <w:tr w:rsidR="00ED46FA" w:rsidTr="009B1EAA"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No. of animals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24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5A5A5" w:themeColor="accent3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22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21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5A5A5" w:themeColor="accent3"/>
              <w:bottom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9</w:t>
            </w:r>
          </w:p>
        </w:tc>
      </w:tr>
      <w:tr w:rsidR="00ED46FA" w:rsidTr="009B1EAA">
        <w:tc>
          <w:tcPr>
            <w:tcW w:w="1843" w:type="dxa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Age of onset: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5A5A5" w:themeColor="accent3"/>
              <w:bottom w:val="nil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D46FA" w:rsidTr="009B1EAA"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P8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 (52.2%)</w:t>
            </w: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 (50.0%)</w:t>
            </w:r>
          </w:p>
        </w:tc>
        <w:tc>
          <w:tcPr>
            <w:tcW w:w="118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11 (50.0%)</w:t>
            </w:r>
          </w:p>
        </w:tc>
        <w:tc>
          <w:tcPr>
            <w:tcW w:w="1143" w:type="dxa"/>
            <w:tcBorders>
              <w:top w:val="nil"/>
              <w:left w:val="single" w:sz="4" w:space="0" w:color="A5A5A5" w:themeColor="accent3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 (57.1%)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8 (66.7%)</w:t>
            </w: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nil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 (44.4%)</w:t>
            </w:r>
          </w:p>
        </w:tc>
      </w:tr>
      <w:tr w:rsidR="00ED46FA" w:rsidTr="009B1EAA">
        <w:tc>
          <w:tcPr>
            <w:tcW w:w="1843" w:type="dxa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P21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 (47.8%)</w:t>
            </w: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 (50.0%)</w:t>
            </w:r>
          </w:p>
        </w:tc>
        <w:tc>
          <w:tcPr>
            <w:tcW w:w="1181" w:type="dxa"/>
            <w:tcBorders>
              <w:top w:val="nil"/>
              <w:left w:val="single" w:sz="4" w:space="0" w:color="A5A5A5" w:themeColor="accent3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11 (50.0%)</w:t>
            </w:r>
          </w:p>
        </w:tc>
        <w:tc>
          <w:tcPr>
            <w:tcW w:w="1143" w:type="dxa"/>
            <w:tcBorders>
              <w:top w:val="nil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9 (42.9%)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 (33.3%)</w:t>
            </w: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  <w:bottom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5 (55.6%)</w:t>
            </w:r>
          </w:p>
        </w:tc>
      </w:tr>
      <w:tr w:rsidR="00ED46FA" w:rsidTr="009B1EAA">
        <w:tc>
          <w:tcPr>
            <w:tcW w:w="1843" w:type="dxa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Sex: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5A5A5" w:themeColor="accent3"/>
              <w:bottom w:val="nil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D46FA" w:rsidTr="009B1EAA">
        <w:tc>
          <w:tcPr>
            <w:tcW w:w="1843" w:type="dxa"/>
            <w:tcBorders>
              <w:top w:val="nil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Female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 (50.7%)</w:t>
            </w:r>
          </w:p>
        </w:tc>
        <w:tc>
          <w:tcPr>
            <w:tcW w:w="1367" w:type="dxa"/>
            <w:tcBorders>
              <w:top w:val="nil"/>
              <w:left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 (50.0%)</w:t>
            </w:r>
          </w:p>
        </w:tc>
        <w:tc>
          <w:tcPr>
            <w:tcW w:w="1181" w:type="dxa"/>
            <w:tcBorders>
              <w:top w:val="nil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11 (50.0%)</w:t>
            </w:r>
          </w:p>
        </w:tc>
        <w:tc>
          <w:tcPr>
            <w:tcW w:w="1143" w:type="dxa"/>
            <w:tcBorders>
              <w:top w:val="nil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11 (52.4%)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7 (58.3%)</w:t>
            </w: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 (44.4%)</w:t>
            </w:r>
          </w:p>
        </w:tc>
      </w:tr>
      <w:tr w:rsidR="00ED46FA" w:rsidTr="009B1EAA">
        <w:tc>
          <w:tcPr>
            <w:tcW w:w="18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Male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 (49.3%)</w:t>
            </w:r>
          </w:p>
        </w:tc>
        <w:tc>
          <w:tcPr>
            <w:tcW w:w="1367" w:type="dxa"/>
            <w:tcBorders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12 (50.0%)</w:t>
            </w:r>
          </w:p>
        </w:tc>
        <w:tc>
          <w:tcPr>
            <w:tcW w:w="1181" w:type="dxa"/>
            <w:tcBorders>
              <w:left w:val="single" w:sz="4" w:space="0" w:color="A5A5A5" w:themeColor="accent3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11 (50.0%)</w:t>
            </w:r>
          </w:p>
        </w:tc>
        <w:tc>
          <w:tcPr>
            <w:tcW w:w="1143" w:type="dxa"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10 (47.6%)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5 (41.7%)</w:t>
            </w:r>
          </w:p>
        </w:tc>
        <w:tc>
          <w:tcPr>
            <w:tcW w:w="1134" w:type="dxa"/>
            <w:tcBorders>
              <w:left w:val="single" w:sz="4" w:space="0" w:color="A5A5A5" w:themeColor="accent3"/>
              <w:bottom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5 (55.6%)</w:t>
            </w:r>
          </w:p>
        </w:tc>
      </w:tr>
      <w:tr w:rsidR="00ED46FA" w:rsidTr="009B1EAA">
        <w:tc>
          <w:tcPr>
            <w:tcW w:w="311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D46FA" w:rsidRPr="00CA4A0F" w:rsidRDefault="00ED46FA" w:rsidP="007E4957">
            <w:pPr>
              <w:spacing w:line="360" w:lineRule="auto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Pain behaviour at baseline</w:t>
            </w:r>
            <w:r w:rsidRPr="00CA4A0F">
              <w:rPr>
                <w:rFonts w:ascii="Calibri" w:hAnsi="Calibri" w:cs="Calibri"/>
                <w:color w:val="000000"/>
                <w:sz w:val="20"/>
              </w:rPr>
              <w:t>: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</w:tcPr>
          <w:p w:rsidR="00ED46FA" w:rsidRPr="00CA4A0F" w:rsidRDefault="00ED46FA" w:rsidP="007E4957">
            <w:pPr>
              <w:spacing w:line="360" w:lineRule="auto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5A5A5" w:themeColor="accent3"/>
              <w:bottom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5A5A5" w:themeColor="accent3"/>
              <w:bottom w:val="nil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D46FA" w:rsidTr="009B1EAA">
        <w:tc>
          <w:tcPr>
            <w:tcW w:w="1843" w:type="dxa"/>
            <w:tcBorders>
              <w:top w:val="nil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% Weight bearing on inflamed limb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49.11 (2.28)</w:t>
            </w:r>
          </w:p>
        </w:tc>
        <w:tc>
          <w:tcPr>
            <w:tcW w:w="1367" w:type="dxa"/>
            <w:tcBorders>
              <w:top w:val="nil"/>
              <w:left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49.91 (1.74)</w:t>
            </w:r>
          </w:p>
        </w:tc>
        <w:tc>
          <w:tcPr>
            <w:tcW w:w="1181" w:type="dxa"/>
            <w:tcBorders>
              <w:top w:val="nil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49.91 (1.38)</w:t>
            </w:r>
          </w:p>
        </w:tc>
        <w:tc>
          <w:tcPr>
            <w:tcW w:w="1143" w:type="dxa"/>
            <w:tcBorders>
              <w:top w:val="nil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47.35 (2.64)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49.06 (1.61)</w:t>
            </w:r>
          </w:p>
        </w:tc>
        <w:tc>
          <w:tcPr>
            <w:tcW w:w="1134" w:type="dxa"/>
            <w:tcBorders>
              <w:top w:val="nil"/>
              <w:lef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45.07 (1.92)</w:t>
            </w:r>
          </w:p>
        </w:tc>
      </w:tr>
      <w:tr w:rsidR="00ED46FA" w:rsidTr="009B1EAA"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A4A0F">
              <w:rPr>
                <w:rFonts w:ascii="Calibri" w:hAnsi="Calibri" w:cs="Calibri"/>
                <w:color w:val="000000"/>
                <w:sz w:val="20"/>
              </w:rPr>
              <w:t>50% log mechanical threshold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1.12 (0.11)</w:t>
            </w:r>
          </w:p>
        </w:tc>
        <w:tc>
          <w:tcPr>
            <w:tcW w:w="1367" w:type="dxa"/>
            <w:tcBorders>
              <w:left w:val="single" w:sz="6" w:space="0" w:color="auto"/>
              <w:bottom w:val="single" w:sz="12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1.13 (0.10)</w:t>
            </w:r>
          </w:p>
        </w:tc>
        <w:tc>
          <w:tcPr>
            <w:tcW w:w="1181" w:type="dxa"/>
            <w:tcBorders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1.10 (0.09)</w:t>
            </w:r>
          </w:p>
        </w:tc>
        <w:tc>
          <w:tcPr>
            <w:tcW w:w="1143" w:type="dxa"/>
            <w:tcBorders>
              <w:left w:val="single" w:sz="4" w:space="0" w:color="A5A5A5" w:themeColor="accent3"/>
              <w:bottom w:val="single" w:sz="12" w:space="0" w:color="auto"/>
              <w:right w:val="single" w:sz="6" w:space="0" w:color="auto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1.12 (0.13)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1.13 (0.13)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vAlign w:val="center"/>
          </w:tcPr>
          <w:p w:rsidR="00ED46FA" w:rsidRPr="00CA4A0F" w:rsidRDefault="00ED46FA" w:rsidP="007E4957">
            <w:pPr>
              <w:spacing w:line="360" w:lineRule="auto"/>
              <w:jc w:val="center"/>
              <w:rPr>
                <w:sz w:val="20"/>
              </w:rPr>
            </w:pPr>
            <w:r w:rsidRPr="00CA4A0F">
              <w:rPr>
                <w:sz w:val="20"/>
              </w:rPr>
              <w:t>1.12 (0.15)</w:t>
            </w:r>
          </w:p>
        </w:tc>
      </w:tr>
    </w:tbl>
    <w:p w:rsidR="00ED46FA" w:rsidRDefault="00ED46FA" w:rsidP="00ED46FA">
      <w:pPr>
        <w:pStyle w:val="Caption"/>
      </w:pPr>
      <w:r>
        <w:t xml:space="preserve">Table </w:t>
      </w:r>
      <w:r w:rsidR="001576B5">
        <w:rPr>
          <w:noProof/>
        </w:rPr>
        <w:t>4</w:t>
      </w:r>
      <w:r w:rsidR="000934CC">
        <w:t xml:space="preserve"> </w:t>
      </w:r>
      <w:r>
        <w:t xml:space="preserve">– </w:t>
      </w:r>
      <w:r w:rsidR="0071698E">
        <w:t>Animal numbers and c</w:t>
      </w:r>
      <w:r>
        <w:t xml:space="preserve">haracteristics of animal groups receiving </w:t>
      </w:r>
      <w:r w:rsidR="00385086">
        <w:t>one or two</w:t>
      </w:r>
      <w:r>
        <w:t xml:space="preserve"> bouts of monoarthritis</w:t>
      </w:r>
    </w:p>
    <w:p w:rsidR="00BB52D5" w:rsidRDefault="00ED46FA">
      <w:r w:rsidRPr="00AD4611">
        <w:rPr>
          <w:color w:val="000000"/>
          <w:szCs w:val="20"/>
        </w:rPr>
        <w:t>Data is described a</w:t>
      </w:r>
      <w:r>
        <w:rPr>
          <w:color w:val="000000"/>
          <w:szCs w:val="20"/>
        </w:rPr>
        <w:t xml:space="preserve">s mean (standard deviation) for continuous data or </w:t>
      </w:r>
      <w:r w:rsidRPr="00AD4611">
        <w:rPr>
          <w:color w:val="000000"/>
          <w:szCs w:val="20"/>
        </w:rPr>
        <w:t xml:space="preserve">number (% of </w:t>
      </w:r>
      <w:r>
        <w:rPr>
          <w:color w:val="000000"/>
          <w:szCs w:val="20"/>
        </w:rPr>
        <w:t>animals within group</w:t>
      </w:r>
      <w:r w:rsidRPr="00AD4611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. </w:t>
      </w:r>
      <w:r w:rsidR="00A02B1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Age of onset refers to the age monoarthritis was first induced: either </w:t>
      </w:r>
      <w:r w:rsidR="0071698E">
        <w:rPr>
          <w:color w:val="000000"/>
          <w:szCs w:val="20"/>
        </w:rPr>
        <w:t xml:space="preserve">postnatal day </w:t>
      </w:r>
      <w:r>
        <w:rPr>
          <w:color w:val="000000"/>
          <w:szCs w:val="20"/>
        </w:rPr>
        <w:t>8 or 21</w:t>
      </w:r>
      <w:r w:rsidR="0071698E">
        <w:rPr>
          <w:color w:val="000000"/>
          <w:szCs w:val="20"/>
        </w:rPr>
        <w:t xml:space="preserve"> (P8 or P21)</w:t>
      </w:r>
      <w:r w:rsidR="00487238">
        <w:rPr>
          <w:color w:val="000000"/>
          <w:szCs w:val="20"/>
        </w:rPr>
        <w:t>.</w:t>
      </w:r>
    </w:p>
    <w:sectPr w:rsidR="00BB52D5" w:rsidSect="002A664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2" w:rsidRDefault="003E12D2" w:rsidP="0071698E">
      <w:pPr>
        <w:spacing w:after="0" w:line="240" w:lineRule="auto"/>
      </w:pPr>
      <w:r>
        <w:separator/>
      </w:r>
    </w:p>
  </w:endnote>
  <w:endnote w:type="continuationSeparator" w:id="0">
    <w:p w:rsidR="003E12D2" w:rsidRDefault="003E12D2" w:rsidP="0071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59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F4" w:rsidRDefault="00D766E4" w:rsidP="007E4957">
        <w:pPr>
          <w:pStyle w:val="Footer"/>
          <w:jc w:val="center"/>
        </w:pPr>
        <w:r>
          <w:fldChar w:fldCharType="begin"/>
        </w:r>
        <w:r w:rsidR="007E4957">
          <w:instrText xml:space="preserve"> PAGE   \* MERGEFORMAT </w:instrText>
        </w:r>
        <w:r>
          <w:fldChar w:fldCharType="separate"/>
        </w:r>
        <w:r w:rsidR="005F2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86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F4" w:rsidRDefault="00D766E4">
        <w:pPr>
          <w:pStyle w:val="Footer"/>
        </w:pPr>
        <w:r>
          <w:fldChar w:fldCharType="begin"/>
        </w:r>
        <w:r w:rsidR="00D67EF4">
          <w:instrText xml:space="preserve"> PAGE   \* MERGEFORMAT </w:instrText>
        </w:r>
        <w:r>
          <w:fldChar w:fldCharType="separate"/>
        </w:r>
        <w:r w:rsidR="005F2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2" w:rsidRDefault="003E12D2" w:rsidP="0071698E">
      <w:pPr>
        <w:spacing w:after="0" w:line="240" w:lineRule="auto"/>
      </w:pPr>
      <w:r>
        <w:separator/>
      </w:r>
    </w:p>
  </w:footnote>
  <w:footnote w:type="continuationSeparator" w:id="0">
    <w:p w:rsidR="003E12D2" w:rsidRDefault="003E12D2" w:rsidP="0071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F4" w:rsidRPr="0071698E" w:rsidRDefault="00D67EF4">
    <w:pPr>
      <w:pStyle w:val="Header"/>
      <w:rPr>
        <w:lang w:val="en-US"/>
      </w:rPr>
    </w:pPr>
    <w:r>
      <w:rPr>
        <w:lang w:val="en-US"/>
      </w:rPr>
      <w:t>Pain trajectories in adolescent JIA patients and rodents</w:t>
    </w:r>
    <w:r>
      <w:rPr>
        <w:lang w:val="en-US"/>
      </w:rPr>
      <w:tab/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99B"/>
    <w:multiLevelType w:val="hybridMultilevel"/>
    <w:tmpl w:val="E146DA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37"/>
  </w:docVars>
  <w:rsids>
    <w:rsidRoot w:val="00EC1AB0"/>
    <w:rsid w:val="00030DC9"/>
    <w:rsid w:val="000934CC"/>
    <w:rsid w:val="000B78AF"/>
    <w:rsid w:val="00105828"/>
    <w:rsid w:val="00124893"/>
    <w:rsid w:val="00150EE7"/>
    <w:rsid w:val="001576B5"/>
    <w:rsid w:val="00166AED"/>
    <w:rsid w:val="001770D8"/>
    <w:rsid w:val="001B4881"/>
    <w:rsid w:val="00233462"/>
    <w:rsid w:val="00265480"/>
    <w:rsid w:val="002A6643"/>
    <w:rsid w:val="002B01BB"/>
    <w:rsid w:val="002C1833"/>
    <w:rsid w:val="002D5175"/>
    <w:rsid w:val="00316946"/>
    <w:rsid w:val="00330CD6"/>
    <w:rsid w:val="00346659"/>
    <w:rsid w:val="00385086"/>
    <w:rsid w:val="003C1ED7"/>
    <w:rsid w:val="003D6EC0"/>
    <w:rsid w:val="003E12D2"/>
    <w:rsid w:val="003E7B94"/>
    <w:rsid w:val="0046492A"/>
    <w:rsid w:val="00487238"/>
    <w:rsid w:val="00493109"/>
    <w:rsid w:val="004D77DE"/>
    <w:rsid w:val="00511ADE"/>
    <w:rsid w:val="00551185"/>
    <w:rsid w:val="005731A8"/>
    <w:rsid w:val="0057747B"/>
    <w:rsid w:val="005B361B"/>
    <w:rsid w:val="005F2B82"/>
    <w:rsid w:val="0061574F"/>
    <w:rsid w:val="00673A02"/>
    <w:rsid w:val="006748F1"/>
    <w:rsid w:val="0069453D"/>
    <w:rsid w:val="006C2A1B"/>
    <w:rsid w:val="006C5792"/>
    <w:rsid w:val="006E29BE"/>
    <w:rsid w:val="006F75BE"/>
    <w:rsid w:val="00710A12"/>
    <w:rsid w:val="0071698E"/>
    <w:rsid w:val="0078107D"/>
    <w:rsid w:val="00793A7F"/>
    <w:rsid w:val="007A784D"/>
    <w:rsid w:val="007B7305"/>
    <w:rsid w:val="007E4957"/>
    <w:rsid w:val="00800995"/>
    <w:rsid w:val="008A5221"/>
    <w:rsid w:val="008F4921"/>
    <w:rsid w:val="00995FEF"/>
    <w:rsid w:val="009B1EAA"/>
    <w:rsid w:val="009B4FCA"/>
    <w:rsid w:val="00A02B19"/>
    <w:rsid w:val="00A61DB9"/>
    <w:rsid w:val="00AF351E"/>
    <w:rsid w:val="00B37763"/>
    <w:rsid w:val="00B81372"/>
    <w:rsid w:val="00B81822"/>
    <w:rsid w:val="00BA14D9"/>
    <w:rsid w:val="00BB52D5"/>
    <w:rsid w:val="00C45B63"/>
    <w:rsid w:val="00C510BA"/>
    <w:rsid w:val="00CA040D"/>
    <w:rsid w:val="00CF0A78"/>
    <w:rsid w:val="00D13173"/>
    <w:rsid w:val="00D30E27"/>
    <w:rsid w:val="00D40D9B"/>
    <w:rsid w:val="00D67EF4"/>
    <w:rsid w:val="00D766E4"/>
    <w:rsid w:val="00D87AD2"/>
    <w:rsid w:val="00DD44C1"/>
    <w:rsid w:val="00E57788"/>
    <w:rsid w:val="00E63BF2"/>
    <w:rsid w:val="00E67990"/>
    <w:rsid w:val="00E83110"/>
    <w:rsid w:val="00E9763D"/>
    <w:rsid w:val="00EC1AB0"/>
    <w:rsid w:val="00ED46FA"/>
    <w:rsid w:val="00EE310C"/>
    <w:rsid w:val="00F520E8"/>
    <w:rsid w:val="00FC220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57"/>
    <w:pPr>
      <w:spacing w:line="480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BA14D9"/>
    <w:pPr>
      <w:keepNext w:val="0"/>
      <w:keepLines w:val="0"/>
      <w:spacing w:before="0" w:after="160"/>
      <w:outlineLvl w:val="0"/>
    </w:pPr>
    <w:rPr>
      <w:rFonts w:eastAsiaTheme="minorHAnsi" w:cstheme="minorBidi"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7E4957"/>
    <w:pPr>
      <w:outlineLvl w:val="1"/>
    </w:pPr>
    <w:rPr>
      <w:rFonts w:asciiTheme="minorHAnsi" w:hAnsiTheme="minorHAnsi" w:cstheme="minorHAnsi"/>
      <w:b/>
      <w:i w:val="0"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4957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A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4D9"/>
    <w:rPr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C1AB0"/>
    <w:pPr>
      <w:keepNext/>
      <w:keepLines/>
      <w:spacing w:after="0" w:line="240" w:lineRule="auto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E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4957"/>
    <w:rPr>
      <w:rFonts w:eastAsiaTheme="majorEastAsia" w:cstheme="minorHAnsi"/>
      <w:b/>
      <w:iCs/>
      <w:sz w:val="24"/>
    </w:rPr>
  </w:style>
  <w:style w:type="table" w:customStyle="1" w:styleId="GridTableLight">
    <w:name w:val="Grid Table Light"/>
    <w:basedOn w:val="TableNormal"/>
    <w:uiPriority w:val="40"/>
    <w:rsid w:val="00D40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009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2A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8E"/>
  </w:style>
  <w:style w:type="paragraph" w:styleId="Footer">
    <w:name w:val="footer"/>
    <w:basedOn w:val="Normal"/>
    <w:link w:val="FooterChar"/>
    <w:uiPriority w:val="99"/>
    <w:unhideWhenUsed/>
    <w:rsid w:val="007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8E"/>
  </w:style>
  <w:style w:type="character" w:customStyle="1" w:styleId="Heading3Char">
    <w:name w:val="Heading 3 Char"/>
    <w:basedOn w:val="DefaultParagraphFont"/>
    <w:link w:val="Heading3"/>
    <w:uiPriority w:val="9"/>
    <w:rsid w:val="007E4957"/>
    <w:rPr>
      <w:rFonts w:eastAsiaTheme="majorEastAsia" w:cstheme="minorHAnsi"/>
      <w:b/>
      <w:iCs/>
    </w:rPr>
  </w:style>
  <w:style w:type="paragraph" w:styleId="NoSpacing">
    <w:name w:val="No Spacing"/>
    <w:uiPriority w:val="1"/>
    <w:qFormat/>
    <w:rsid w:val="008F4921"/>
    <w:pPr>
      <w:spacing w:after="0" w:line="240" w:lineRule="auto"/>
    </w:pPr>
    <w:rPr>
      <w:sz w:val="24"/>
    </w:rPr>
  </w:style>
  <w:style w:type="table" w:customStyle="1" w:styleId="TableGridLight1">
    <w:name w:val="Table Grid Light1"/>
    <w:basedOn w:val="TableNormal"/>
    <w:uiPriority w:val="40"/>
    <w:rsid w:val="00157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1576B5"/>
    <w:pPr>
      <w:spacing w:after="0" w:line="360" w:lineRule="auto"/>
      <w:jc w:val="center"/>
    </w:pPr>
    <w:rPr>
      <w:sz w:val="20"/>
      <w:szCs w:val="20"/>
    </w:rPr>
  </w:style>
  <w:style w:type="character" w:customStyle="1" w:styleId="TableChar">
    <w:name w:val="Table Char"/>
    <w:basedOn w:val="DefaultParagraphFont"/>
    <w:link w:val="Table"/>
    <w:rsid w:val="001576B5"/>
    <w:rPr>
      <w:sz w:val="20"/>
      <w:szCs w:val="20"/>
    </w:rPr>
  </w:style>
  <w:style w:type="paragraph" w:styleId="Revision">
    <w:name w:val="Revision"/>
    <w:hidden/>
    <w:uiPriority w:val="99"/>
    <w:semiHidden/>
    <w:rsid w:val="00DD4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28CF-50E1-4E33-BD14-4E3785F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933</Words>
  <Characters>4908</Characters>
  <Application>Microsoft Office Word</Application>
  <DocSecurity>0</DocSecurity>
  <Lines>446</Lines>
  <Paragraphs>324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The pain trajectory of juvenile idiopathic arthritis (JIA): translating from ado</vt:lpstr>
      <vt:lpstr>METHODS</vt:lpstr>
      <vt:lpstr>    Part 1: Patient cohort</vt:lpstr>
      <vt:lpstr>RESULTS</vt:lpstr>
      <vt:lpstr>    Part 1: Pain in adolescent JIA patients</vt:lpstr>
      <vt:lpstr>    Part 2: Pain in a rodent model of joint inflammation</vt:lpstr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Learoyd, Anna</dc:creator>
  <cp:keywords/>
  <dc:description/>
  <cp:lastModifiedBy>RMALABAGO</cp:lastModifiedBy>
  <cp:revision>6</cp:revision>
  <dcterms:created xsi:type="dcterms:W3CDTF">2019-07-12T10:56:00Z</dcterms:created>
  <dcterms:modified xsi:type="dcterms:W3CDTF">2019-08-14T05:19:00Z</dcterms:modified>
</cp:coreProperties>
</file>