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9C" w:rsidRPr="00E775ED" w:rsidRDefault="00CB4F23" w:rsidP="006D5A9C">
      <w:pPr>
        <w:pStyle w:val="BodyText"/>
        <w:spacing w:line="480" w:lineRule="auto"/>
        <w:jc w:val="left"/>
        <w:rPr>
          <w:rFonts w:ascii="Times New Roman" w:eastAsiaTheme="minorHAns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Theme="minorHAnsi" w:hAnsi="Times New Roman" w:cs="Times New Roman"/>
          <w:sz w:val="24"/>
          <w:szCs w:val="24"/>
        </w:rPr>
        <w:t xml:space="preserve">Additional </w:t>
      </w:r>
      <w:r w:rsidR="00F21930">
        <w:rPr>
          <w:rFonts w:ascii="Times New Roman" w:eastAsiaTheme="minorHAnsi" w:hAnsi="Times New Roman" w:cs="Times New Roman"/>
          <w:sz w:val="24"/>
          <w:szCs w:val="24"/>
        </w:rPr>
        <w:t xml:space="preserve">file </w:t>
      </w:r>
      <w:r>
        <w:rPr>
          <w:rFonts w:ascii="Times New Roman" w:eastAsiaTheme="minorHAnsi" w:hAnsi="Times New Roman" w:cs="Times New Roman"/>
          <w:sz w:val="24"/>
          <w:szCs w:val="24"/>
        </w:rPr>
        <w:t>1: T</w:t>
      </w:r>
      <w:r w:rsidRPr="00E775ED">
        <w:rPr>
          <w:rFonts w:ascii="Times New Roman" w:eastAsiaTheme="minorHAnsi" w:hAnsi="Times New Roman" w:cs="Times New Roman"/>
          <w:sz w:val="24"/>
          <w:szCs w:val="24"/>
        </w:rPr>
        <w:t xml:space="preserve">able </w:t>
      </w:r>
      <w:proofErr w:type="spellStart"/>
      <w:r w:rsidR="00F21930">
        <w:rPr>
          <w:rFonts w:ascii="Times New Roman" w:eastAsiaTheme="minorHAnsi" w:hAnsi="Times New Roman" w:cs="Times New Roman"/>
          <w:sz w:val="24"/>
          <w:szCs w:val="24"/>
        </w:rPr>
        <w:t>S</w:t>
      </w:r>
      <w:r w:rsidRPr="00E775ED">
        <w:rPr>
          <w:rFonts w:ascii="Times New Roman" w:eastAsiaTheme="minorHAnsi" w:hAnsi="Times New Roman" w:cs="Times New Roman"/>
          <w:sz w:val="24"/>
          <w:szCs w:val="24"/>
        </w:rPr>
        <w:t>1</w:t>
      </w:r>
      <w:proofErr w:type="spellEnd"/>
      <w:r w:rsidRPr="00E775ED">
        <w:rPr>
          <w:rFonts w:ascii="Times New Roman" w:eastAsiaTheme="minorHAnsi" w:hAnsi="Times New Roman" w:cs="Times New Roman"/>
          <w:sz w:val="24"/>
          <w:szCs w:val="24"/>
        </w:rPr>
        <w:t>. Statistically significant differences between unmatched patient groups (</w:t>
      </w:r>
      <w:r>
        <w:rPr>
          <w:rFonts w:ascii="Times New Roman" w:eastAsiaTheme="minorHAnsi" w:hAnsi="Times New Roman" w:cs="Times New Roman"/>
          <w:sz w:val="24"/>
          <w:szCs w:val="24"/>
        </w:rPr>
        <w:t>c</w:t>
      </w:r>
      <w:r w:rsidRPr="00E775ED">
        <w:rPr>
          <w:rFonts w:ascii="Times New Roman" w:eastAsiaTheme="minorHAnsi" w:hAnsi="Times New Roman" w:cs="Times New Roman"/>
          <w:sz w:val="24"/>
          <w:szCs w:val="24"/>
        </w:rPr>
        <w:t>ategorisation 1)</w:t>
      </w:r>
    </w:p>
    <w:tbl>
      <w:tblPr>
        <w:tblStyle w:val="TableGrid1"/>
        <w:tblW w:w="4996" w:type="pct"/>
        <w:tblLook w:val="04A0"/>
      </w:tblPr>
      <w:tblGrid>
        <w:gridCol w:w="1590"/>
        <w:gridCol w:w="1573"/>
        <w:gridCol w:w="1570"/>
        <w:gridCol w:w="1573"/>
        <w:gridCol w:w="1569"/>
        <w:gridCol w:w="1572"/>
        <w:gridCol w:w="1569"/>
        <w:gridCol w:w="1575"/>
        <w:gridCol w:w="1572"/>
      </w:tblGrid>
      <w:tr w:rsidR="006D5A9C" w:rsidRPr="00E775ED" w:rsidTr="0041073E">
        <w:trPr>
          <w:trHeight w:val="20"/>
        </w:trPr>
        <w:tc>
          <w:tcPr>
            <w:tcW w:w="1116" w:type="pct"/>
            <w:gridSpan w:val="2"/>
            <w:hideMark/>
          </w:tcPr>
          <w:p w:rsidR="006D5A9C" w:rsidRPr="00E775ED" w:rsidRDefault="006D5A9C" w:rsidP="0041073E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479767439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Characteristics</w:t>
            </w:r>
          </w:p>
        </w:tc>
        <w:tc>
          <w:tcPr>
            <w:tcW w:w="554" w:type="pct"/>
          </w:tcPr>
          <w:p w:rsidR="006D5A9C" w:rsidRPr="00E775ED" w:rsidRDefault="006D5A9C" w:rsidP="0041073E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</w:rPr>
              <w:t>Non-high blood eosinophil and low FeNO</w:t>
            </w:r>
          </w:p>
        </w:tc>
        <w:tc>
          <w:tcPr>
            <w:tcW w:w="555" w:type="pct"/>
          </w:tcPr>
          <w:p w:rsidR="006D5A9C" w:rsidRPr="00E775ED" w:rsidRDefault="006D5A9C" w:rsidP="0041073E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</w:rPr>
              <w:t>Non-high blood eosinophil and medium FeNO</w:t>
            </w:r>
          </w:p>
        </w:tc>
        <w:tc>
          <w:tcPr>
            <w:tcW w:w="554" w:type="pct"/>
          </w:tcPr>
          <w:p w:rsidR="006D5A9C" w:rsidRPr="00E775ED" w:rsidRDefault="006D5A9C" w:rsidP="0041073E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</w:rPr>
              <w:t>Non-high blood eosinophil and high FeNO</w:t>
            </w:r>
          </w:p>
        </w:tc>
        <w:tc>
          <w:tcPr>
            <w:tcW w:w="555" w:type="pct"/>
          </w:tcPr>
          <w:p w:rsidR="006D5A9C" w:rsidRPr="00E775ED" w:rsidRDefault="006D5A9C" w:rsidP="0041073E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</w:rPr>
              <w:t>High blood eosinophil and low FeNO</w:t>
            </w:r>
          </w:p>
        </w:tc>
        <w:tc>
          <w:tcPr>
            <w:tcW w:w="554" w:type="pct"/>
          </w:tcPr>
          <w:p w:rsidR="006D5A9C" w:rsidRPr="00E775ED" w:rsidRDefault="006D5A9C" w:rsidP="0041073E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</w:rPr>
              <w:t>High blood eosinophil and medium FeNO</w:t>
            </w:r>
          </w:p>
        </w:tc>
        <w:tc>
          <w:tcPr>
            <w:tcW w:w="556" w:type="pct"/>
          </w:tcPr>
          <w:p w:rsidR="006D5A9C" w:rsidRPr="00E775ED" w:rsidRDefault="006D5A9C" w:rsidP="0041073E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</w:rPr>
              <w:t>High blood eosinophil and high FeNO</w:t>
            </w:r>
          </w:p>
        </w:tc>
        <w:tc>
          <w:tcPr>
            <w:tcW w:w="555" w:type="pct"/>
          </w:tcPr>
          <w:p w:rsidR="006D5A9C" w:rsidRPr="00E775ED" w:rsidRDefault="006D5A9C" w:rsidP="0041073E">
            <w:pPr>
              <w:tabs>
                <w:tab w:val="left" w:pos="288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</w:rPr>
              <w:t>p-value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Categorised age group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 xml:space="preserve">n (% non-missing)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&lt;0.0001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Under 35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28 (9.5)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 (16.7)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8 (30.8)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 (9.8)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 (9.0)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 (44.4)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35</w:t>
            </w:r>
            <w:r w:rsidRPr="00E775ED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–</w:t>
            </w: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65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229 (77.4)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49 (68.1)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14 (53.8)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90 (73.8)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48 (71.6)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9 (33.3)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66</w:t>
            </w:r>
            <w:r w:rsidRPr="00E775ED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–</w:t>
            </w: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80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39 (13.2)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11 (15.3)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 (15.4)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20 (16.4)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13 (19.4)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 (22.2)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</w:tcPr>
          <w:p w:rsidR="006D5A9C" w:rsidRPr="009C2C77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2C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Sex</w:t>
            </w:r>
          </w:p>
        </w:tc>
        <w:tc>
          <w:tcPr>
            <w:tcW w:w="555" w:type="pct"/>
          </w:tcPr>
          <w:p w:rsidR="006D5A9C" w:rsidRPr="009C2C77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7">
              <w:rPr>
                <w:rFonts w:ascii="Times New Roman" w:hAnsi="Times New Roman" w:cs="Times New Roman"/>
                <w:sz w:val="24"/>
                <w:szCs w:val="24"/>
              </w:rPr>
              <w:t>n (% non-missing</w:t>
            </w:r>
          </w:p>
        </w:tc>
        <w:tc>
          <w:tcPr>
            <w:tcW w:w="554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</w:tcPr>
          <w:p w:rsidR="006D5A9C" w:rsidRPr="009C2C77" w:rsidRDefault="006D5A9C" w:rsidP="004107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7">
              <w:rPr>
                <w:rFonts w:ascii="Times New Roman" w:hAnsi="Times New Roman" w:cs="Times New Roman"/>
                <w:sz w:val="24"/>
                <w:szCs w:val="24"/>
              </w:rPr>
              <w:t>0.0028</w:t>
            </w:r>
          </w:p>
          <w:p w:rsidR="006D5A9C" w:rsidRPr="009C2C77" w:rsidRDefault="006D5A9C" w:rsidP="0041073E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</w:tcPr>
          <w:p w:rsidR="006D5A9C" w:rsidRPr="009C2C77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5" w:type="pct"/>
          </w:tcPr>
          <w:p w:rsidR="006D5A9C" w:rsidRPr="009C2C77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2C77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554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93 (31.4)</w:t>
            </w:r>
          </w:p>
        </w:tc>
        <w:tc>
          <w:tcPr>
            <w:tcW w:w="555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25 (34.7)</w:t>
            </w:r>
          </w:p>
        </w:tc>
        <w:tc>
          <w:tcPr>
            <w:tcW w:w="554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14 (53.8)</w:t>
            </w:r>
          </w:p>
        </w:tc>
        <w:tc>
          <w:tcPr>
            <w:tcW w:w="555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52 (42.6)</w:t>
            </w:r>
          </w:p>
        </w:tc>
        <w:tc>
          <w:tcPr>
            <w:tcW w:w="554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37 (55.2)</w:t>
            </w:r>
          </w:p>
        </w:tc>
        <w:tc>
          <w:tcPr>
            <w:tcW w:w="556" w:type="pct"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10 (37.0)</w:t>
            </w:r>
          </w:p>
        </w:tc>
        <w:tc>
          <w:tcPr>
            <w:tcW w:w="555" w:type="pct"/>
            <w:vMerge/>
          </w:tcPr>
          <w:p w:rsidR="006D5A9C" w:rsidRPr="009C2C77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Smoking status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 xml:space="preserve">n (% non-missing) </w:t>
            </w:r>
          </w:p>
        </w:tc>
        <w:tc>
          <w:tcPr>
            <w:tcW w:w="554" w:type="pct"/>
            <w:hideMark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245 (82.8)</w:t>
            </w:r>
          </w:p>
        </w:tc>
        <w:tc>
          <w:tcPr>
            <w:tcW w:w="555" w:type="pct"/>
            <w:hideMark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62 (86.1)</w:t>
            </w:r>
          </w:p>
        </w:tc>
        <w:tc>
          <w:tcPr>
            <w:tcW w:w="554" w:type="pct"/>
            <w:hideMark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22 (84.6)</w:t>
            </w:r>
          </w:p>
        </w:tc>
        <w:tc>
          <w:tcPr>
            <w:tcW w:w="555" w:type="pct"/>
            <w:hideMark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101 (82.8)</w:t>
            </w:r>
          </w:p>
        </w:tc>
        <w:tc>
          <w:tcPr>
            <w:tcW w:w="554" w:type="pct"/>
            <w:hideMark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60 (89.6)</w:t>
            </w:r>
          </w:p>
        </w:tc>
        <w:tc>
          <w:tcPr>
            <w:tcW w:w="556" w:type="pct"/>
            <w:hideMark/>
          </w:tcPr>
          <w:p w:rsidR="006D5A9C" w:rsidRPr="009C2C77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22 (81.5)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0.0007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Non-smoker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110 (44.9)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36 (58.1)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15 (68.2)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30 (29.7)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32 (53.3)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14 (63.6)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Ex-smoker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35 (14.3)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 (11.3)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 (13.6)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 (28.7)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 (10.0)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 (9.1)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Current smoker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100 (40.8)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19 (30.6)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 (18.2)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42 (41.6)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22 (36.7)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 (27.3)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BMI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 xml:space="preserve">n (% non-missing)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280 (94.6)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70 (97.2)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24 (92.3)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118 (96.7)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63 (94.0)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(96.3)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0.0022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30.0 (6.7)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29.5 (6.1)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26.3 (5.3)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30.8 (7.6)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28.2 (7.1)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26.9 (6.4)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Eczema diagnosis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  <w:r w:rsidRPr="00E775E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0.0405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78 (26.4)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23 (31.9)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 (19.2)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49 (40.2)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17 (25.4)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11 (40.7)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Rhinitis diagnosis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  <w:r w:rsidRPr="00E775E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0.0270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114 (38.5)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24 (33.3)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 (19.2)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52 (42.6)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36 (53.7)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13 (48.1)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GERD active diagnosis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  <w:r w:rsidRPr="00E775E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0.0223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50 (16.9)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 (6.9)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(3.8)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13 (10.7)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10 (14.9)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lastRenderedPageBreak/>
              <w:t>Current peak flow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160 (54.1)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49 (68.1)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19 (73.1)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57 (46.7)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42 (62.7)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20 (74.1)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0.0285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401.3 (102.9)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403.6 (112.7)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431.1 (123.3)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423.6 (132.1)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469.8 (111.2)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406.0 (142.4)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Predicted peak flow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158 (53.4)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49 (68.1)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19 (73.1)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57 (46.7)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42 (62.7)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20 (74.1)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775ED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0.0032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495.7 (71.4)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503.2 (79.3)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542.6 (60.1)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526.8 (81.3)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534.8 (69.7)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505.8 (74.9)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FEV</w:t>
            </w: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vertAlign w:val="subscript"/>
                <w:lang w:eastAsia="en-GB"/>
              </w:rPr>
              <w:t>1</w:t>
            </w: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 xml:space="preserve"> % predicted groups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  <w:r w:rsidRPr="00E775E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55 (18.6)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10 (13.9)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 (15.4)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28 (23.0)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13 (19.4)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 (18.5)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0.0456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50% or less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 (21.8)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(10.0)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(25.0)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10 (35.7)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9 (69.2)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(20.0)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&gt;50% to &lt;80%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13 (23.6)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 (40.0)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(25.0)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8 (28.6)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(20.0)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80% to &lt;100%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15 (27.3)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 (40.0)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 (50.0)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 (10.7)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 (15.4)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 (60.0)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100%+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15 (27.3)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(10.0)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 (25.0)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 (15.4)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keepNext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Asthma consultations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0.0446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1.8 (1.5)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2.3 (1.8)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2.5 (2.6)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1.7 (1.3)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1.9 (2.0)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2.3 (1.4)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lastRenderedPageBreak/>
              <w:t>Asthma related unplanned inpatient attendance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  <w:r w:rsidRPr="00E775E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0.0163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Yes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(1.5)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 (3.7)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ICS/LABA prescriptions per patient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0.0096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4.2 (4.1)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3.2 (3.5)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2.5 (3.0)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4.9 (3.9)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4.2 (4.3)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3.2 (2.5)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ICS daily dose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0.0454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586.9 (503.5)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549.4 (477.0)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357.4 (349.2)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623.2 (497.7)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588.3 (523.4)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443.6 (342.1)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ICS inhalers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0.0165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7.0 (5.2)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5.9 (3.9)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4.3 (4.3)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6.9 (4.6)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6.9 (5.4)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5.1 (2.8)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 xml:space="preserve">ICS </w:t>
            </w: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lastRenderedPageBreak/>
              <w:t>prescriptions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n (% non-</w:t>
            </w: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missing)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0.0043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5.6 (3.8)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4.5 (3.3)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3.3 (3.1)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5.5 (3.6)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5.1 (3.9)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4.4 (2.3)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Number of ICS containing inhalers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  <w:r w:rsidRPr="00E775E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0.0010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</w:t>
            </w:r>
            <w:r w:rsidRPr="00E775ED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–</w:t>
            </w: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90 (30.4)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24 (33.3)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17 (65.4)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36 (29.5)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23 (34.3)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 (25.9)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</w:t>
            </w:r>
            <w:r w:rsidRPr="00E775ED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–</w:t>
            </w: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76 (25.7)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25 (34.7)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 (15.4)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(22.1)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16 (23.9)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14 (51.9)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≥7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130 (43.9)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23 (31.9)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 (19.2)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59 (48.4)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28 (41.8)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 (22.2)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Mean daily ICS dosage (µg)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  <w:r w:rsidRPr="00E775ED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(100.0)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122 (100.0)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67 (100.0)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555" w:type="pct"/>
            <w:vMerge w:val="restar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0.0026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 </w:t>
            </w: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&lt;250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89 (30.1)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22 (30.6)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16 (61.5)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30 (24.6)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21 (31.3)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8 (29.6)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250</w:t>
            </w:r>
            <w:r w:rsidRPr="00E775ED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 xml:space="preserve"> to </w:t>
            </w: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&lt;500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74 (25.0)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24 (33.3)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 (15.4)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32 (26.2)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19 (28.4)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14 (51.9)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6D5A9C" w:rsidRPr="00E775ED" w:rsidTr="0041073E">
        <w:trPr>
          <w:trHeight w:val="20"/>
        </w:trPr>
        <w:tc>
          <w:tcPr>
            <w:tcW w:w="561" w:type="pct"/>
            <w:vMerge/>
            <w:hideMark/>
          </w:tcPr>
          <w:p w:rsidR="006D5A9C" w:rsidRPr="00E775ED" w:rsidRDefault="006D5A9C" w:rsidP="0041073E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≥500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133 (44.9)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 (36.1)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 (23.1)</w:t>
            </w:r>
          </w:p>
        </w:tc>
        <w:tc>
          <w:tcPr>
            <w:tcW w:w="555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60 (49.2)</w:t>
            </w:r>
          </w:p>
        </w:tc>
        <w:tc>
          <w:tcPr>
            <w:tcW w:w="554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(40.3)</w:t>
            </w:r>
          </w:p>
        </w:tc>
        <w:tc>
          <w:tcPr>
            <w:tcW w:w="556" w:type="pct"/>
            <w:hideMark/>
          </w:tcPr>
          <w:p w:rsidR="006D5A9C" w:rsidRPr="00E775ED" w:rsidRDefault="006D5A9C" w:rsidP="0041073E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C2C77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 (18.5)</w:t>
            </w:r>
          </w:p>
        </w:tc>
        <w:tc>
          <w:tcPr>
            <w:tcW w:w="555" w:type="pct"/>
            <w:vMerge/>
            <w:hideMark/>
          </w:tcPr>
          <w:p w:rsidR="006D5A9C" w:rsidRPr="00E775ED" w:rsidRDefault="006D5A9C" w:rsidP="0041073E">
            <w:pPr>
              <w:keepNext/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bookmarkEnd w:id="1"/>
    <w:p w:rsidR="006D5A9C" w:rsidRPr="00E775ED" w:rsidRDefault="006D5A9C" w:rsidP="006D5A9C">
      <w:pPr>
        <w:pStyle w:val="BodyText"/>
        <w:spacing w:line="240" w:lineRule="auto"/>
        <w:rPr>
          <w:rFonts w:ascii="Times New Roman" w:eastAsiaTheme="minorHAnsi" w:hAnsi="Times New Roman" w:cs="Times New Roman"/>
          <w:sz w:val="20"/>
          <w:szCs w:val="20"/>
        </w:rPr>
      </w:pPr>
      <w:r w:rsidRPr="00E775ED">
        <w:rPr>
          <w:rFonts w:ascii="Times New Roman" w:eastAsiaTheme="minorHAnsi" w:hAnsi="Times New Roman" w:cs="Times New Roman"/>
          <w:sz w:val="20"/>
          <w:szCs w:val="20"/>
        </w:rPr>
        <w:t>All values in the table are n (%) unless otherwise specified. High FeNO defined as ≥50 ppb; medium FeNO, 25 to &lt;50 ppb; low FeNO &lt;25 ppb; high blood eosinophil count defined as ≥0.300</w:t>
      </w:r>
      <w:r>
        <w:rPr>
          <w:rFonts w:ascii="Times New Roman" w:eastAsiaTheme="minorHAnsi" w:hAnsi="Times New Roman" w:cs="Times New Roman"/>
          <w:sz w:val="20"/>
          <w:szCs w:val="20"/>
        </w:rPr>
        <w:t>×</w:t>
      </w:r>
      <w:r w:rsidRPr="00E775ED">
        <w:rPr>
          <w:rFonts w:ascii="Times New Roman" w:eastAsiaTheme="minorHAnsi" w:hAnsi="Times New Roman" w:cs="Times New Roman"/>
          <w:sz w:val="20"/>
          <w:szCs w:val="20"/>
        </w:rPr>
        <w:t>10</w:t>
      </w:r>
      <w:r w:rsidRPr="00E775ED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9</w:t>
      </w:r>
      <w:r w:rsidRPr="00E775ED">
        <w:rPr>
          <w:rFonts w:ascii="Times New Roman" w:eastAsiaTheme="minorHAnsi" w:hAnsi="Times New Roman" w:cs="Times New Roman"/>
          <w:sz w:val="20"/>
          <w:szCs w:val="20"/>
        </w:rPr>
        <w:t xml:space="preserve"> cells/L; non-high blood eosinophil count &lt;0.300</w:t>
      </w:r>
      <w:r>
        <w:rPr>
          <w:rFonts w:ascii="Times New Roman" w:eastAsiaTheme="minorHAnsi" w:hAnsi="Times New Roman" w:cs="Times New Roman"/>
          <w:sz w:val="20"/>
          <w:szCs w:val="20"/>
        </w:rPr>
        <w:t>×</w:t>
      </w:r>
      <w:r w:rsidRPr="00E775ED">
        <w:rPr>
          <w:rFonts w:ascii="Times New Roman" w:eastAsiaTheme="minorHAnsi" w:hAnsi="Times New Roman" w:cs="Times New Roman"/>
          <w:sz w:val="20"/>
          <w:szCs w:val="20"/>
        </w:rPr>
        <w:t>10</w:t>
      </w:r>
      <w:r w:rsidRPr="00E775ED">
        <w:rPr>
          <w:rFonts w:ascii="Times New Roman" w:eastAsiaTheme="minorHAnsi" w:hAnsi="Times New Roman" w:cs="Times New Roman"/>
          <w:sz w:val="20"/>
          <w:szCs w:val="20"/>
          <w:vertAlign w:val="superscript"/>
        </w:rPr>
        <w:t>9</w:t>
      </w:r>
      <w:r w:rsidRPr="00E775ED">
        <w:rPr>
          <w:rFonts w:ascii="Times New Roman" w:eastAsiaTheme="minorHAnsi" w:hAnsi="Times New Roman" w:cs="Times New Roman"/>
          <w:sz w:val="20"/>
          <w:szCs w:val="20"/>
        </w:rPr>
        <w:t xml:space="preserve"> cells/L.</w:t>
      </w:r>
    </w:p>
    <w:p w:rsidR="006D5A9C" w:rsidRPr="00957906" w:rsidRDefault="006D5A9C" w:rsidP="00957906">
      <w:pPr>
        <w:pStyle w:val="BodyText"/>
        <w:spacing w:line="240" w:lineRule="auto"/>
        <w:rPr>
          <w:rFonts w:ascii="Times New Roman" w:eastAsiaTheme="minorHAnsi" w:hAnsi="Times New Roman" w:cs="Times New Roman"/>
          <w:sz w:val="20"/>
          <w:szCs w:val="20"/>
        </w:rPr>
        <w:sectPr w:rsidR="006D5A9C" w:rsidRPr="00957906" w:rsidSect="0041073E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775ED">
        <w:rPr>
          <w:rFonts w:ascii="Times New Roman" w:eastAsiaTheme="minorHAnsi" w:hAnsi="Times New Roman" w:cs="Times New Roman"/>
          <w:sz w:val="20"/>
          <w:szCs w:val="20"/>
        </w:rPr>
        <w:t>BMI, body mass index; FeNO, fractional exhaled nitric oxide; FEV, forced expiratory volume; GERD, gastroesophageal reflux disease; ICS, inhaled corticosteroid; LABA, long-acting β</w:t>
      </w:r>
      <w:r w:rsidRPr="00E775ED">
        <w:rPr>
          <w:rFonts w:ascii="Times New Roman" w:eastAsiaTheme="minorHAnsi" w:hAnsi="Times New Roman" w:cs="Times New Roman"/>
          <w:sz w:val="20"/>
          <w:szCs w:val="20"/>
          <w:vertAlign w:val="subscript"/>
        </w:rPr>
        <w:t>2</w:t>
      </w:r>
      <w:r w:rsidRPr="00E775ED">
        <w:rPr>
          <w:rFonts w:ascii="Times New Roman" w:eastAsiaTheme="minorHAnsi" w:hAnsi="Times New Roman" w:cs="Times New Roman"/>
          <w:sz w:val="20"/>
          <w:szCs w:val="20"/>
        </w:rPr>
        <w:t>-agonist; ppb, parts per billion; SABA, short-acting β</w:t>
      </w:r>
      <w:r w:rsidRPr="00E775ED">
        <w:rPr>
          <w:rFonts w:ascii="Times New Roman" w:eastAsiaTheme="minorHAnsi" w:hAnsi="Times New Roman" w:cs="Times New Roman"/>
          <w:sz w:val="20"/>
          <w:szCs w:val="20"/>
          <w:vertAlign w:val="subscript"/>
        </w:rPr>
        <w:t>2</w:t>
      </w:r>
      <w:r w:rsidRPr="00E775ED">
        <w:rPr>
          <w:rFonts w:ascii="Times New Roman" w:eastAsiaTheme="minorHAnsi" w:hAnsi="Times New Roman" w:cs="Times New Roman"/>
          <w:sz w:val="20"/>
          <w:szCs w:val="20"/>
        </w:rPr>
        <w:t>-agonist; SD, standard deviation</w:t>
      </w:r>
    </w:p>
    <w:p w:rsidR="00B6057C" w:rsidRPr="00F25C2C" w:rsidRDefault="00F25C2C" w:rsidP="00F25C2C">
      <w:pPr>
        <w:pStyle w:val="Heading3"/>
        <w:keepNext w:val="0"/>
        <w:keepLines w:val="0"/>
        <w:spacing w:before="120" w:after="240" w:line="360" w:lineRule="auto"/>
        <w:rPr>
          <w:color w:val="auto"/>
          <w:lang w:val="en-GB"/>
        </w:rPr>
      </w:pPr>
      <w:r>
        <w:rPr>
          <w:rFonts w:ascii="Times New Roman" w:eastAsiaTheme="minorHAnsi" w:hAnsi="Times New Roman" w:cs="Times New Roman"/>
          <w:color w:val="auto"/>
          <w:lang w:val="en-GB"/>
        </w:rPr>
        <w:lastRenderedPageBreak/>
        <w:t xml:space="preserve">Additional </w:t>
      </w:r>
      <w:r w:rsidR="00F21930">
        <w:rPr>
          <w:rFonts w:ascii="Times New Roman" w:eastAsiaTheme="minorHAnsi" w:hAnsi="Times New Roman" w:cs="Times New Roman"/>
          <w:color w:val="auto"/>
          <w:lang w:val="en-GB"/>
        </w:rPr>
        <w:t xml:space="preserve">file </w:t>
      </w:r>
      <w:r>
        <w:rPr>
          <w:rFonts w:ascii="Times New Roman" w:eastAsiaTheme="minorHAnsi" w:hAnsi="Times New Roman" w:cs="Times New Roman"/>
          <w:color w:val="auto"/>
          <w:lang w:val="en-GB"/>
        </w:rPr>
        <w:t>1:</w:t>
      </w:r>
      <w:r w:rsidRPr="008508B2">
        <w:rPr>
          <w:rFonts w:ascii="Times New Roman" w:eastAsiaTheme="minorHAnsi" w:hAnsi="Times New Roman" w:cs="Times New Roman"/>
          <w:color w:val="auto"/>
          <w:lang w:val="en-GB"/>
        </w:rPr>
        <w:t xml:space="preserve"> </w:t>
      </w:r>
      <w:r>
        <w:rPr>
          <w:rFonts w:ascii="Times New Roman" w:eastAsiaTheme="minorHAnsi" w:hAnsi="Times New Roman" w:cs="Times New Roman"/>
          <w:color w:val="auto"/>
          <w:lang w:val="en-GB"/>
        </w:rPr>
        <w:t>T</w:t>
      </w:r>
      <w:r w:rsidRPr="008508B2">
        <w:rPr>
          <w:rFonts w:ascii="Times New Roman" w:eastAsiaTheme="minorHAnsi" w:hAnsi="Times New Roman" w:cs="Times New Roman"/>
          <w:color w:val="auto"/>
          <w:lang w:val="en-GB"/>
        </w:rPr>
        <w:t xml:space="preserve">able </w:t>
      </w:r>
      <w:proofErr w:type="spellStart"/>
      <w:r w:rsidR="00F21930">
        <w:rPr>
          <w:rFonts w:ascii="Times New Roman" w:eastAsiaTheme="minorHAnsi" w:hAnsi="Times New Roman" w:cs="Times New Roman"/>
          <w:color w:val="auto"/>
          <w:lang w:val="en-GB"/>
        </w:rPr>
        <w:t>S</w:t>
      </w:r>
      <w:r w:rsidRPr="008508B2">
        <w:rPr>
          <w:rFonts w:ascii="Times New Roman" w:eastAsiaTheme="minorHAnsi" w:hAnsi="Times New Roman" w:cs="Times New Roman"/>
          <w:color w:val="auto"/>
          <w:lang w:val="en-GB"/>
        </w:rPr>
        <w:t>2</w:t>
      </w:r>
      <w:proofErr w:type="spellEnd"/>
      <w:r>
        <w:rPr>
          <w:rFonts w:ascii="Times New Roman" w:eastAsiaTheme="minorHAnsi" w:hAnsi="Times New Roman" w:cs="Times New Roman"/>
          <w:color w:val="auto"/>
          <w:lang w:val="en-GB"/>
        </w:rPr>
        <w:t>.</w:t>
      </w:r>
      <w:r w:rsidRPr="005A0627">
        <w:rPr>
          <w:rFonts w:ascii="Times New Roman" w:eastAsiaTheme="minorHAnsi" w:hAnsi="Times New Roman" w:cs="Times New Roman"/>
          <w:color w:val="auto"/>
          <w:lang w:val="en-GB"/>
        </w:rPr>
        <w:t xml:space="preserve"> </w:t>
      </w:r>
      <w:r w:rsidRPr="005A0627">
        <w:rPr>
          <w:rFonts w:ascii="Times New Roman" w:hAnsi="Times New Roman" w:cs="Times New Roman"/>
          <w:color w:val="auto"/>
          <w:lang w:val="en-GB"/>
        </w:rPr>
        <w:t>Statistically significant difference between unmatched patient groups (categorisation 2)</w:t>
      </w:r>
    </w:p>
    <w:tbl>
      <w:tblPr>
        <w:tblStyle w:val="TableGrid1"/>
        <w:tblW w:w="13887" w:type="dxa"/>
        <w:tblLook w:val="04A0"/>
      </w:tblPr>
      <w:tblGrid>
        <w:gridCol w:w="1630"/>
        <w:gridCol w:w="1557"/>
        <w:gridCol w:w="1379"/>
        <w:gridCol w:w="816"/>
        <w:gridCol w:w="2126"/>
        <w:gridCol w:w="2268"/>
        <w:gridCol w:w="1985"/>
        <w:gridCol w:w="2126"/>
      </w:tblGrid>
      <w:tr w:rsidR="00B6057C" w:rsidRPr="009D63C0" w:rsidTr="00E2510C">
        <w:trPr>
          <w:trHeight w:val="20"/>
        </w:trPr>
        <w:tc>
          <w:tcPr>
            <w:tcW w:w="3187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Characteristics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Non-high eosinophil and non-high FeNO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Non-high eosinophil and high FeNO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High eosinophil and non-high FeNO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High eosinophil and high FeNO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p-value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Sex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0.0177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Male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113 (32.6)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 (40.4)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74 (46.0)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 (45.5)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Smoking status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0.0115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Non-smoker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138 (39.8)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 (48.9)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45 (28.0)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31 (56.4)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Ex-smoker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40 (11.5)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 (10.6)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32 (19.9)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 (9.1)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Current smoker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111 (32.0)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 (25.5)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58 (36.0)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 (21.8)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BMI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331 (95.4)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43 (91.5)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155 (96.3)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51 (92.7)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0.0005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Mean (SD)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29.9 (6.5)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27.8 (6.9)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30.4 (7.8)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26.7 (5.6)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BMI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0.0411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Underweight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 (0.3)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 (1.2)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 (1.8)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Normal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81 (23.3)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19 (40.4)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36 (22.4)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 (36.4)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Overweight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102 (29.4)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 (17.0)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48 (29.8)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 (32.7)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Obese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147 (42.4)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 (34.0)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69 (42.9)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 (21.8)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Mean daily ICS dosage (µg)</w:t>
            </w: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0.0133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&lt;250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103 (29.7)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 (51.1)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44 (27.3)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 (27.3)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250 to &lt;500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91 (26.2)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 (23.4)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43 (26.7)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22 (40.0)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≥500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153 (44.1)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 (25.5)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74 (46.0)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 (32.7)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Asthma ATS exacerbations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0.0403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0.4 (0.7)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0.3 (0.5)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0.4 (0.8)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0.7 (0.9)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 xml:space="preserve">Medication </w:t>
            </w: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lastRenderedPageBreak/>
              <w:t>cost</w:t>
            </w: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n (% non-</w:t>
            </w: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missing)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lastRenderedPageBreak/>
              <w:t>340 (98.0)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45 (95.7)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158 (98.1)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55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0.0062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Mean (SD)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268.5 (228.1)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189.6 (222.1)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285.6 (238.2)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251.6 (231.6)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ICS daily dose</w:t>
            </w: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0.0153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Mean (SD)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587.2 (498.6)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399.9 (411.7)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601.5 (498.1)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555.9 (472.0)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gridAfter w:val="2"/>
          <w:wAfter w:w="4111" w:type="dxa"/>
          <w:trHeight w:val="20"/>
        </w:trPr>
        <w:tc>
          <w:tcPr>
            <w:tcW w:w="4566" w:type="dxa"/>
            <w:gridSpan w:val="3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5210" w:type="dxa"/>
            <w:gridSpan w:val="3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ICS inhalers</w:t>
            </w: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0.0219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Mean (SD)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6.9 (5.1)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4.9 (4.0)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6.7 (4.5)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6.4 (5.3)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kern w:val="24"/>
                <w:sz w:val="24"/>
                <w:szCs w:val="24"/>
                <w:lang w:eastAsia="en-GB"/>
              </w:rPr>
              <w:t>ICS prescriptions</w:t>
            </w: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0.0100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Mean (SD)</w:t>
            </w:r>
          </w:p>
        </w:tc>
        <w:tc>
          <w:tcPr>
            <w:tcW w:w="2195" w:type="dxa"/>
            <w:gridSpan w:val="2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5.4 (3.7)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3.8 (3.3)</w:t>
            </w:r>
          </w:p>
        </w:tc>
        <w:tc>
          <w:tcPr>
            <w:tcW w:w="2268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5.4 (3.6)</w:t>
            </w:r>
          </w:p>
        </w:tc>
        <w:tc>
          <w:tcPr>
            <w:tcW w:w="1985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4.9 (3.6)</w:t>
            </w:r>
          </w:p>
        </w:tc>
        <w:tc>
          <w:tcPr>
            <w:tcW w:w="2126" w:type="dxa"/>
            <w:hideMark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ICS/LABA prescriptions per patient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0.0056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Mean (SD)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4.1 (4.0)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2.6 (3.1)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4.7 (3.9)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3.9 (4.0)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Asthma </w:t>
            </w: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related accident and emergency attendance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n (% non-</w:t>
            </w: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0.0177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Yes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 (1.8)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Asthma related unplanned inpatient attendance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0.0002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Yes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 (0.0)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 (3.6)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FEV</w:t>
            </w: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eastAsia="en-GB"/>
              </w:rPr>
              <w:t>1</w:t>
            </w: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/FVC ratio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45 (13.0)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8 (17.0)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21 (13.0)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10 (18.2)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0.0386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Mean (SD)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0.8 (0.1)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0.7 (0.1)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0.7 (0.1)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0.8 (0.1)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Predicted peak flow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193 (55.6)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33 (70.2)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79 (49.1)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40 (72.7)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0.0038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Mean (SD)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498.0 (73.8)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520.8 (67.3)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533.5 (78.8)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511.6 (70.0)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Percentage </w:t>
            </w: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predicted peak flow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n (% non-</w:t>
            </w: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lastRenderedPageBreak/>
              <w:t>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0.0418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Mean (SD)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-66.7 (2103.7)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84.5 (17.5)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91.6 (16.0)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86.8 (17.9)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Rhinitis diagnosis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0.0422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Yes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130 (37.5)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 (27.7)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74 (46.0)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 (49.1)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 w:val="restart"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9D63C0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Acute OCS use (yes/no)</w:t>
            </w: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n (% non-missing)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347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47 (100.0)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161 (100.0)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55 (100.0)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0.0486</w:t>
            </w:r>
          </w:p>
        </w:tc>
      </w:tr>
      <w:tr w:rsidR="00B6057C" w:rsidRPr="009D63C0" w:rsidTr="00E2510C">
        <w:trPr>
          <w:trHeight w:val="20"/>
        </w:trPr>
        <w:tc>
          <w:tcPr>
            <w:tcW w:w="1630" w:type="dxa"/>
            <w:vMerge/>
          </w:tcPr>
          <w:p w:rsidR="00B6057C" w:rsidRPr="009D63C0" w:rsidRDefault="00B6057C" w:rsidP="00E2510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557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Yes</w:t>
            </w:r>
          </w:p>
        </w:tc>
        <w:tc>
          <w:tcPr>
            <w:tcW w:w="2195" w:type="dxa"/>
            <w:gridSpan w:val="2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93 (26.8)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12 (25.5)</w:t>
            </w:r>
          </w:p>
        </w:tc>
        <w:tc>
          <w:tcPr>
            <w:tcW w:w="2268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40 (24.8)</w:t>
            </w:r>
          </w:p>
        </w:tc>
        <w:tc>
          <w:tcPr>
            <w:tcW w:w="1985" w:type="dxa"/>
          </w:tcPr>
          <w:p w:rsidR="00B6057C" w:rsidRPr="009D63C0" w:rsidRDefault="00B6057C" w:rsidP="00E2510C">
            <w:pPr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9D63C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24 (43.6)</w:t>
            </w:r>
          </w:p>
        </w:tc>
        <w:tc>
          <w:tcPr>
            <w:tcW w:w="2126" w:type="dxa"/>
          </w:tcPr>
          <w:p w:rsidR="00B6057C" w:rsidRPr="009D63C0" w:rsidRDefault="00B6057C" w:rsidP="00E2510C">
            <w:pPr>
              <w:keepNext/>
              <w:spacing w:line="480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6057C" w:rsidRPr="009D63C0" w:rsidRDefault="00B6057C" w:rsidP="00B6057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9D63C0">
        <w:rPr>
          <w:rFonts w:ascii="Times New Roman" w:hAnsi="Times New Roman" w:cs="Times New Roman"/>
        </w:rPr>
        <w:t>All values in the table are n (%) unless otherwise specified. High FeNO defined as ≥35 ppb; non-high FeNO &lt;35 ppb; high blood eosinophil count defined as ≥0.300×10</w:t>
      </w:r>
      <w:r w:rsidRPr="009D63C0">
        <w:rPr>
          <w:rFonts w:ascii="Times New Roman" w:hAnsi="Times New Roman" w:cs="Times New Roman"/>
          <w:vertAlign w:val="superscript"/>
        </w:rPr>
        <w:t>9</w:t>
      </w:r>
      <w:r w:rsidRPr="009D63C0">
        <w:rPr>
          <w:rFonts w:ascii="Times New Roman" w:hAnsi="Times New Roman" w:cs="Times New Roman"/>
        </w:rPr>
        <w:t xml:space="preserve"> cells/L; non-high blood eosinophil count &lt;0.300×10</w:t>
      </w:r>
      <w:r w:rsidRPr="009D63C0">
        <w:rPr>
          <w:rFonts w:ascii="Times New Roman" w:hAnsi="Times New Roman" w:cs="Times New Roman"/>
          <w:vertAlign w:val="superscript"/>
        </w:rPr>
        <w:t>9</w:t>
      </w:r>
      <w:r w:rsidRPr="009D63C0">
        <w:rPr>
          <w:rFonts w:ascii="Times New Roman" w:hAnsi="Times New Roman" w:cs="Times New Roman"/>
        </w:rPr>
        <w:t xml:space="preserve"> cells/L.</w:t>
      </w:r>
    </w:p>
    <w:p w:rsidR="00B6057C" w:rsidRPr="009D63C0" w:rsidRDefault="00B6057C" w:rsidP="00B6057C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9D63C0">
        <w:rPr>
          <w:rFonts w:ascii="Times New Roman" w:hAnsi="Times New Roman" w:cs="Times New Roman"/>
        </w:rPr>
        <w:t>BMI, body mass index; FeNO, fractional exhaled nitric oxide; FEV, forced expiratory volume; FVC, forced vital capacity; GERD, gastroesophageal reflux disease; ICS, inhaled corticosteroid; IHD, ischaemic heart disease; IQR, interquartile range; LABA, long-acting β</w:t>
      </w:r>
      <w:r w:rsidRPr="009D63C0">
        <w:rPr>
          <w:rFonts w:ascii="Times New Roman" w:hAnsi="Times New Roman" w:cs="Times New Roman"/>
          <w:vertAlign w:val="subscript"/>
        </w:rPr>
        <w:t>2</w:t>
      </w:r>
      <w:r w:rsidRPr="009D63C0">
        <w:rPr>
          <w:rFonts w:ascii="Times New Roman" w:hAnsi="Times New Roman" w:cs="Times New Roman"/>
        </w:rPr>
        <w:t>-agonist; OCS, oral corticosteroids; ppb, parts per billion; SABA, short-acting     β</w:t>
      </w:r>
      <w:r w:rsidRPr="009D63C0">
        <w:rPr>
          <w:rFonts w:ascii="Times New Roman" w:hAnsi="Times New Roman" w:cs="Times New Roman"/>
          <w:vertAlign w:val="subscript"/>
        </w:rPr>
        <w:t>2</w:t>
      </w:r>
      <w:r w:rsidRPr="009D63C0">
        <w:rPr>
          <w:rFonts w:ascii="Times New Roman" w:hAnsi="Times New Roman" w:cs="Times New Roman"/>
        </w:rPr>
        <w:t>-agonist; SD, standard deviation.</w:t>
      </w:r>
    </w:p>
    <w:p w:rsidR="00414824" w:rsidRDefault="00414824" w:rsidP="00957906">
      <w:pPr>
        <w:pStyle w:val="Caption"/>
      </w:pPr>
    </w:p>
    <w:p w:rsidR="00457ACA" w:rsidRDefault="00457ACA" w:rsidP="00457ACA">
      <w:pPr>
        <w:rPr>
          <w:lang w:eastAsia="ru-RU"/>
        </w:rPr>
      </w:pPr>
    </w:p>
    <w:p w:rsidR="00457ACA" w:rsidRDefault="00457ACA" w:rsidP="00457ACA">
      <w:pPr>
        <w:rPr>
          <w:lang w:eastAsia="ru-RU"/>
        </w:rPr>
      </w:pPr>
    </w:p>
    <w:p w:rsidR="00457ACA" w:rsidRDefault="00457ACA" w:rsidP="00457ACA">
      <w:pPr>
        <w:rPr>
          <w:lang w:eastAsia="ru-RU"/>
        </w:rPr>
      </w:pPr>
    </w:p>
    <w:p w:rsidR="00457ACA" w:rsidRDefault="00457ACA" w:rsidP="00457ACA">
      <w:pPr>
        <w:rPr>
          <w:lang w:eastAsia="ru-RU"/>
        </w:rPr>
      </w:pPr>
    </w:p>
    <w:p w:rsidR="00457ACA" w:rsidRDefault="00457ACA" w:rsidP="00457ACA">
      <w:pPr>
        <w:rPr>
          <w:lang w:eastAsia="ru-RU"/>
        </w:rPr>
      </w:pPr>
    </w:p>
    <w:p w:rsidR="00457ACA" w:rsidRPr="00457ACA" w:rsidRDefault="00457ACA" w:rsidP="00457ACA">
      <w:pPr>
        <w:rPr>
          <w:lang w:eastAsia="ru-RU"/>
        </w:rPr>
      </w:pPr>
    </w:p>
    <w:p w:rsidR="002D10DD" w:rsidRPr="00E775ED" w:rsidRDefault="002D10DD" w:rsidP="002D10DD">
      <w:pPr>
        <w:pStyle w:val="Caption"/>
      </w:pPr>
      <w:r>
        <w:t xml:space="preserve">Additional </w:t>
      </w:r>
      <w:r w:rsidR="00F21930">
        <w:t>file S</w:t>
      </w:r>
      <w:r>
        <w:t>1: T</w:t>
      </w:r>
      <w:r w:rsidRPr="00E775ED">
        <w:t>able 3</w:t>
      </w:r>
      <w:r>
        <w:t>.</w:t>
      </w:r>
      <w:r w:rsidRPr="00E775ED">
        <w:t xml:space="preserve"> Frequency of exacerbations between matched biomarker groups</w:t>
      </w:r>
    </w:p>
    <w:p w:rsidR="00B6057C" w:rsidRPr="00E775ED" w:rsidRDefault="00B6057C" w:rsidP="00B6057C"/>
    <w:tbl>
      <w:tblPr>
        <w:tblStyle w:val="TableGrid1"/>
        <w:tblW w:w="4623" w:type="pct"/>
        <w:tblLook w:val="04A0"/>
      </w:tblPr>
      <w:tblGrid>
        <w:gridCol w:w="2327"/>
        <w:gridCol w:w="4293"/>
        <w:gridCol w:w="3890"/>
        <w:gridCol w:w="2595"/>
      </w:tblGrid>
      <w:tr w:rsidR="00B6057C" w:rsidRPr="00E775ED" w:rsidTr="00E2510C">
        <w:trPr>
          <w:trHeight w:val="328"/>
        </w:trPr>
        <w:tc>
          <w:tcPr>
            <w:tcW w:w="5000" w:type="pct"/>
            <w:gridSpan w:val="4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en-GB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lastRenderedPageBreak/>
              <w:t>Categorisation 1</w:t>
            </w: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 xml:space="preserve"> Asthma exacerbations</w:t>
            </w: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Non-high FeNO and non-high blood eosinophils (n=27)</w:t>
            </w: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High FeNO and high blood eosinophils (n=27)</w:t>
            </w: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223F93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p-value</w:t>
            </w: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27 (100.0)</w:t>
            </w: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0.0427</w:t>
            </w: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0, n (%)</w:t>
            </w: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21 (77.8)</w:t>
            </w: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13 (48.1)</w:t>
            </w: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1, n (%)</w:t>
            </w: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6 (22.2)</w:t>
            </w: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8 (29.6)</w:t>
            </w: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2, n (%)</w:t>
            </w: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4 (14.8)</w:t>
            </w: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3, n (%)</w:t>
            </w: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 (7.4)</w:t>
            </w: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Mean # exacerbations (SD)</w:t>
            </w: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0.2 (0.4)</w:t>
            </w: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0.8 (1.0)</w:t>
            </w: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0.0109</w:t>
            </w: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328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Non-high FeNO and non-high blood eosinophils (n=200)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High FeNO OR high blood eosinophils (n=200)</w:t>
            </w:r>
          </w:p>
        </w:tc>
        <w:tc>
          <w:tcPr>
            <w:tcW w:w="990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39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173 (100.0)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173 (100.0)</w:t>
            </w:r>
          </w:p>
        </w:tc>
        <w:tc>
          <w:tcPr>
            <w:tcW w:w="990" w:type="pct"/>
            <w:vMerge w:val="restar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0.0481</w:t>
            </w:r>
          </w:p>
        </w:tc>
      </w:tr>
      <w:tr w:rsidR="00B6057C" w:rsidRPr="00E775ED" w:rsidTr="00E2510C">
        <w:trPr>
          <w:trHeight w:val="227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120 (69.4)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120 (69.4)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27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41 (23.7)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28 (16.2)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27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2,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11 (6.4)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19 (11.0)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27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3,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5 (2.9)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27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4+,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 (0.6)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 (0.6)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39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Mean # exacerbations (SD)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0.4 (0.6)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0.5 (0.8)</w:t>
            </w:r>
          </w:p>
        </w:tc>
        <w:tc>
          <w:tcPr>
            <w:tcW w:w="990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3F594A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0.3423</w:t>
            </w:r>
          </w:p>
        </w:tc>
      </w:tr>
      <w:tr w:rsidR="00B6057C" w:rsidRPr="00E775ED" w:rsidTr="00E2510C">
        <w:trPr>
          <w:trHeight w:val="20"/>
        </w:trPr>
        <w:tc>
          <w:tcPr>
            <w:tcW w:w="888" w:type="pct"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484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990" w:type="pct"/>
          </w:tcPr>
          <w:p w:rsidR="00B6057C" w:rsidRPr="003F594A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49"/>
        </w:trPr>
        <w:tc>
          <w:tcPr>
            <w:tcW w:w="5000" w:type="pct"/>
            <w:gridSpan w:val="4"/>
          </w:tcPr>
          <w:p w:rsidR="00B6057C" w:rsidRPr="00E775ED" w:rsidRDefault="00B6057C" w:rsidP="00E2510C">
            <w:pPr>
              <w:keepNext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775ED">
              <w:rPr>
                <w:rFonts w:ascii="Times New Roman" w:hAnsi="Times New Roman" w:cs="Times New Roman"/>
                <w:b/>
                <w:sz w:val="24"/>
                <w:szCs w:val="24"/>
                <w:lang w:eastAsia="en-GB"/>
              </w:rPr>
              <w:t>Categorisation 2</w:t>
            </w:r>
          </w:p>
        </w:tc>
      </w:tr>
      <w:tr w:rsidR="00B6057C" w:rsidRPr="00E775ED" w:rsidTr="00E2510C">
        <w:trPr>
          <w:trHeight w:val="352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 xml:space="preserve">Non-high FeNO and non-high blood </w:t>
            </w:r>
            <w:r w:rsidRPr="00996D4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lastRenderedPageBreak/>
              <w:t>eosinophils (n=186)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lastRenderedPageBreak/>
              <w:t xml:space="preserve">Non-high FeNO and high blood </w:t>
            </w:r>
            <w:r w:rsidRPr="00996D4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lastRenderedPageBreak/>
              <w:t>eosinophil (n=186)</w:t>
            </w:r>
          </w:p>
        </w:tc>
        <w:tc>
          <w:tcPr>
            <w:tcW w:w="990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56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lastRenderedPageBreak/>
              <w:t>n (% non-missing)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186 (100.0)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186 (100.0)</w:t>
            </w:r>
          </w:p>
        </w:tc>
        <w:tc>
          <w:tcPr>
            <w:tcW w:w="990" w:type="pct"/>
            <w:vMerge w:val="restar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0.2149</w:t>
            </w:r>
          </w:p>
        </w:tc>
      </w:tr>
      <w:tr w:rsidR="00B6057C" w:rsidRPr="00E775ED" w:rsidTr="00E2510C">
        <w:trPr>
          <w:trHeight w:val="243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134 (72.0)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128 (68.8)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43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36 (19.4)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31 (16.7)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43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2,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15 (8.1)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20 (10.8)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43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3,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 (0.5)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6 (3.2)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256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Mean </w:t>
            </w:r>
            <w:r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 xml:space="preserve"># </w:t>
            </w: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exacerbations (SD)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0.4 (0.7)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0.5 (0.9)</w:t>
            </w:r>
          </w:p>
        </w:tc>
        <w:tc>
          <w:tcPr>
            <w:tcW w:w="990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0.3134</w:t>
            </w:r>
          </w:p>
        </w:tc>
      </w:tr>
      <w:tr w:rsidR="00B6057C" w:rsidRPr="00E775ED" w:rsidTr="00E2510C">
        <w:trPr>
          <w:trHeight w:val="176"/>
        </w:trPr>
        <w:tc>
          <w:tcPr>
            <w:tcW w:w="888" w:type="pct"/>
          </w:tcPr>
          <w:p w:rsidR="00B6057C" w:rsidRPr="00996D4F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</w:tcPr>
          <w:p w:rsidR="00B6057C" w:rsidRPr="00996D4F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484" w:type="pct"/>
          </w:tcPr>
          <w:p w:rsidR="00B6057C" w:rsidRPr="00996D4F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990" w:type="pct"/>
          </w:tcPr>
          <w:p w:rsidR="00B6057C" w:rsidRPr="00E775ED" w:rsidRDefault="00B6057C" w:rsidP="00E2510C">
            <w:pPr>
              <w:keepNext/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82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Non-high FeNO and non-high blood eosinophils (n=98)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High FeNO and non-high blood eosinophils (n=98)</w:t>
            </w:r>
          </w:p>
        </w:tc>
        <w:tc>
          <w:tcPr>
            <w:tcW w:w="990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32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98 (100.0)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98 (100.0)</w:t>
            </w:r>
          </w:p>
        </w:tc>
        <w:tc>
          <w:tcPr>
            <w:tcW w:w="990" w:type="pct"/>
            <w:vMerge w:val="restar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0.3126</w:t>
            </w:r>
          </w:p>
        </w:tc>
      </w:tr>
      <w:tr w:rsidR="00B6057C" w:rsidRPr="00E775ED" w:rsidTr="00E2510C">
        <w:trPr>
          <w:trHeight w:val="125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72 (73.5)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63 (64.3)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25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1,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20 (20.4)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24 (24.5)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25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2,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6 (6.1)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9 (9.2)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25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3,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2 (2.0)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25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E775ED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4,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32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Mean # exacerbations (SD)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0.3 (0.6)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0.5 (0.7)</w:t>
            </w:r>
          </w:p>
        </w:tc>
        <w:tc>
          <w:tcPr>
            <w:tcW w:w="990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t>0.1332</w:t>
            </w:r>
          </w:p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91"/>
        </w:trPr>
        <w:tc>
          <w:tcPr>
            <w:tcW w:w="888" w:type="pct"/>
          </w:tcPr>
          <w:p w:rsidR="00B6057C" w:rsidRPr="00996D4F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</w:tcPr>
          <w:p w:rsidR="00B6057C" w:rsidRPr="00996D4F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1484" w:type="pct"/>
          </w:tcPr>
          <w:p w:rsidR="00B6057C" w:rsidRPr="00996D4F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</w:pPr>
          </w:p>
        </w:tc>
        <w:tc>
          <w:tcPr>
            <w:tcW w:w="990" w:type="pct"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90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Non-high FeNO and non-high blood eosinophils (n=53)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en-GB"/>
              </w:rPr>
              <w:t>High FeNO and high blood eosinophils (n=53)</w:t>
            </w:r>
          </w:p>
        </w:tc>
        <w:tc>
          <w:tcPr>
            <w:tcW w:w="990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39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n (% non-missing)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53 (100.0)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53 (100.0)</w:t>
            </w:r>
          </w:p>
        </w:tc>
        <w:tc>
          <w:tcPr>
            <w:tcW w:w="990" w:type="pct"/>
            <w:vMerge w:val="restar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0.3080</w:t>
            </w:r>
          </w:p>
        </w:tc>
      </w:tr>
      <w:tr w:rsidR="00B6057C" w:rsidRPr="00E775ED" w:rsidTr="00E2510C">
        <w:trPr>
          <w:trHeight w:val="131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36 (67.9)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29 (54.7)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31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12 (22.6)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14 (26.4)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31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5 (9.4)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8 (15.1)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31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3, n (%)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 (0.0)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2 (3.8)</w:t>
            </w:r>
          </w:p>
        </w:tc>
        <w:tc>
          <w:tcPr>
            <w:tcW w:w="990" w:type="pct"/>
            <w:vMerge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6057C" w:rsidRPr="00E775ED" w:rsidTr="00E2510C">
        <w:trPr>
          <w:trHeight w:val="139"/>
        </w:trPr>
        <w:tc>
          <w:tcPr>
            <w:tcW w:w="888" w:type="pct"/>
            <w:hideMark/>
          </w:tcPr>
          <w:p w:rsidR="00B6057C" w:rsidRPr="00E775ED" w:rsidRDefault="00B6057C" w:rsidP="00E2510C">
            <w:pPr>
              <w:spacing w:line="276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color w:val="000000" w:themeColor="dark1"/>
                <w:kern w:val="24"/>
                <w:sz w:val="24"/>
                <w:szCs w:val="24"/>
                <w:lang w:eastAsia="en-GB"/>
              </w:rPr>
              <w:lastRenderedPageBreak/>
              <w:t>Mean # exacerbations (SD)</w:t>
            </w:r>
          </w:p>
        </w:tc>
        <w:tc>
          <w:tcPr>
            <w:tcW w:w="1638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0.4 (0.7)</w:t>
            </w:r>
          </w:p>
        </w:tc>
        <w:tc>
          <w:tcPr>
            <w:tcW w:w="1484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0.7 (0.9)</w:t>
            </w:r>
          </w:p>
        </w:tc>
        <w:tc>
          <w:tcPr>
            <w:tcW w:w="990" w:type="pct"/>
            <w:hideMark/>
          </w:tcPr>
          <w:p w:rsidR="00B6057C" w:rsidRPr="00E775ED" w:rsidRDefault="00B6057C" w:rsidP="00E2510C">
            <w:pPr>
              <w:spacing w:line="276" w:lineRule="auto"/>
              <w:jc w:val="center"/>
              <w:textAlignment w:val="center"/>
              <w:rPr>
                <w:rFonts w:ascii="Times New Roman" w:hAnsi="Times New Roman" w:cs="Times New Roman"/>
                <w:sz w:val="24"/>
                <w:szCs w:val="24"/>
                <w:lang w:eastAsia="en-GB"/>
              </w:rPr>
            </w:pPr>
            <w:r w:rsidRPr="00996D4F">
              <w:rPr>
                <w:rFonts w:ascii="Times New Roman" w:hAnsi="Times New Roman" w:cs="Times New Roman"/>
                <w:kern w:val="24"/>
                <w:sz w:val="24"/>
                <w:szCs w:val="24"/>
                <w:lang w:eastAsia="en-GB"/>
              </w:rPr>
              <w:t>0.1166</w:t>
            </w:r>
          </w:p>
        </w:tc>
      </w:tr>
    </w:tbl>
    <w:p w:rsidR="00B6057C" w:rsidRPr="00E775ED" w:rsidRDefault="00B6057C" w:rsidP="00B6057C">
      <w:pPr>
        <w:pStyle w:val="BodyText"/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</w:rPr>
      </w:pPr>
      <w:r w:rsidRPr="00E775ED">
        <w:rPr>
          <w:rFonts w:ascii="Times New Roman" w:eastAsiaTheme="minorHAnsi" w:hAnsi="Times New Roman" w:cs="Times New Roman"/>
          <w:sz w:val="20"/>
          <w:szCs w:val="20"/>
        </w:rPr>
        <w:t>FeNO, fractional exhaled nitric oxide; SD, standard deviation.</w:t>
      </w:r>
    </w:p>
    <w:p w:rsidR="00B6057C" w:rsidRPr="00B6057C" w:rsidRDefault="00B6057C" w:rsidP="00B6057C">
      <w:pPr>
        <w:rPr>
          <w:lang w:eastAsia="ru-RU"/>
        </w:rPr>
      </w:pPr>
    </w:p>
    <w:sectPr w:rsidR="00B6057C" w:rsidRPr="00B6057C" w:rsidSect="0041073E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83" w:usb1="10000000" w:usb2="00000000" w:usb3="00000000" w:csb0="80000009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F4C02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1E7CC6"/>
    <w:multiLevelType w:val="multilevel"/>
    <w:tmpl w:val="F4669E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262" w:hanging="851"/>
      </w:pPr>
      <w:rPr>
        <w:rFonts w:hint="default"/>
        <w:b w:val="0"/>
        <w:color w:val="2F5496" w:themeColor="accent1" w:themeShade="BF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D5A9C"/>
    <w:rsid w:val="00147E27"/>
    <w:rsid w:val="001936EF"/>
    <w:rsid w:val="002D10DD"/>
    <w:rsid w:val="0041073E"/>
    <w:rsid w:val="00414824"/>
    <w:rsid w:val="00457ACA"/>
    <w:rsid w:val="005026A6"/>
    <w:rsid w:val="006D5A9C"/>
    <w:rsid w:val="00957906"/>
    <w:rsid w:val="00A005B7"/>
    <w:rsid w:val="00A0773B"/>
    <w:rsid w:val="00B6057C"/>
    <w:rsid w:val="00C820F0"/>
    <w:rsid w:val="00CB4F23"/>
    <w:rsid w:val="00E077BC"/>
    <w:rsid w:val="00F21930"/>
    <w:rsid w:val="00F25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A9C"/>
    <w:pPr>
      <w:spacing w:after="0" w:line="360" w:lineRule="auto"/>
    </w:pPr>
    <w:rPr>
      <w:rFonts w:ascii="Arial" w:eastAsia="Calibri" w:hAnsi="Arial" w:cs="Calibri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5A9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5A9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5A9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N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6D5A9C"/>
    <w:pPr>
      <w:keepNext w:val="0"/>
      <w:keepLines w:val="0"/>
      <w:spacing w:before="120" w:after="240" w:line="360" w:lineRule="auto"/>
      <w:ind w:left="864" w:hanging="864"/>
      <w:outlineLvl w:val="3"/>
    </w:pPr>
    <w:rPr>
      <w:rFonts w:ascii="Arial" w:eastAsia="Times New Roman" w:hAnsi="Arial"/>
      <w:b/>
      <w:i/>
      <w:color w:val="2F5496" w:themeColor="accent1" w:themeShade="BF"/>
      <w:sz w:val="22"/>
      <w:szCs w:val="22"/>
      <w:lang w:val="en-GB" w:eastAsia="ru-RU"/>
    </w:rPr>
  </w:style>
  <w:style w:type="paragraph" w:styleId="Heading5">
    <w:name w:val="heading 5"/>
    <w:basedOn w:val="Heading4"/>
    <w:next w:val="Normal"/>
    <w:link w:val="Heading5Char"/>
    <w:unhideWhenUsed/>
    <w:qFormat/>
    <w:rsid w:val="006D5A9C"/>
    <w:pPr>
      <w:ind w:left="1008" w:hanging="1008"/>
      <w:outlineLvl w:val="4"/>
    </w:pPr>
    <w:rPr>
      <w:color w:val="C45911" w:themeColor="accen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5A9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character" w:customStyle="1" w:styleId="Heading2Char">
    <w:name w:val="Heading 2 Char"/>
    <w:basedOn w:val="DefaultParagraphFont"/>
    <w:link w:val="Heading2"/>
    <w:uiPriority w:val="9"/>
    <w:rsid w:val="006D5A9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6D5A9C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IN"/>
    </w:rPr>
  </w:style>
  <w:style w:type="character" w:customStyle="1" w:styleId="Heading4Char">
    <w:name w:val="Heading 4 Char"/>
    <w:basedOn w:val="DefaultParagraphFont"/>
    <w:link w:val="Heading4"/>
    <w:uiPriority w:val="9"/>
    <w:rsid w:val="006D5A9C"/>
    <w:rPr>
      <w:rFonts w:ascii="Arial" w:eastAsia="Times New Roman" w:hAnsi="Arial" w:cstheme="majorBidi"/>
      <w:b/>
      <w:i/>
      <w:color w:val="2F5496" w:themeColor="accent1" w:themeShade="BF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6D5A9C"/>
    <w:rPr>
      <w:rFonts w:ascii="Arial" w:eastAsia="Times New Roman" w:hAnsi="Arial" w:cstheme="majorBidi"/>
      <w:b/>
      <w:i/>
      <w:color w:val="C45911" w:themeColor="accent2" w:themeShade="BF"/>
      <w:lang w:val="en-GB" w:eastAsia="ru-RU"/>
    </w:rPr>
  </w:style>
  <w:style w:type="paragraph" w:customStyle="1" w:styleId="EndNoteBibliographyTitle">
    <w:name w:val="EndNote Bibliography Title"/>
    <w:basedOn w:val="Normal"/>
    <w:link w:val="EndNoteBibliographyTitleChar"/>
    <w:rsid w:val="006D5A9C"/>
    <w:pPr>
      <w:jc w:val="center"/>
    </w:pPr>
    <w:rPr>
      <w:rFonts w:ascii="Times New Roman" w:hAnsi="Times New Roman" w:cs="Times New Roman"/>
      <w:noProof/>
      <w:sz w:val="24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6D5A9C"/>
    <w:rPr>
      <w:rFonts w:ascii="Times New Roman" w:eastAsia="Calibri" w:hAnsi="Times New Roman" w:cs="Times New Roman"/>
      <w:noProof/>
      <w:sz w:val="24"/>
      <w:szCs w:val="20"/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6D5A9C"/>
    <w:pPr>
      <w:spacing w:line="480" w:lineRule="auto"/>
    </w:pPr>
    <w:rPr>
      <w:rFonts w:ascii="Times New Roman" w:hAnsi="Times New Roman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D5A9C"/>
    <w:rPr>
      <w:rFonts w:ascii="Times New Roman" w:eastAsia="Calibri" w:hAnsi="Times New Roman" w:cs="Times New Roman"/>
      <w:noProof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6D5A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D5A9C"/>
    <w:rPr>
      <w:color w:val="808080"/>
      <w:shd w:val="clear" w:color="auto" w:fill="E6E6E6"/>
    </w:rPr>
  </w:style>
  <w:style w:type="paragraph" w:styleId="ListParagraph">
    <w:name w:val="List Paragraph"/>
    <w:basedOn w:val="Normal"/>
    <w:link w:val="ListParagraphChar"/>
    <w:uiPriority w:val="34"/>
    <w:qFormat/>
    <w:rsid w:val="006D5A9C"/>
    <w:pPr>
      <w:ind w:left="720"/>
      <w:contextualSpacing/>
    </w:pPr>
  </w:style>
  <w:style w:type="paragraph" w:styleId="CommentText">
    <w:name w:val="annotation text"/>
    <w:basedOn w:val="Normal"/>
    <w:link w:val="CommentTextChar"/>
    <w:unhideWhenUsed/>
    <w:rsid w:val="006D5A9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6D5A9C"/>
    <w:rPr>
      <w:rFonts w:ascii="Arial" w:eastAsia="Calibri" w:hAnsi="Arial" w:cs="Calibri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unhideWhenUsed/>
    <w:rsid w:val="006D5A9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A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A9C"/>
    <w:rPr>
      <w:rFonts w:ascii="Segoe UI" w:eastAsia="Calibr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6D5A9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D5A9C"/>
    <w:pPr>
      <w:spacing w:after="0" w:line="240" w:lineRule="auto"/>
    </w:pPr>
    <w:rPr>
      <w:rFonts w:eastAsiaTheme="minorEastAsia"/>
      <w:sz w:val="24"/>
      <w:szCs w:val="24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A9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9C"/>
    <w:rPr>
      <w:rFonts w:ascii="Arial" w:eastAsia="Calibri" w:hAnsi="Arial" w:cs="Calibri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5A9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9C"/>
    <w:rPr>
      <w:rFonts w:ascii="Arial" w:eastAsia="Calibri" w:hAnsi="Arial" w:cs="Calibri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A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A9C"/>
    <w:rPr>
      <w:rFonts w:ascii="Arial" w:eastAsia="Calibri" w:hAnsi="Arial" w:cs="Calibri"/>
      <w:b/>
      <w:bCs/>
      <w:sz w:val="20"/>
      <w:szCs w:val="20"/>
      <w:lang w:val="en-GB"/>
    </w:rPr>
  </w:style>
  <w:style w:type="paragraph" w:styleId="Revision">
    <w:name w:val="Revision"/>
    <w:hidden/>
    <w:rsid w:val="006D5A9C"/>
    <w:pPr>
      <w:spacing w:after="0" w:line="240" w:lineRule="auto"/>
    </w:pPr>
    <w:rPr>
      <w:rFonts w:ascii="Arial" w:eastAsia="Calibri" w:hAnsi="Arial" w:cs="Calibri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6D5A9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D5A9C"/>
    <w:rPr>
      <w:color w:val="808080"/>
      <w:shd w:val="clear" w:color="auto" w:fill="E6E6E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D5A9C"/>
    <w:rPr>
      <w:rFonts w:ascii="Arial" w:eastAsia="Calibri" w:hAnsi="Arial" w:cs="Calibri"/>
      <w:sz w:val="20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6D5A9C"/>
  </w:style>
  <w:style w:type="paragraph" w:styleId="NoSpacing">
    <w:name w:val="No Spacing"/>
    <w:uiPriority w:val="1"/>
    <w:qFormat/>
    <w:rsid w:val="006D5A9C"/>
    <w:pPr>
      <w:spacing w:after="0" w:line="240" w:lineRule="auto"/>
    </w:pPr>
    <w:rPr>
      <w:lang w:val="en-IN"/>
    </w:rPr>
  </w:style>
  <w:style w:type="paragraph" w:customStyle="1" w:styleId="Default">
    <w:name w:val="Default"/>
    <w:rsid w:val="006D5A9C"/>
    <w:pPr>
      <w:autoSpaceDE w:val="0"/>
      <w:autoSpaceDN w:val="0"/>
      <w:adjustRightInd w:val="0"/>
      <w:spacing w:after="0" w:line="240" w:lineRule="auto"/>
    </w:pPr>
    <w:rPr>
      <w:rFonts w:ascii="Helvetica 45 Light" w:hAnsi="Helvetica 45 Light" w:cs="Helvetica 45 Light"/>
      <w:color w:val="000000"/>
      <w:sz w:val="24"/>
      <w:szCs w:val="24"/>
      <w:lang w:val="en-IN"/>
    </w:rPr>
  </w:style>
  <w:style w:type="paragraph" w:customStyle="1" w:styleId="Pa19">
    <w:name w:val="Pa19"/>
    <w:basedOn w:val="Default"/>
    <w:next w:val="Default"/>
    <w:uiPriority w:val="99"/>
    <w:rsid w:val="006D5A9C"/>
    <w:pPr>
      <w:spacing w:line="101" w:lineRule="atLeast"/>
    </w:pPr>
    <w:rPr>
      <w:rFonts w:cstheme="minorBidi"/>
      <w:color w:val="auto"/>
    </w:rPr>
  </w:style>
  <w:style w:type="character" w:customStyle="1" w:styleId="A18">
    <w:name w:val="A18"/>
    <w:uiPriority w:val="99"/>
    <w:rsid w:val="006D5A9C"/>
    <w:rPr>
      <w:rFonts w:cs="Helvetica 45 Light"/>
      <w:color w:val="000000"/>
      <w:sz w:val="5"/>
      <w:szCs w:val="5"/>
    </w:rPr>
  </w:style>
  <w:style w:type="paragraph" w:customStyle="1" w:styleId="Pa22">
    <w:name w:val="Pa22"/>
    <w:basedOn w:val="Default"/>
    <w:next w:val="Default"/>
    <w:uiPriority w:val="99"/>
    <w:rsid w:val="006D5A9C"/>
    <w:pPr>
      <w:spacing w:line="151" w:lineRule="atLeast"/>
    </w:pPr>
    <w:rPr>
      <w:rFonts w:ascii="Helvetica 55 Roman" w:hAnsi="Helvetica 55 Roman" w:cstheme="minorBidi"/>
      <w:color w:val="auto"/>
    </w:rPr>
  </w:style>
  <w:style w:type="character" w:customStyle="1" w:styleId="A6">
    <w:name w:val="A6"/>
    <w:uiPriority w:val="99"/>
    <w:rsid w:val="006D5A9C"/>
    <w:rPr>
      <w:rFonts w:ascii="Helvetica 45 Light" w:hAnsi="Helvetica 45 Light" w:cs="Helvetica 45 Light"/>
      <w:color w:val="000000"/>
      <w:sz w:val="8"/>
      <w:szCs w:val="8"/>
    </w:rPr>
  </w:style>
  <w:style w:type="paragraph" w:customStyle="1" w:styleId="Pa23">
    <w:name w:val="Pa23"/>
    <w:basedOn w:val="Default"/>
    <w:next w:val="Default"/>
    <w:uiPriority w:val="99"/>
    <w:rsid w:val="006D5A9C"/>
    <w:pPr>
      <w:spacing w:line="101" w:lineRule="atLeast"/>
    </w:pPr>
    <w:rPr>
      <w:rFonts w:ascii="Helvetica 55 Roman" w:hAnsi="Helvetica 55 Roman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D5A9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6D5A9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6D5A9C"/>
    <w:rPr>
      <w:i/>
      <w:iCs/>
    </w:rPr>
  </w:style>
  <w:style w:type="character" w:customStyle="1" w:styleId="f">
    <w:name w:val="f"/>
    <w:basedOn w:val="DefaultParagraphFont"/>
    <w:rsid w:val="006D5A9C"/>
  </w:style>
  <w:style w:type="character" w:customStyle="1" w:styleId="A11">
    <w:name w:val="A11"/>
    <w:uiPriority w:val="99"/>
    <w:rsid w:val="006D5A9C"/>
    <w:rPr>
      <w:rFonts w:cs="Helvetica 45 Light"/>
      <w:color w:val="211D1E"/>
      <w:sz w:val="10"/>
      <w:szCs w:val="10"/>
    </w:rPr>
  </w:style>
  <w:style w:type="character" w:customStyle="1" w:styleId="A15">
    <w:name w:val="A15"/>
    <w:uiPriority w:val="99"/>
    <w:rsid w:val="006D5A9C"/>
    <w:rPr>
      <w:rFonts w:cs="Helvetica 45 Light"/>
      <w:color w:val="000000"/>
    </w:rPr>
  </w:style>
  <w:style w:type="character" w:customStyle="1" w:styleId="A9">
    <w:name w:val="A9"/>
    <w:uiPriority w:val="99"/>
    <w:rsid w:val="006D5A9C"/>
    <w:rPr>
      <w:rFonts w:cs="Helvetica 45 Light"/>
      <w:color w:val="211D1E"/>
      <w:sz w:val="17"/>
      <w:szCs w:val="17"/>
    </w:rPr>
  </w:style>
  <w:style w:type="character" w:customStyle="1" w:styleId="highlight">
    <w:name w:val="highlight"/>
    <w:basedOn w:val="DefaultParagraphFont"/>
    <w:rsid w:val="006D5A9C"/>
  </w:style>
  <w:style w:type="paragraph" w:customStyle="1" w:styleId="TableLeft">
    <w:name w:val="Table Left"/>
    <w:rsid w:val="006D5A9C"/>
    <w:pPr>
      <w:spacing w:after="60" w:line="240" w:lineRule="auto"/>
    </w:pPr>
    <w:rPr>
      <w:rFonts w:ascii="Times New Roman" w:eastAsia="Times New Roman" w:hAnsi="Times New Roman" w:cs="Arial"/>
      <w:bCs/>
      <w:kern w:val="32"/>
      <w:sz w:val="20"/>
      <w:szCs w:val="24"/>
    </w:rPr>
  </w:style>
  <w:style w:type="paragraph" w:customStyle="1" w:styleId="TableHead">
    <w:name w:val="Table Head"/>
    <w:basedOn w:val="Normal"/>
    <w:rsid w:val="006D5A9C"/>
    <w:pPr>
      <w:keepNext/>
      <w:spacing w:after="60" w:line="240" w:lineRule="auto"/>
      <w:jc w:val="center"/>
    </w:pPr>
    <w:rPr>
      <w:rFonts w:ascii="Times New Roman" w:eastAsia="Times New Roman" w:hAnsi="Times New Roman" w:cs="Times New Roman"/>
      <w:b/>
      <w:szCs w:val="48"/>
    </w:rPr>
  </w:style>
  <w:style w:type="paragraph" w:customStyle="1" w:styleId="Pa18">
    <w:name w:val="Pa18"/>
    <w:basedOn w:val="Default"/>
    <w:next w:val="Default"/>
    <w:uiPriority w:val="99"/>
    <w:rsid w:val="006D5A9C"/>
    <w:pPr>
      <w:spacing w:line="151" w:lineRule="atLeast"/>
    </w:pPr>
    <w:rPr>
      <w:rFonts w:ascii="Helvetica 55 Roman" w:hAnsi="Helvetica 55 Roman" w:cstheme="minorBidi"/>
      <w:color w:val="auto"/>
      <w:lang w:val="en-US"/>
    </w:rPr>
  </w:style>
  <w:style w:type="table" w:customStyle="1" w:styleId="TableGrid2">
    <w:name w:val="Table Grid2"/>
    <w:basedOn w:val="TableNormal"/>
    <w:next w:val="TableGrid"/>
    <w:uiPriority w:val="39"/>
    <w:rsid w:val="006D5A9C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D5A9C"/>
  </w:style>
  <w:style w:type="paragraph" w:styleId="BodyText">
    <w:name w:val="Body Text"/>
    <w:basedOn w:val="Normal"/>
    <w:link w:val="BodyTextChar"/>
    <w:qFormat/>
    <w:rsid w:val="006D5A9C"/>
    <w:pPr>
      <w:widowControl w:val="0"/>
      <w:jc w:val="both"/>
    </w:pPr>
    <w:rPr>
      <w:rFonts w:eastAsia="Times New Roman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6D5A9C"/>
    <w:rPr>
      <w:rFonts w:ascii="Arial" w:eastAsia="Times New Roman" w:hAnsi="Arial"/>
      <w:lang w:val="en-GB"/>
    </w:rPr>
  </w:style>
  <w:style w:type="paragraph" w:styleId="FootnoteText">
    <w:name w:val="footnote text"/>
    <w:basedOn w:val="Normal"/>
    <w:link w:val="FootnoteTextChar"/>
    <w:uiPriority w:val="99"/>
    <w:qFormat/>
    <w:rsid w:val="006D5A9C"/>
    <w:pPr>
      <w:spacing w:line="240" w:lineRule="auto"/>
    </w:pPr>
    <w:rPr>
      <w:rFonts w:eastAsia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D5A9C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6D5A9C"/>
    <w:rPr>
      <w:vertAlign w:val="superscript"/>
    </w:rPr>
  </w:style>
  <w:style w:type="character" w:customStyle="1" w:styleId="citationref">
    <w:name w:val="citationref"/>
    <w:basedOn w:val="DefaultParagraphFont"/>
    <w:rsid w:val="006D5A9C"/>
  </w:style>
  <w:style w:type="paragraph" w:customStyle="1" w:styleId="para">
    <w:name w:val="para"/>
    <w:basedOn w:val="Normal"/>
    <w:rsid w:val="006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2">
    <w:name w:val="Normal 2"/>
    <w:basedOn w:val="Normal"/>
    <w:link w:val="Normal2Char"/>
    <w:qFormat/>
    <w:rsid w:val="006D5A9C"/>
    <w:pPr>
      <w:spacing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Normal2Char">
    <w:name w:val="Normal 2 Char"/>
    <w:basedOn w:val="DefaultParagraphFont"/>
    <w:link w:val="Normal2"/>
    <w:rsid w:val="006D5A9C"/>
    <w:rPr>
      <w:rFonts w:ascii="Times New Roman" w:eastAsia="Times New Roman" w:hAnsi="Times New Roman" w:cs="Times New Roman"/>
      <w:noProof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D5A9C"/>
    <w:pPr>
      <w:spacing w:before="480" w:line="276" w:lineRule="auto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ja-JP"/>
    </w:rPr>
  </w:style>
  <w:style w:type="character" w:customStyle="1" w:styleId="small-caps">
    <w:name w:val="small-caps"/>
    <w:basedOn w:val="DefaultParagraphFont"/>
    <w:rsid w:val="006D5A9C"/>
  </w:style>
  <w:style w:type="character" w:customStyle="1" w:styleId="small">
    <w:name w:val="small"/>
    <w:basedOn w:val="DefaultParagraphFont"/>
    <w:rsid w:val="006D5A9C"/>
  </w:style>
  <w:style w:type="character" w:customStyle="1" w:styleId="st">
    <w:name w:val="st"/>
    <w:rsid w:val="006D5A9C"/>
  </w:style>
  <w:style w:type="paragraph" w:customStyle="1" w:styleId="details">
    <w:name w:val="details"/>
    <w:basedOn w:val="Normal"/>
    <w:rsid w:val="006D5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jrnl">
    <w:name w:val="jrnl"/>
    <w:basedOn w:val="DefaultParagraphFont"/>
    <w:rsid w:val="006D5A9C"/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6D5A9C"/>
    <w:rPr>
      <w:color w:val="808080"/>
      <w:shd w:val="clear" w:color="auto" w:fill="E6E6E6"/>
    </w:rPr>
  </w:style>
  <w:style w:type="table" w:customStyle="1" w:styleId="TableauGrille5Fonc-Accentuation11">
    <w:name w:val="Tableau Grille 5 Foncé - Accentuation 11"/>
    <w:aliases w:val="standardtable1"/>
    <w:basedOn w:val="TableNormal"/>
    <w:uiPriority w:val="50"/>
    <w:rsid w:val="006D5A9C"/>
    <w:pPr>
      <w:spacing w:after="0" w:line="240" w:lineRule="auto"/>
    </w:pPr>
    <w:rPr>
      <w:lang w:val="en-GB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/>
    </w:tcPr>
    <w:tblStylePr w:type="firstRow">
      <w:rPr>
        <w:b/>
        <w:bCs/>
        <w:color w:val="FFFFFF" w:themeColor="background1"/>
      </w:rPr>
      <w:tblPr/>
      <w:tcPr>
        <w:shd w:val="clear" w:color="auto" w:fill="5B9BD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5B9BD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D2DEEF"/>
      </w:tcPr>
    </w:tblStylePr>
    <w:tblStylePr w:type="band2Horz">
      <w:tblPr/>
      <w:tcPr>
        <w:shd w:val="clear" w:color="auto" w:fill="EAEFF7"/>
      </w:tcPr>
    </w:tblStylePr>
  </w:style>
  <w:style w:type="paragraph" w:styleId="Caption">
    <w:name w:val="caption"/>
    <w:basedOn w:val="Normal"/>
    <w:next w:val="Normal"/>
    <w:link w:val="CaptionChar"/>
    <w:autoRedefine/>
    <w:uiPriority w:val="35"/>
    <w:unhideWhenUsed/>
    <w:qFormat/>
    <w:rsid w:val="006D5A9C"/>
    <w:pPr>
      <w:tabs>
        <w:tab w:val="left" w:pos="1380"/>
      </w:tabs>
      <w:spacing w:before="120" w:line="240" w:lineRule="auto"/>
    </w:pPr>
    <w:rPr>
      <w:rFonts w:ascii="Times New Roman" w:eastAsiaTheme="minorHAnsi" w:hAnsi="Times New Roman" w:cs="Times New Roman"/>
      <w:sz w:val="24"/>
      <w:szCs w:val="24"/>
      <w:lang w:eastAsia="ru-RU"/>
    </w:rPr>
  </w:style>
  <w:style w:type="character" w:customStyle="1" w:styleId="CaptionChar">
    <w:name w:val="Caption Char"/>
    <w:basedOn w:val="DefaultParagraphFont"/>
    <w:link w:val="Caption"/>
    <w:uiPriority w:val="35"/>
    <w:rsid w:val="006D5A9C"/>
    <w:rPr>
      <w:rFonts w:ascii="Times New Roman" w:hAnsi="Times New Roman" w:cs="Times New Roman"/>
      <w:sz w:val="24"/>
      <w:szCs w:val="24"/>
      <w:lang w:val="en-GB" w:eastAsia="ru-RU"/>
    </w:rPr>
  </w:style>
  <w:style w:type="paragraph" w:styleId="ListBullet">
    <w:name w:val="List Bullet"/>
    <w:basedOn w:val="Normal"/>
    <w:uiPriority w:val="99"/>
    <w:unhideWhenUsed/>
    <w:rsid w:val="006D5A9C"/>
    <w:pPr>
      <w:numPr>
        <w:numId w:val="2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CACTUS</dc:creator>
  <cp:keywords/>
  <dc:description/>
  <cp:lastModifiedBy>0012764</cp:lastModifiedBy>
  <cp:revision>3</cp:revision>
  <dcterms:created xsi:type="dcterms:W3CDTF">2019-06-11T13:02:00Z</dcterms:created>
  <dcterms:modified xsi:type="dcterms:W3CDTF">2019-08-09T06:24:00Z</dcterms:modified>
</cp:coreProperties>
</file>