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92" w:rsidRPr="003202F4" w:rsidRDefault="00E04792" w:rsidP="00E04792">
      <w:pPr>
        <w:rPr>
          <w:rFonts w:ascii="Times New Roman" w:hAnsi="Times New Roman" w:cs="Times New Roman"/>
          <w:caps/>
          <w:sz w:val="24"/>
          <w:szCs w:val="24"/>
        </w:rPr>
      </w:pP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Additional file </w:t>
      </w:r>
      <w:r>
        <w:rPr>
          <w:rFonts w:ascii="Times New Roman" w:hAnsi="Times New Roman" w:cs="Times New Roman"/>
          <w:caps/>
          <w:sz w:val="24"/>
          <w:szCs w:val="24"/>
        </w:rPr>
        <w:t>1</w:t>
      </w: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E04792" w:rsidRDefault="00E04792" w:rsidP="00E04792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7054" w:rsidRPr="0095696A" w:rsidRDefault="00647054" w:rsidP="00647054">
      <w:pPr>
        <w:pStyle w:val="Ttul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bookmarkStart w:id="0" w:name="_Hlk525767674"/>
      <w:r w:rsidRPr="009569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Transcriptome Profile of </w:t>
      </w:r>
      <w:r w:rsidRPr="0095696A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C</w:t>
      </w:r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orynebacterium</w:t>
      </w:r>
      <w:r w:rsidRPr="0095696A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pseudotuberculosis</w:t>
      </w:r>
      <w:r w:rsidRPr="009569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in Response to Iron Limitation</w:t>
      </w:r>
    </w:p>
    <w:bookmarkEnd w:id="0"/>
    <w:p w:rsidR="00647054" w:rsidRPr="0095696A" w:rsidRDefault="00647054" w:rsidP="00647054">
      <w:pPr>
        <w:pStyle w:val="Ttulo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7054" w:rsidRPr="0095696A" w:rsidRDefault="00647054" w:rsidP="006470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AC" w:rsidRDefault="009E03AC" w:rsidP="009E0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Izabela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Coimbra Ibraim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Mariana Teixeira Dornelles Parise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Doglas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Parise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Zibetti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Tadra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Sfeir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Thiago Luiz de Paula Castro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Alice Rebecca Wattan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Preetam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Ghosh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Debmalya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Barh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Emannuel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Maltempi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Souza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Aristóteles Góes-Neto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Anne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Cybelle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Pinto Gomide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a1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Vasco Azevedo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a1*</w:t>
      </w:r>
    </w:p>
    <w:p w:rsidR="00E04792" w:rsidRPr="00647054" w:rsidRDefault="00E04792" w:rsidP="00E04792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GoBack"/>
      <w:bookmarkEnd w:id="1"/>
    </w:p>
    <w:p w:rsidR="00E04792" w:rsidRPr="00E6106C" w:rsidRDefault="00E04792" w:rsidP="00E047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proofErr w:type="spellStart"/>
      <w:r w:rsidRPr="00E6106C">
        <w:rPr>
          <w:rFonts w:ascii="Times New Roman" w:hAnsi="Times New Roman" w:cs="Times New Roman"/>
          <w:sz w:val="24"/>
          <w:szCs w:val="24"/>
          <w:lang w:val="pt-BR"/>
        </w:rPr>
        <w:t>Corresponding</w:t>
      </w:r>
      <w:proofErr w:type="spellEnd"/>
      <w:r w:rsidRPr="00E610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6106C">
        <w:rPr>
          <w:rFonts w:ascii="Times New Roman" w:hAnsi="Times New Roman" w:cs="Times New Roman"/>
          <w:sz w:val="24"/>
          <w:szCs w:val="24"/>
          <w:lang w:val="pt-BR"/>
        </w:rPr>
        <w:t>Author</w:t>
      </w:r>
      <w:proofErr w:type="spellEnd"/>
      <w:r w:rsidRPr="00E6106C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61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Dr. Vasco Azevedo - vasco@icb.ufmg.br </w:t>
      </w:r>
    </w:p>
    <w:p w:rsidR="00E04792" w:rsidRDefault="00E04792" w:rsidP="00E04792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E04792" w:rsidRPr="00E04792" w:rsidRDefault="00E04792" w:rsidP="00E04792">
      <w:pPr>
        <w:rPr>
          <w:rFonts w:ascii="Times New Roman" w:hAnsi="Times New Roman" w:cs="Times New Roman"/>
          <w:caps/>
          <w:sz w:val="24"/>
          <w:szCs w:val="24"/>
        </w:rPr>
      </w:pP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Table of Contents: </w:t>
      </w:r>
    </w:p>
    <w:p w:rsidR="00E04792" w:rsidRDefault="00E04792" w:rsidP="00E04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792" w:rsidRDefault="00E04792" w:rsidP="00E04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Sequencing statistics </w:t>
      </w:r>
    </w:p>
    <w:p w:rsidR="00E04792" w:rsidRDefault="00E04792" w:rsidP="00E04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S2. Total number of processed reads from High Iron (HI) and Low Iron (LI) experimental condition</w:t>
      </w:r>
    </w:p>
    <w:p w:rsidR="00E04792" w:rsidRDefault="00E04792" w:rsidP="00E04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S3. Mapping results</w:t>
      </w:r>
    </w:p>
    <w:p w:rsidR="00E04792" w:rsidRDefault="00E04792" w:rsidP="00E04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S4. Raw gene counts</w:t>
      </w:r>
    </w:p>
    <w:p w:rsidR="00E04792" w:rsidRDefault="00E04792" w:rsidP="00E04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S1. Sample to sample principal component analysis (PCA) and hierarchical clustering analysis</w:t>
      </w:r>
    </w:p>
    <w:p w:rsidR="000815E9" w:rsidRDefault="00E04792" w:rsidP="000815E9">
      <w:pPr>
        <w:rPr>
          <w:rFonts w:ascii="Times New Roman" w:hAnsi="Times New Roman" w:cs="Times New Roman"/>
          <w:sz w:val="24"/>
          <w:szCs w:val="24"/>
        </w:rPr>
        <w:sectPr w:rsidR="000815E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5BAC" w:rsidRPr="00F801D0" w:rsidRDefault="00E04792" w:rsidP="00755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S1.</w:t>
      </w:r>
      <w:r w:rsidRPr="00F8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Sequencing statistics. Paired samples from High Iron (HI) and Low Iron (LI) experimental condition in the wild-type T1 and Cp13 strains were sequenced in two Ion proton runs (run 1 and run 2), yielding over 120 million single-end reads (</w:t>
      </w:r>
      <w:r w:rsidRPr="007B252C">
        <w:rPr>
          <w:rFonts w:ascii="Times New Roman" w:hAnsi="Times New Roman" w:cs="Times New Roman"/>
          <w:sz w:val="24"/>
          <w:szCs w:val="24"/>
        </w:rPr>
        <w:t>124.251.275</w:t>
      </w:r>
      <w:r>
        <w:rPr>
          <w:rFonts w:ascii="Times New Roman" w:hAnsi="Times New Roman" w:cs="Times New Roman"/>
          <w:sz w:val="24"/>
          <w:szCs w:val="24"/>
        </w:rPr>
        <w:t xml:space="preserve"> total). Overall read length vary from 8 to 380 bp with an average CG content of 53-55%. The pair sample (S.3) from the wild-type T1 strain was eliminated from further analysis due to the low sequenced read count. </w:t>
      </w:r>
    </w:p>
    <w:tbl>
      <w:tblPr>
        <w:tblStyle w:val="TabeladeLista6Colorida"/>
        <w:tblW w:w="11624" w:type="dxa"/>
        <w:jc w:val="center"/>
        <w:tblLook w:val="06A0" w:firstRow="1" w:lastRow="0" w:firstColumn="1" w:lastColumn="0" w:noHBand="1" w:noVBand="1"/>
      </w:tblPr>
      <w:tblGrid>
        <w:gridCol w:w="993"/>
        <w:gridCol w:w="1417"/>
        <w:gridCol w:w="1273"/>
        <w:gridCol w:w="1801"/>
        <w:gridCol w:w="1543"/>
        <w:gridCol w:w="1549"/>
        <w:gridCol w:w="1116"/>
        <w:gridCol w:w="940"/>
        <w:gridCol w:w="992"/>
      </w:tblGrid>
      <w:tr w:rsidR="00710413" w:rsidRPr="0062276F" w:rsidTr="00081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710413" w:rsidRPr="0062276F" w:rsidRDefault="00710413" w:rsidP="000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</w:p>
        </w:tc>
        <w:tc>
          <w:tcPr>
            <w:tcW w:w="1417" w:type="dxa"/>
            <w:vAlign w:val="center"/>
            <w:hideMark/>
          </w:tcPr>
          <w:p w:rsidR="00710413" w:rsidRPr="0062276F" w:rsidRDefault="00710413" w:rsidP="0008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08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08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Average read length (bp)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08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Average CG content (%)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08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Number of reads</w:t>
            </w:r>
          </w:p>
        </w:tc>
        <w:tc>
          <w:tcPr>
            <w:tcW w:w="1116" w:type="dxa"/>
            <w:vAlign w:val="center"/>
          </w:tcPr>
          <w:p w:rsidR="00710413" w:rsidRPr="00710413" w:rsidRDefault="00710413" w:rsidP="0008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 Id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08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Run 1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08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Run 2</w:t>
            </w: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noWrap/>
            <w:textDirection w:val="btLr"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 xml:space="preserve"> Cp13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mutant</w:t>
            </w:r>
          </w:p>
        </w:tc>
        <w:tc>
          <w:tcPr>
            <w:tcW w:w="1417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S.1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8-369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S.1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8-375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S.2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8-368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_2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8-366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S.2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8-368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S.3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8-374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S.3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8-378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S.4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8-368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_2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8-369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S.4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LI_1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8-369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LI_2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8-364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noWrap/>
            <w:textDirection w:val="btLr"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Wild-type T1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S.1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8-378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_2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8-368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710413" w:rsidRPr="0062276F" w:rsidTr="000815E9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S.1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LI_1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8-355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LI_2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8-366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S.2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8-370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S.2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8-369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9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S.3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8-380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9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13" w:rsidRPr="0062276F" w:rsidTr="000815E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  <w:hideMark/>
          </w:tcPr>
          <w:p w:rsidR="00710413" w:rsidRPr="0062276F" w:rsidRDefault="00710413" w:rsidP="009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S.3</w:t>
            </w:r>
          </w:p>
        </w:tc>
        <w:tc>
          <w:tcPr>
            <w:tcW w:w="127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1801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8-345</w:t>
            </w:r>
          </w:p>
        </w:tc>
        <w:tc>
          <w:tcPr>
            <w:tcW w:w="1543" w:type="dxa"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9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16" w:type="dxa"/>
          </w:tcPr>
          <w:p w:rsidR="00710413" w:rsidRPr="00710413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10413" w:rsidRPr="0062276F" w:rsidRDefault="00710413" w:rsidP="009D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76F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</w:tbl>
    <w:tbl>
      <w:tblPr>
        <w:tblStyle w:val="TabeladeLista6Colorida"/>
        <w:tblpPr w:leftFromText="180" w:rightFromText="180" w:vertAnchor="page" w:horzAnchor="margin" w:tblpXSpec="center" w:tblpY="3250"/>
        <w:tblW w:w="4454" w:type="pct"/>
        <w:tblLayout w:type="fixed"/>
        <w:tblLook w:val="0620" w:firstRow="1" w:lastRow="0" w:firstColumn="0" w:lastColumn="0" w:noHBand="1" w:noVBand="1"/>
      </w:tblPr>
      <w:tblGrid>
        <w:gridCol w:w="994"/>
        <w:gridCol w:w="1559"/>
        <w:gridCol w:w="1414"/>
        <w:gridCol w:w="2128"/>
        <w:gridCol w:w="2549"/>
        <w:gridCol w:w="2128"/>
        <w:gridCol w:w="1701"/>
      </w:tblGrid>
      <w:tr w:rsidR="007A5BAC" w:rsidRPr="000815E9" w:rsidTr="007A5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tcW w:w="398" w:type="pct"/>
            <w:noWrap/>
            <w:vAlign w:val="center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0815E9">
              <w:rPr>
                <w:rFonts w:ascii="Times New Roman" w:hAnsi="Times New Roman" w:cs="Times New Roman"/>
                <w:color w:val="000000"/>
              </w:rPr>
              <w:lastRenderedPageBreak/>
              <w:t>Strain</w:t>
            </w:r>
          </w:p>
        </w:tc>
        <w:tc>
          <w:tcPr>
            <w:tcW w:w="625" w:type="pct"/>
            <w:vAlign w:val="center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5E9">
              <w:rPr>
                <w:rFonts w:ascii="Times New Roman" w:hAnsi="Times New Roman" w:cs="Times New Roman"/>
                <w:color w:val="000000"/>
              </w:rPr>
              <w:t>Sample Identification</w:t>
            </w:r>
          </w:p>
        </w:tc>
        <w:tc>
          <w:tcPr>
            <w:tcW w:w="567" w:type="pct"/>
            <w:vAlign w:val="center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5E9">
              <w:rPr>
                <w:rFonts w:ascii="Times New Roman" w:hAnsi="Times New Roman" w:cs="Times New Roman"/>
                <w:color w:val="000000"/>
              </w:rPr>
              <w:t xml:space="preserve">Condition </w:t>
            </w:r>
          </w:p>
        </w:tc>
        <w:tc>
          <w:tcPr>
            <w:tcW w:w="853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Number of reads</w:t>
            </w:r>
          </w:p>
        </w:tc>
        <w:tc>
          <w:tcPr>
            <w:tcW w:w="1022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Number of trimmed/processed reads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% of excluded reads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5E9">
              <w:rPr>
                <w:rFonts w:ascii="Times New Roman" w:hAnsi="Times New Roman" w:cs="Times New Roman"/>
                <w:lang w:val="pt-BR"/>
              </w:rPr>
              <w:t>Phred</w:t>
            </w:r>
            <w:proofErr w:type="spellEnd"/>
            <w:r w:rsidRPr="000815E9">
              <w:rPr>
                <w:rFonts w:ascii="Times New Roman" w:hAnsi="Times New Roman" w:cs="Times New Roman"/>
                <w:lang w:val="pt-BR"/>
              </w:rPr>
              <w:t xml:space="preserve"> score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 w:val="restart"/>
            <w:noWrap/>
            <w:textDirection w:val="btLr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E9">
              <w:rPr>
                <w:rFonts w:ascii="Times New Roman" w:hAnsi="Times New Roman" w:cs="Times New Roman"/>
                <w:b/>
              </w:rPr>
              <w:t>Cp13 mutant</w:t>
            </w:r>
          </w:p>
        </w:tc>
        <w:tc>
          <w:tcPr>
            <w:tcW w:w="625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S.1</w:t>
            </w:r>
          </w:p>
        </w:tc>
        <w:tc>
          <w:tcPr>
            <w:tcW w:w="567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HI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6,014,33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6,012,724 (99.9%)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1,609 (0.03%)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24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S.1</w:t>
            </w:r>
          </w:p>
        </w:tc>
        <w:tc>
          <w:tcPr>
            <w:tcW w:w="567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10,905,772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10,902,511 (99.97%)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3,261 (0.03%)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24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 w:val="restar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S.2</w:t>
            </w:r>
          </w:p>
        </w:tc>
        <w:tc>
          <w:tcPr>
            <w:tcW w:w="567" w:type="pct"/>
            <w:vMerge w:val="restar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HI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3,936,728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3,931,106 (99.86%)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5,622 (0.14%)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9,035,553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9,018,421 (99.81%)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17,132 (0,19%)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S.2</w:t>
            </w:r>
          </w:p>
        </w:tc>
        <w:tc>
          <w:tcPr>
            <w:tcW w:w="567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4,834,840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4,830,590 (99.91%)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4,250 (0.09%)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S.3</w:t>
            </w:r>
          </w:p>
        </w:tc>
        <w:tc>
          <w:tcPr>
            <w:tcW w:w="567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HI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8,974,704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8.964,375 (99.88%)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10,329 (0.12%)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S.3</w:t>
            </w:r>
          </w:p>
        </w:tc>
        <w:tc>
          <w:tcPr>
            <w:tcW w:w="567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LI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4,236,781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4,233,505 (99.92%)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3.276 (0.08%)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24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 w:val="restar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S.4</w:t>
            </w:r>
          </w:p>
        </w:tc>
        <w:tc>
          <w:tcPr>
            <w:tcW w:w="567" w:type="pct"/>
            <w:vMerge w:val="restar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HI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1,789,770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1,788,363 (99.92%)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1,407 (0.08%)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3,327,609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3,324,827 (99.92%)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2,782 (0.08%)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24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 w:val="restar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S.4</w:t>
            </w:r>
          </w:p>
        </w:tc>
        <w:tc>
          <w:tcPr>
            <w:tcW w:w="567" w:type="pct"/>
            <w:vMerge w:val="restar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LI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2,792,977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2,791,946 (99.96%)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1,031 (0,04%)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6,038,287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6,035.682 (99.96%)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2,605 (0.04%)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 w:val="restart"/>
            <w:noWrap/>
            <w:textDirection w:val="btLr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E9">
              <w:rPr>
                <w:rFonts w:ascii="Times New Roman" w:hAnsi="Times New Roman" w:cs="Times New Roman"/>
                <w:b/>
              </w:rPr>
              <w:t>Wild-type T1</w:t>
            </w:r>
          </w:p>
        </w:tc>
        <w:tc>
          <w:tcPr>
            <w:tcW w:w="625" w:type="pct"/>
            <w:vMerge w:val="restar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S.1</w:t>
            </w:r>
          </w:p>
        </w:tc>
        <w:tc>
          <w:tcPr>
            <w:tcW w:w="567" w:type="pct"/>
            <w:vMerge w:val="restar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HI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3,988,317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3,985,364 (99.93%)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2,953 (0.07%)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7,886,336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7,878,693 (99.90%)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7,643 (0.10%)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 w:val="restar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S.1</w:t>
            </w:r>
          </w:p>
        </w:tc>
        <w:tc>
          <w:tcPr>
            <w:tcW w:w="567" w:type="pct"/>
            <w:vMerge w:val="restar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LI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3,537,940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3,535,701 (99.94%)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2,239 (0.06%)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7,801,599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7,795,681 (99.92%)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5,918 (0,08%)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S.2</w:t>
            </w:r>
          </w:p>
        </w:tc>
        <w:tc>
          <w:tcPr>
            <w:tcW w:w="567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</w:rPr>
              <w:t>HI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11,975,500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11,967,330 (99.93%)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8,170 (0,07%)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25</w:t>
            </w:r>
          </w:p>
        </w:tc>
      </w:tr>
      <w:tr w:rsidR="007A5BAC" w:rsidRPr="000815E9" w:rsidTr="007A5BAC">
        <w:trPr>
          <w:trHeight w:val="306"/>
        </w:trPr>
        <w:tc>
          <w:tcPr>
            <w:tcW w:w="398" w:type="pct"/>
            <w:vMerge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S.2</w:t>
            </w:r>
          </w:p>
        </w:tc>
        <w:tc>
          <w:tcPr>
            <w:tcW w:w="567" w:type="pct"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LI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14,575,386</w:t>
            </w:r>
          </w:p>
        </w:tc>
        <w:tc>
          <w:tcPr>
            <w:tcW w:w="102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14,561,588 (99.91%)</w:t>
            </w:r>
          </w:p>
        </w:tc>
        <w:tc>
          <w:tcPr>
            <w:tcW w:w="853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13,798 (0,09%)</w:t>
            </w:r>
          </w:p>
        </w:tc>
        <w:tc>
          <w:tcPr>
            <w:tcW w:w="682" w:type="pct"/>
            <w:noWrap/>
            <w:hideMark/>
          </w:tcPr>
          <w:p w:rsidR="007A5BAC" w:rsidRPr="000815E9" w:rsidRDefault="007A5BAC" w:rsidP="007A5BAC">
            <w:pPr>
              <w:jc w:val="center"/>
              <w:rPr>
                <w:rFonts w:ascii="Times New Roman" w:hAnsi="Times New Roman" w:cs="Times New Roman"/>
              </w:rPr>
            </w:pPr>
            <w:r w:rsidRPr="000815E9">
              <w:rPr>
                <w:rFonts w:ascii="Times New Roman" w:hAnsi="Times New Roman" w:cs="Times New Roman"/>
                <w:lang w:val="pt-BR"/>
              </w:rPr>
              <w:t>24</w:t>
            </w:r>
          </w:p>
        </w:tc>
      </w:tr>
    </w:tbl>
    <w:p w:rsidR="007A5BAC" w:rsidRDefault="007A5BAC" w:rsidP="007A5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S2.</w:t>
      </w:r>
      <w:r w:rsidRPr="00F8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C7AD2">
        <w:rPr>
          <w:rFonts w:ascii="Times New Roman" w:hAnsi="Times New Roman" w:cs="Times New Roman"/>
          <w:sz w:val="24"/>
          <w:szCs w:val="24"/>
        </w:rPr>
        <w:t>otal</w:t>
      </w:r>
      <w:r>
        <w:rPr>
          <w:rFonts w:ascii="Times New Roman" w:hAnsi="Times New Roman" w:cs="Times New Roman"/>
          <w:sz w:val="24"/>
          <w:szCs w:val="24"/>
        </w:rPr>
        <w:t xml:space="preserve"> number of</w:t>
      </w:r>
      <w:r w:rsidRPr="00AC7AD2">
        <w:rPr>
          <w:rFonts w:ascii="Times New Roman" w:hAnsi="Times New Roman" w:cs="Times New Roman"/>
          <w:sz w:val="24"/>
          <w:szCs w:val="24"/>
        </w:rPr>
        <w:t xml:space="preserve"> processed reads</w:t>
      </w:r>
      <w:r>
        <w:rPr>
          <w:rFonts w:ascii="Times New Roman" w:hAnsi="Times New Roman" w:cs="Times New Roman"/>
          <w:sz w:val="24"/>
          <w:szCs w:val="24"/>
        </w:rPr>
        <w:t xml:space="preserve"> from High iron (HI) and Low Iron (LI) experimental condition in the wild-type T1 and Cp13 mutant strains. </w:t>
      </w:r>
      <w:r w:rsidRPr="00AC7AD2">
        <w:rPr>
          <w:rFonts w:ascii="Times New Roman" w:hAnsi="Times New Roman" w:cs="Times New Roman"/>
          <w:sz w:val="24"/>
          <w:szCs w:val="24"/>
        </w:rPr>
        <w:t>Total number of reads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AD2">
        <w:rPr>
          <w:rFonts w:ascii="Times New Roman" w:hAnsi="Times New Roman" w:cs="Times New Roman"/>
          <w:sz w:val="24"/>
          <w:szCs w:val="24"/>
        </w:rPr>
        <w:t>number of processed reads and percentage of excluded reads after applying a quality filtering score of 10 (</w:t>
      </w:r>
      <w:proofErr w:type="spellStart"/>
      <w:r w:rsidRPr="00AC7AD2">
        <w:rPr>
          <w:rFonts w:ascii="Times New Roman" w:hAnsi="Times New Roman" w:cs="Times New Roman"/>
          <w:sz w:val="24"/>
          <w:szCs w:val="24"/>
        </w:rPr>
        <w:t>Phred</w:t>
      </w:r>
      <w:proofErr w:type="spellEnd"/>
      <w:r w:rsidRPr="00AC7AD2">
        <w:rPr>
          <w:rFonts w:ascii="Times New Roman" w:hAnsi="Times New Roman" w:cs="Times New Roman"/>
          <w:sz w:val="24"/>
          <w:szCs w:val="24"/>
        </w:rPr>
        <w:t xml:space="preserve"> score 10) over the average base quality of the sliding window using </w:t>
      </w:r>
      <w:proofErr w:type="spellStart"/>
      <w:r w:rsidRPr="00AC7AD2">
        <w:rPr>
          <w:rFonts w:ascii="Times New Roman" w:hAnsi="Times New Roman" w:cs="Times New Roman"/>
          <w:sz w:val="24"/>
          <w:szCs w:val="24"/>
        </w:rPr>
        <w:t>Trimmomatic</w:t>
      </w:r>
      <w:proofErr w:type="spellEnd"/>
      <w:r w:rsidRPr="00AC7AD2">
        <w:rPr>
          <w:rFonts w:ascii="Times New Roman" w:hAnsi="Times New Roman" w:cs="Times New Roman"/>
          <w:sz w:val="24"/>
          <w:szCs w:val="24"/>
        </w:rPr>
        <w:t xml:space="preserve">. Trimmed reads were quality checked using the FASTQC and presented an average read quality score of 24-25. </w:t>
      </w:r>
    </w:p>
    <w:p w:rsidR="007A5BAC" w:rsidRDefault="007A5BAC" w:rsidP="007A5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08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5E9" w:rsidRDefault="000815E9" w:rsidP="00E04792">
      <w:pPr>
        <w:jc w:val="both"/>
        <w:rPr>
          <w:rFonts w:ascii="Times New Roman" w:hAnsi="Times New Roman" w:cs="Times New Roman"/>
          <w:sz w:val="24"/>
          <w:szCs w:val="24"/>
        </w:rPr>
        <w:sectPr w:rsidR="000815E9" w:rsidSect="000815E9">
          <w:pgSz w:w="16838" w:h="11906" w:orient="landscape"/>
          <w:pgMar w:top="1701" w:right="1418" w:bottom="1701" w:left="1418" w:header="708" w:footer="708" w:gutter="0"/>
          <w:cols w:space="708"/>
          <w:docGrid w:linePitch="360"/>
        </w:sectPr>
      </w:pPr>
    </w:p>
    <w:p w:rsidR="0062500E" w:rsidRPr="00B2087A" w:rsidRDefault="0062500E" w:rsidP="006250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7042308"/>
      <w:bookmarkStart w:id="3" w:name="_Hlk527042344"/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S3. </w:t>
      </w:r>
      <w:r w:rsidRPr="00B2087A">
        <w:rPr>
          <w:rFonts w:ascii="Times New Roman" w:hAnsi="Times New Roman" w:cs="Times New Roman"/>
          <w:sz w:val="24"/>
          <w:szCs w:val="24"/>
        </w:rPr>
        <w:t xml:space="preserve">Mapping results. </w:t>
      </w:r>
      <w:r>
        <w:rPr>
          <w:rFonts w:ascii="Times New Roman" w:hAnsi="Times New Roman" w:cs="Times New Roman"/>
          <w:sz w:val="24"/>
          <w:szCs w:val="24"/>
        </w:rPr>
        <w:t>Paired samples from High Iron (HI) and Low Iron (LI) experimental condition in the wild-type T1 and Cp13 mutant strains. The t</w:t>
      </w:r>
      <w:r w:rsidRPr="00B2087A">
        <w:rPr>
          <w:rFonts w:ascii="Times New Roman" w:hAnsi="Times New Roman" w:cs="Times New Roman"/>
          <w:sz w:val="24"/>
          <w:szCs w:val="24"/>
        </w:rPr>
        <w:t>otal number of reads and percentage of total single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087A">
        <w:rPr>
          <w:rFonts w:ascii="Times New Roman" w:hAnsi="Times New Roman" w:cs="Times New Roman"/>
          <w:sz w:val="24"/>
          <w:szCs w:val="24"/>
        </w:rPr>
        <w:t>end reads mapped to the</w:t>
      </w:r>
      <w:r w:rsidRPr="00B2087A">
        <w:rPr>
          <w:rFonts w:ascii="Times New Roman" w:hAnsi="Times New Roman" w:cs="Times New Roman"/>
          <w:i/>
          <w:sz w:val="24"/>
          <w:szCs w:val="24"/>
        </w:rPr>
        <w:t xml:space="preserve"> Corynebacterium pseudotuberculosis</w:t>
      </w:r>
      <w:r w:rsidRPr="00B2087A">
        <w:rPr>
          <w:rFonts w:ascii="Times New Roman" w:hAnsi="Times New Roman" w:cs="Times New Roman"/>
          <w:sz w:val="24"/>
          <w:szCs w:val="24"/>
        </w:rPr>
        <w:t xml:space="preserve"> strain 1002B genome </w:t>
      </w:r>
      <w:r w:rsidRPr="00B2087A">
        <w:rPr>
          <w:rFonts w:ascii="Times New Roman" w:hAnsi="Times New Roman" w:cs="Times New Roman"/>
          <w:color w:val="000000"/>
          <w:sz w:val="24"/>
          <w:szCs w:val="24"/>
        </w:rPr>
        <w:t>(NZ_CP012837.1)</w:t>
      </w:r>
      <w:r w:rsidRPr="00B2087A">
        <w:rPr>
          <w:rFonts w:ascii="Times New Roman" w:hAnsi="Times New Roman" w:cs="Times New Roman"/>
          <w:sz w:val="24"/>
          <w:szCs w:val="24"/>
        </w:rPr>
        <w:t>, using the Torrent Mapping Alignment Program (TMAP).</w:t>
      </w:r>
    </w:p>
    <w:bookmarkEnd w:id="2"/>
    <w:p w:rsidR="00755A09" w:rsidRDefault="00755A09" w:rsidP="00755A09">
      <w:pPr>
        <w:rPr>
          <w:rFonts w:ascii="Times New Roman" w:hAnsi="Times New Roman" w:cs="Times New Roman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Lista1Clara"/>
        <w:tblpPr w:leftFromText="141" w:rightFromText="141" w:vertAnchor="page" w:horzAnchor="margin" w:tblpXSpec="center" w:tblpY="3896"/>
        <w:tblW w:w="9548" w:type="dxa"/>
        <w:tblLook w:val="07A0" w:firstRow="1" w:lastRow="0" w:firstColumn="1" w:lastColumn="1" w:noHBand="1" w:noVBand="1"/>
      </w:tblPr>
      <w:tblGrid>
        <w:gridCol w:w="940"/>
        <w:gridCol w:w="1488"/>
        <w:gridCol w:w="1200"/>
        <w:gridCol w:w="1480"/>
        <w:gridCol w:w="1480"/>
        <w:gridCol w:w="1480"/>
        <w:gridCol w:w="1480"/>
      </w:tblGrid>
      <w:tr w:rsidR="007A5BAC" w:rsidRPr="0063579C" w:rsidTr="007A5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uto"/>
            </w:tcBorders>
            <w:vAlign w:val="center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3579C">
              <w:rPr>
                <w:rFonts w:ascii="Times New Roman" w:hAnsi="Times New Roman" w:cs="Times New Roman"/>
                <w:color w:val="000000"/>
              </w:rPr>
              <w:t>Strain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  <w:hideMark/>
          </w:tcPr>
          <w:p w:rsidR="007A5BAC" w:rsidRPr="0063579C" w:rsidRDefault="007A5BAC" w:rsidP="007A5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3579C">
              <w:rPr>
                <w:rFonts w:ascii="Times New Roman" w:hAnsi="Times New Roman" w:cs="Times New Roman"/>
                <w:color w:val="000000"/>
              </w:rPr>
              <w:t>Sample Identification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  <w:hideMark/>
          </w:tcPr>
          <w:p w:rsidR="007A5BAC" w:rsidRPr="0063579C" w:rsidRDefault="007A5BAC" w:rsidP="007A5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3579C">
              <w:rPr>
                <w:rFonts w:ascii="Times New Roman" w:hAnsi="Times New Roman" w:cs="Times New Roman"/>
                <w:color w:val="000000"/>
              </w:rPr>
              <w:t xml:space="preserve">Condition 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  <w:hideMark/>
          </w:tcPr>
          <w:p w:rsidR="007A5BAC" w:rsidRPr="0063579C" w:rsidRDefault="007A5BAC" w:rsidP="007A5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3579C">
              <w:rPr>
                <w:rFonts w:ascii="Times New Roman" w:hAnsi="Times New Roman" w:cs="Times New Roman"/>
                <w:color w:val="000000"/>
              </w:rPr>
              <w:t>Number of reads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  <w:hideMark/>
          </w:tcPr>
          <w:p w:rsidR="007A5BAC" w:rsidRPr="0063579C" w:rsidRDefault="007A5BAC" w:rsidP="007A5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3579C">
              <w:rPr>
                <w:rFonts w:ascii="Times New Roman" w:hAnsi="Times New Roman" w:cs="Times New Roman"/>
                <w:color w:val="000000"/>
              </w:rPr>
              <w:t>Number of unmapped reads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  <w:hideMark/>
          </w:tcPr>
          <w:p w:rsidR="007A5BAC" w:rsidRPr="0063579C" w:rsidRDefault="007A5BAC" w:rsidP="007A5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3579C">
              <w:rPr>
                <w:rFonts w:ascii="Times New Roman" w:hAnsi="Times New Roman" w:cs="Times New Roman"/>
                <w:color w:val="000000"/>
              </w:rPr>
              <w:t>Number of mapped reads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</w:tcBorders>
            <w:vAlign w:val="center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9C">
              <w:rPr>
                <w:rFonts w:ascii="Times New Roman" w:hAnsi="Times New Roman" w:cs="Times New Roman"/>
                <w:color w:val="000000"/>
              </w:rPr>
              <w:t>% of mapped reads</w:t>
            </w:r>
          </w:p>
        </w:tc>
      </w:tr>
      <w:tr w:rsidR="007A5BAC" w:rsidRPr="0063579C" w:rsidTr="007A5B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noWrap/>
            <w:textDirection w:val="btLr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proofErr w:type="spellStart"/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ciuA</w:t>
            </w:r>
            <w:proofErr w:type="spellEnd"/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</w:t>
            </w:r>
            <w:proofErr w:type="spellStart"/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mutant</w:t>
            </w:r>
            <w:proofErr w:type="spellEnd"/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Cp13</w:t>
            </w:r>
          </w:p>
        </w:tc>
        <w:tc>
          <w:tcPr>
            <w:tcW w:w="1488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S.1</w:t>
            </w:r>
          </w:p>
        </w:tc>
        <w:tc>
          <w:tcPr>
            <w:tcW w:w="120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HI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6,012,724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77,775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5,934,949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  <w:lang w:val="pt-BR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98.7</w:t>
            </w:r>
          </w:p>
        </w:tc>
      </w:tr>
      <w:tr w:rsidR="007A5BAC" w:rsidRPr="0063579C" w:rsidTr="007A5B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hideMark/>
          </w:tcPr>
          <w:p w:rsidR="007A5BAC" w:rsidRPr="0063579C" w:rsidRDefault="007A5BAC" w:rsidP="007A5BAC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488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S.1</w:t>
            </w:r>
          </w:p>
        </w:tc>
        <w:tc>
          <w:tcPr>
            <w:tcW w:w="120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10,902,511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117,242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10,785,269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98.9</w:t>
            </w:r>
          </w:p>
        </w:tc>
      </w:tr>
      <w:tr w:rsidR="007A5BAC" w:rsidRPr="0063579C" w:rsidTr="007A5B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hideMark/>
          </w:tcPr>
          <w:p w:rsidR="007A5BAC" w:rsidRPr="0063579C" w:rsidRDefault="007A5BAC" w:rsidP="007A5BAC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488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S.2</w:t>
            </w:r>
          </w:p>
        </w:tc>
        <w:tc>
          <w:tcPr>
            <w:tcW w:w="120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HI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12,949,527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3,232,235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9,717,292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75.0</w:t>
            </w:r>
          </w:p>
        </w:tc>
      </w:tr>
      <w:tr w:rsidR="007A5BAC" w:rsidRPr="0063579C" w:rsidTr="007A5B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hideMark/>
          </w:tcPr>
          <w:p w:rsidR="007A5BAC" w:rsidRPr="0063579C" w:rsidRDefault="007A5BAC" w:rsidP="007A5BAC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488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S.2</w:t>
            </w:r>
          </w:p>
        </w:tc>
        <w:tc>
          <w:tcPr>
            <w:tcW w:w="120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4,830,590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1,325,346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3,505,244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72.6</w:t>
            </w:r>
          </w:p>
        </w:tc>
      </w:tr>
      <w:tr w:rsidR="007A5BAC" w:rsidRPr="0063579C" w:rsidTr="007A5B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hideMark/>
          </w:tcPr>
          <w:p w:rsidR="007A5BAC" w:rsidRPr="0063579C" w:rsidRDefault="007A5BAC" w:rsidP="007A5BAC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488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S.3</w:t>
            </w:r>
          </w:p>
        </w:tc>
        <w:tc>
          <w:tcPr>
            <w:tcW w:w="120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HI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8,964,375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1,776,069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7,188,306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80.2</w:t>
            </w:r>
          </w:p>
        </w:tc>
      </w:tr>
      <w:tr w:rsidR="007A5BAC" w:rsidRPr="0063579C" w:rsidTr="007A5B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hideMark/>
          </w:tcPr>
          <w:p w:rsidR="007A5BAC" w:rsidRPr="0063579C" w:rsidRDefault="007A5BAC" w:rsidP="007A5BAC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488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S.3</w:t>
            </w:r>
          </w:p>
        </w:tc>
        <w:tc>
          <w:tcPr>
            <w:tcW w:w="120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4,233,505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672,232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3,561,273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84.1</w:t>
            </w:r>
          </w:p>
        </w:tc>
      </w:tr>
      <w:tr w:rsidR="007A5BAC" w:rsidRPr="0063579C" w:rsidTr="007A5B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hideMark/>
          </w:tcPr>
          <w:p w:rsidR="007A5BAC" w:rsidRPr="0063579C" w:rsidRDefault="007A5BAC" w:rsidP="007A5BAC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488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S.4</w:t>
            </w:r>
          </w:p>
        </w:tc>
        <w:tc>
          <w:tcPr>
            <w:tcW w:w="120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HI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5,113,190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935,598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4,177,592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81.7</w:t>
            </w:r>
          </w:p>
        </w:tc>
      </w:tr>
      <w:tr w:rsidR="007A5BAC" w:rsidRPr="0063579C" w:rsidTr="007A5B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hideMark/>
          </w:tcPr>
          <w:p w:rsidR="007A5BAC" w:rsidRPr="0063579C" w:rsidRDefault="007A5BAC" w:rsidP="007A5BAC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488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S.4</w:t>
            </w:r>
          </w:p>
        </w:tc>
        <w:tc>
          <w:tcPr>
            <w:tcW w:w="120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8,827,628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2,348,088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6,479,540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73.4</w:t>
            </w:r>
          </w:p>
        </w:tc>
      </w:tr>
      <w:tr w:rsidR="007A5BAC" w:rsidRPr="0063579C" w:rsidTr="007A5BAC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noWrap/>
            <w:textDirection w:val="btLr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Wild-</w:t>
            </w:r>
            <w:proofErr w:type="spellStart"/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type</w:t>
            </w:r>
            <w:proofErr w:type="spellEnd"/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T1 </w:t>
            </w:r>
          </w:p>
        </w:tc>
        <w:tc>
          <w:tcPr>
            <w:tcW w:w="1488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S.1</w:t>
            </w:r>
          </w:p>
        </w:tc>
        <w:tc>
          <w:tcPr>
            <w:tcW w:w="120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HI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11,864,057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1,793,682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10,070,375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84.9</w:t>
            </w:r>
          </w:p>
        </w:tc>
      </w:tr>
      <w:tr w:rsidR="007A5BAC" w:rsidRPr="0063579C" w:rsidTr="007A5BA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hideMark/>
          </w:tcPr>
          <w:p w:rsidR="007A5BAC" w:rsidRPr="0063579C" w:rsidRDefault="007A5BAC" w:rsidP="007A5BAC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488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S.1</w:t>
            </w:r>
          </w:p>
        </w:tc>
        <w:tc>
          <w:tcPr>
            <w:tcW w:w="120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11,331,382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3,024,330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8,307,052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73.3</w:t>
            </w:r>
          </w:p>
        </w:tc>
      </w:tr>
      <w:tr w:rsidR="007A5BAC" w:rsidRPr="0063579C" w:rsidTr="007A5BAC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hideMark/>
          </w:tcPr>
          <w:p w:rsidR="007A5BAC" w:rsidRPr="0063579C" w:rsidRDefault="007A5BAC" w:rsidP="007A5BAC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488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S.2</w:t>
            </w:r>
          </w:p>
        </w:tc>
        <w:tc>
          <w:tcPr>
            <w:tcW w:w="120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HI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11,967,330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2,342,791</w:t>
            </w:r>
          </w:p>
        </w:tc>
        <w:tc>
          <w:tcPr>
            <w:tcW w:w="1480" w:type="dxa"/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9,624,539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80.4</w:t>
            </w:r>
          </w:p>
        </w:tc>
      </w:tr>
      <w:tr w:rsidR="007A5BAC" w:rsidRPr="0063579C" w:rsidTr="007A5BA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tcBorders>
              <w:bottom w:val="single" w:sz="4" w:space="0" w:color="auto"/>
            </w:tcBorders>
            <w:hideMark/>
          </w:tcPr>
          <w:p w:rsidR="007A5BAC" w:rsidRPr="0063579C" w:rsidRDefault="007A5BAC" w:rsidP="007A5BAC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S.2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14,561,588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2,664,406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hideMark/>
          </w:tcPr>
          <w:p w:rsidR="007A5BAC" w:rsidRPr="0063579C" w:rsidRDefault="007A5BAC" w:rsidP="007A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11,897,182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A5BAC" w:rsidRPr="0063579C" w:rsidRDefault="007A5BAC" w:rsidP="007A5BAC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579C">
              <w:rPr>
                <w:rFonts w:ascii="Times New Roman" w:hAnsi="Times New Roman" w:cs="Times New Roman"/>
                <w:b w:val="0"/>
                <w:color w:val="000000"/>
              </w:rPr>
              <w:t>81.7</w:t>
            </w:r>
          </w:p>
        </w:tc>
      </w:tr>
    </w:tbl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AC" w:rsidRDefault="007A5BAC" w:rsidP="00625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00E" w:rsidRDefault="0062500E" w:rsidP="00625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S4.</w:t>
      </w:r>
      <w:r w:rsidRPr="00B2087A">
        <w:rPr>
          <w:rFonts w:ascii="Times New Roman" w:hAnsi="Times New Roman" w:cs="Times New Roman"/>
          <w:sz w:val="24"/>
          <w:szCs w:val="24"/>
        </w:rPr>
        <w:t xml:space="preserve"> </w:t>
      </w:r>
      <w:r w:rsidR="00187BC3">
        <w:rPr>
          <w:rFonts w:ascii="Times New Roman" w:hAnsi="Times New Roman" w:cs="Times New Roman"/>
          <w:sz w:val="24"/>
          <w:szCs w:val="24"/>
        </w:rPr>
        <w:t xml:space="preserve">Number of unique and ambiguous (multiple) alignments. </w:t>
      </w:r>
      <w:r>
        <w:rPr>
          <w:rFonts w:ascii="Times New Roman" w:hAnsi="Times New Roman" w:cs="Times New Roman"/>
          <w:sz w:val="24"/>
          <w:szCs w:val="24"/>
        </w:rPr>
        <w:t xml:space="preserve">Paired samples from High Iron (HI) and Low Iron (LI) experimental condition in the wild-type T1 and Cp13 mutant strains with the total </w:t>
      </w:r>
      <w:r w:rsidR="000815E9">
        <w:rPr>
          <w:rFonts w:ascii="Times New Roman" w:hAnsi="Times New Roman" w:cs="Times New Roman"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sz w:val="24"/>
          <w:szCs w:val="24"/>
        </w:rPr>
        <w:t xml:space="preserve">read counts aligned to unique features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HTSeq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-count are presented in raw counted data and % of unique aligned reads. Reads that were assigned to more than one feature were counted as ambiguous and were not counted for any features (--nonunique none). </w:t>
      </w:r>
    </w:p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Lista6Colorida"/>
        <w:tblpPr w:leftFromText="141" w:rightFromText="141" w:vertAnchor="page" w:horzAnchor="margin" w:tblpXSpec="center" w:tblpY="4348"/>
        <w:tblW w:w="11194" w:type="dxa"/>
        <w:tblLook w:val="06A0" w:firstRow="1" w:lastRow="0" w:firstColumn="1" w:lastColumn="0" w:noHBand="1" w:noVBand="1"/>
      </w:tblPr>
      <w:tblGrid>
        <w:gridCol w:w="1048"/>
        <w:gridCol w:w="1488"/>
        <w:gridCol w:w="1158"/>
        <w:gridCol w:w="1700"/>
        <w:gridCol w:w="1460"/>
        <w:gridCol w:w="1480"/>
        <w:gridCol w:w="1520"/>
        <w:gridCol w:w="1340"/>
      </w:tblGrid>
      <w:tr w:rsidR="00187BC3" w:rsidRPr="00187BC3" w:rsidTr="00081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187BC3" w:rsidRPr="0063579C" w:rsidRDefault="00187BC3" w:rsidP="00187BC3">
            <w:pPr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3579C">
              <w:rPr>
                <w:rFonts w:ascii="Times New Roman" w:hAnsi="Times New Roman" w:cs="Times New Roman"/>
                <w:color w:val="000000"/>
              </w:rPr>
              <w:t>Strain</w:t>
            </w:r>
          </w:p>
        </w:tc>
        <w:tc>
          <w:tcPr>
            <w:tcW w:w="1488" w:type="dxa"/>
            <w:vAlign w:val="center"/>
            <w:hideMark/>
          </w:tcPr>
          <w:p w:rsidR="00187BC3" w:rsidRPr="0063579C" w:rsidRDefault="00187BC3" w:rsidP="00187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3579C">
              <w:rPr>
                <w:rFonts w:ascii="Times New Roman" w:hAnsi="Times New Roman" w:cs="Times New Roman"/>
                <w:color w:val="000000"/>
              </w:rPr>
              <w:t>Sample Identification</w:t>
            </w:r>
          </w:p>
        </w:tc>
        <w:tc>
          <w:tcPr>
            <w:tcW w:w="1158" w:type="dxa"/>
            <w:vAlign w:val="center"/>
            <w:hideMark/>
          </w:tcPr>
          <w:p w:rsidR="00187BC3" w:rsidRPr="0063579C" w:rsidRDefault="00187BC3" w:rsidP="00187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Exp. </w:t>
            </w:r>
            <w:r w:rsidRPr="0063579C">
              <w:rPr>
                <w:rFonts w:ascii="Times New Roman" w:hAnsi="Times New Roman" w:cs="Times New Roman"/>
                <w:color w:val="000000"/>
              </w:rPr>
              <w:t xml:space="preserve">Condition </w:t>
            </w:r>
          </w:p>
        </w:tc>
        <w:tc>
          <w:tcPr>
            <w:tcW w:w="1700" w:type="dxa"/>
            <w:vAlign w:val="center"/>
            <w:hideMark/>
          </w:tcPr>
          <w:p w:rsidR="00187BC3" w:rsidRPr="00B43609" w:rsidRDefault="00187BC3" w:rsidP="00187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7B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Number of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mapped reads</w:t>
            </w:r>
          </w:p>
        </w:tc>
        <w:tc>
          <w:tcPr>
            <w:tcW w:w="1460" w:type="dxa"/>
            <w:vAlign w:val="center"/>
            <w:hideMark/>
          </w:tcPr>
          <w:p w:rsidR="00187BC3" w:rsidRPr="00B43609" w:rsidRDefault="00187BC3" w:rsidP="00187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Ambiguous alignments</w:t>
            </w:r>
          </w:p>
        </w:tc>
        <w:tc>
          <w:tcPr>
            <w:tcW w:w="1480" w:type="dxa"/>
            <w:vAlign w:val="center"/>
            <w:hideMark/>
          </w:tcPr>
          <w:p w:rsidR="00187BC3" w:rsidRPr="00B43609" w:rsidRDefault="00187BC3" w:rsidP="00187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aligned </w:t>
            </w:r>
          </w:p>
        </w:tc>
        <w:tc>
          <w:tcPr>
            <w:tcW w:w="1520" w:type="dxa"/>
            <w:vAlign w:val="center"/>
            <w:hideMark/>
          </w:tcPr>
          <w:p w:rsidR="00187BC3" w:rsidRPr="00B43609" w:rsidRDefault="00187BC3" w:rsidP="00187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Unique alignments</w:t>
            </w:r>
          </w:p>
        </w:tc>
        <w:tc>
          <w:tcPr>
            <w:tcW w:w="1340" w:type="dxa"/>
            <w:vAlign w:val="center"/>
            <w:hideMark/>
          </w:tcPr>
          <w:p w:rsidR="00187BC3" w:rsidRPr="00B43609" w:rsidRDefault="00187BC3" w:rsidP="00187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 of unique alignments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 w:val="restart"/>
            <w:textDirection w:val="btLr"/>
            <w:vAlign w:val="center"/>
          </w:tcPr>
          <w:p w:rsidR="000815E9" w:rsidRPr="00187BC3" w:rsidRDefault="000815E9" w:rsidP="0008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187B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ciuA</w:t>
            </w:r>
            <w:proofErr w:type="spellEnd"/>
            <w:r w:rsidRPr="00187B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mutant Cp13</w:t>
            </w: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S.1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5,934,949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77,775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28.71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:rsidR="000815E9" w:rsidRPr="00187BC3" w:rsidRDefault="000815E9" w:rsidP="000815E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S.1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10,785,269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117,242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690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29.19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:rsidR="000815E9" w:rsidRPr="00187BC3" w:rsidRDefault="000815E9" w:rsidP="000815E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S.2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9,717,292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308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3,232,235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366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27.18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:rsidR="000815E9" w:rsidRPr="00187BC3" w:rsidRDefault="000815E9" w:rsidP="000815E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S.2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3,505,244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091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1,325,346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28.45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:rsidR="000815E9" w:rsidRPr="00187BC3" w:rsidRDefault="000815E9" w:rsidP="000815E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S.3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7,188,306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1,776,069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506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28.32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:rsidR="000815E9" w:rsidRPr="00187BC3" w:rsidRDefault="000815E9" w:rsidP="000815E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S.3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3,561,273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672,232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776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27.82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:rsidR="000815E9" w:rsidRPr="00187BC3" w:rsidRDefault="000815E9" w:rsidP="000815E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S.4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4,177,592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935,598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28.09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:rsidR="000815E9" w:rsidRPr="00187BC3" w:rsidRDefault="000815E9" w:rsidP="000815E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S.4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6,479,540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821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2,348,088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924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28.88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 w:val="restart"/>
            <w:textDirection w:val="btLr"/>
            <w:vAlign w:val="center"/>
          </w:tcPr>
          <w:p w:rsidR="000815E9" w:rsidRPr="00187BC3" w:rsidRDefault="000815E9" w:rsidP="0008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7B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Wild-type T1</w:t>
            </w: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S.1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10,070,375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346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1,793,682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28.63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:rsidR="000815E9" w:rsidRPr="00187BC3" w:rsidRDefault="000815E9" w:rsidP="000815E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S.1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8,307,052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3,024,330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28.74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:rsidR="000815E9" w:rsidRPr="00187BC3" w:rsidRDefault="000815E9" w:rsidP="000815E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S.2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9,624,539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2,342,791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28.31</w:t>
            </w:r>
          </w:p>
        </w:tc>
      </w:tr>
      <w:tr w:rsidR="000815E9" w:rsidRPr="00187BC3" w:rsidTr="003B17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:rsidR="000815E9" w:rsidRPr="00187BC3" w:rsidRDefault="000815E9" w:rsidP="000815E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S.2</w:t>
            </w:r>
          </w:p>
        </w:tc>
        <w:tc>
          <w:tcPr>
            <w:tcW w:w="1158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</w:t>
            </w:r>
          </w:p>
        </w:tc>
        <w:tc>
          <w:tcPr>
            <w:tcW w:w="170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11,897,182</w:t>
            </w:r>
          </w:p>
        </w:tc>
        <w:tc>
          <w:tcPr>
            <w:tcW w:w="146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027</w:t>
            </w:r>
          </w:p>
        </w:tc>
        <w:tc>
          <w:tcPr>
            <w:tcW w:w="1480" w:type="dxa"/>
            <w:noWrap/>
            <w:hideMark/>
          </w:tcPr>
          <w:p w:rsidR="000815E9" w:rsidRPr="0063579C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3579C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2,664,406</w:t>
            </w:r>
          </w:p>
        </w:tc>
        <w:tc>
          <w:tcPr>
            <w:tcW w:w="152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</w:t>
            </w:r>
          </w:p>
        </w:tc>
        <w:tc>
          <w:tcPr>
            <w:tcW w:w="1340" w:type="dxa"/>
            <w:noWrap/>
            <w:vAlign w:val="center"/>
            <w:hideMark/>
          </w:tcPr>
          <w:p w:rsidR="000815E9" w:rsidRPr="00B43609" w:rsidRDefault="000815E9" w:rsidP="0008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36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27.53</w:t>
            </w:r>
          </w:p>
        </w:tc>
      </w:tr>
    </w:tbl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A09" w:rsidRDefault="00755A09" w:rsidP="00755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F4D" w:rsidRDefault="00C83F4D" w:rsidP="000815E9">
      <w:pPr>
        <w:tabs>
          <w:tab w:val="left" w:pos="54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15E9" w:rsidRDefault="000815E9" w:rsidP="000815E9">
      <w:pPr>
        <w:tabs>
          <w:tab w:val="left" w:pos="54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15E9" w:rsidRDefault="000815E9" w:rsidP="000815E9">
      <w:pPr>
        <w:tabs>
          <w:tab w:val="left" w:pos="5446"/>
        </w:tabs>
        <w:jc w:val="both"/>
        <w:rPr>
          <w:rFonts w:ascii="Times New Roman" w:hAnsi="Times New Roman" w:cs="Times New Roman"/>
          <w:sz w:val="24"/>
          <w:szCs w:val="24"/>
        </w:rPr>
        <w:sectPr w:rsidR="000815E9" w:rsidSect="000815E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815E9" w:rsidRDefault="000815E9" w:rsidP="000815E9">
      <w:pPr>
        <w:tabs>
          <w:tab w:val="left" w:pos="54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3F4D" w:rsidRDefault="003B0341" w:rsidP="00755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46859C">
            <wp:extent cx="5589928" cy="471220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997" cy="4721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F4D" w:rsidRDefault="00C83F4D" w:rsidP="00755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A09" w:rsidRPr="00F565A3" w:rsidRDefault="00755A09" w:rsidP="00755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S1. Sample to sample p</w:t>
      </w:r>
      <w:r w:rsidRPr="00331676">
        <w:rPr>
          <w:rFonts w:ascii="Times New Roman" w:hAnsi="Times New Roman" w:cs="Times New Roman"/>
          <w:sz w:val="24"/>
          <w:szCs w:val="24"/>
        </w:rPr>
        <w:t xml:space="preserve">rincipal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1676">
        <w:rPr>
          <w:rFonts w:ascii="Times New Roman" w:hAnsi="Times New Roman" w:cs="Times New Roman"/>
          <w:sz w:val="24"/>
          <w:szCs w:val="24"/>
        </w:rPr>
        <w:t>omponent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31676">
        <w:rPr>
          <w:rFonts w:ascii="Times New Roman" w:hAnsi="Times New Roman" w:cs="Times New Roman"/>
          <w:sz w:val="24"/>
          <w:szCs w:val="24"/>
        </w:rPr>
        <w:t>nalysis (PCA) and hierarchical clustering analys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16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PCA plot for the biological replicates of the T1 wild-type and Cp13 mutant strains. </w:t>
      </w:r>
      <w:r w:rsidRPr="00F565A3">
        <w:rPr>
          <w:rFonts w:ascii="Times New Roman" w:hAnsi="Times New Roman" w:cs="Times New Roman"/>
          <w:sz w:val="24"/>
          <w:szCs w:val="24"/>
        </w:rPr>
        <w:t xml:space="preserve">PCA and heatmap were plotted with </w:t>
      </w:r>
      <w:proofErr w:type="spellStart"/>
      <w:r w:rsidRPr="00F565A3">
        <w:rPr>
          <w:rFonts w:ascii="Times New Roman" w:hAnsi="Times New Roman" w:cs="Times New Roman"/>
          <w:i/>
          <w:sz w:val="24"/>
          <w:szCs w:val="24"/>
        </w:rPr>
        <w:t>rlog</w:t>
      </w:r>
      <w:proofErr w:type="spellEnd"/>
      <w:r w:rsidRPr="00F565A3">
        <w:rPr>
          <w:rFonts w:ascii="Times New Roman" w:hAnsi="Times New Roman" w:cs="Times New Roman"/>
          <w:sz w:val="24"/>
          <w:szCs w:val="24"/>
        </w:rPr>
        <w:t xml:space="preserve">-transformed data of </w:t>
      </w:r>
      <w:r w:rsidR="003B0341">
        <w:rPr>
          <w:rFonts w:ascii="Times New Roman" w:hAnsi="Times New Roman" w:cs="Times New Roman"/>
          <w:sz w:val="24"/>
          <w:szCs w:val="24"/>
        </w:rPr>
        <w:t xml:space="preserve">normalized </w:t>
      </w:r>
      <w:r w:rsidRPr="00F565A3">
        <w:rPr>
          <w:rFonts w:ascii="Times New Roman" w:hAnsi="Times New Roman" w:cs="Times New Roman"/>
          <w:sz w:val="24"/>
          <w:szCs w:val="24"/>
        </w:rPr>
        <w:t>read counts</w:t>
      </w:r>
      <w:r>
        <w:rPr>
          <w:rFonts w:ascii="Times New Roman" w:hAnsi="Times New Roman" w:cs="Times New Roman"/>
          <w:sz w:val="24"/>
          <w:szCs w:val="24"/>
        </w:rPr>
        <w:t>. The first two principal components are shown on the X and Y axes, with the proportion of total variance attributed to that PC indicated.</w:t>
      </w:r>
      <w:r w:rsidR="003B0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experimental sample is represented as a single point with color indicating experimental sample condition and shape indicating strain. Pink represents High Iron (HI) and blue Low Iron (LI) experimental samples. Strains were represented by geometrical figures: T1 wild-type strain</w:t>
      </w:r>
      <w:r w:rsidRPr="00F565A3">
        <w:rPr>
          <w:rFonts w:ascii="Times New Roman" w:hAnsi="Times New Roman" w:cs="Times New Roman"/>
          <w:sz w:val="24"/>
          <w:szCs w:val="24"/>
        </w:rPr>
        <w:t xml:space="preserve"> (▲)</w:t>
      </w:r>
      <w:r>
        <w:rPr>
          <w:rFonts w:ascii="Times New Roman" w:hAnsi="Times New Roman" w:cs="Times New Roman"/>
          <w:sz w:val="24"/>
          <w:szCs w:val="24"/>
        </w:rPr>
        <w:t xml:space="preserve"> and Cp13 mutant strain </w:t>
      </w:r>
      <w:r w:rsidRPr="00F565A3">
        <w:rPr>
          <w:rFonts w:ascii="Times New Roman" w:hAnsi="Times New Roman" w:cs="Times New Roman"/>
          <w:sz w:val="24"/>
          <w:szCs w:val="24"/>
        </w:rPr>
        <w:t>(●).</w:t>
      </w:r>
      <w:r>
        <w:rPr>
          <w:rFonts w:ascii="Times New Roman" w:hAnsi="Times New Roman" w:cs="Times New Roman"/>
          <w:sz w:val="24"/>
          <w:szCs w:val="24"/>
        </w:rPr>
        <w:t xml:space="preserve"> Batches are labeled A-C. </w:t>
      </w:r>
      <w:r w:rsidRPr="00F565A3">
        <w:rPr>
          <w:rFonts w:ascii="Times New Roman" w:hAnsi="Times New Roman" w:cs="Times New Roman"/>
          <w:sz w:val="24"/>
          <w:szCs w:val="24"/>
        </w:rPr>
        <w:t xml:space="preserve">PC1 evidencing batch clustering and sample variation within </w:t>
      </w:r>
      <w:r>
        <w:rPr>
          <w:rFonts w:ascii="Times New Roman" w:hAnsi="Times New Roman" w:cs="Times New Roman"/>
          <w:sz w:val="24"/>
          <w:szCs w:val="24"/>
        </w:rPr>
        <w:t xml:space="preserve">batch A and batches B-C of the </w:t>
      </w:r>
      <w:r w:rsidR="003B0341">
        <w:rPr>
          <w:rFonts w:ascii="Times New Roman" w:hAnsi="Times New Roman" w:cs="Times New Roman"/>
          <w:sz w:val="24"/>
          <w:szCs w:val="24"/>
        </w:rPr>
        <w:t>replicates.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41">
        <w:rPr>
          <w:rFonts w:ascii="Times New Roman" w:hAnsi="Times New Roman" w:cs="Times New Roman"/>
          <w:sz w:val="24"/>
          <w:szCs w:val="24"/>
        </w:rPr>
        <w:t xml:space="preserve">PC1 and PC2 represent 85% of the total variance of the samples. HI and LI grouping can be seen, representing 8% of the total variance (PC2). </w:t>
      </w:r>
      <w:r w:rsidR="003B0341" w:rsidRPr="00F565A3">
        <w:rPr>
          <w:rFonts w:ascii="Times New Roman" w:hAnsi="Times New Roman" w:cs="Times New Roman"/>
          <w:sz w:val="24"/>
          <w:szCs w:val="24"/>
        </w:rPr>
        <w:t>Batch effect was attribute to sample preparation</w:t>
      </w:r>
      <w:r w:rsidR="003B0341">
        <w:rPr>
          <w:rFonts w:ascii="Times New Roman" w:hAnsi="Times New Roman" w:cs="Times New Roman"/>
          <w:sz w:val="24"/>
          <w:szCs w:val="24"/>
        </w:rPr>
        <w:t xml:space="preserve"> and it </w:t>
      </w:r>
      <w:r w:rsidR="003B0341" w:rsidRPr="000A6CB1">
        <w:rPr>
          <w:rFonts w:ascii="Times New Roman" w:hAnsi="Times New Roman" w:cs="Times New Roman"/>
          <w:sz w:val="24"/>
          <w:szCs w:val="24"/>
        </w:rPr>
        <w:t>was included into the DESeq2 design formula</w:t>
      </w:r>
      <w:r w:rsidR="003B034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:rsidR="00755A09" w:rsidRDefault="00755A09"/>
    <w:sectPr w:rsidR="00755A09" w:rsidSect="007A5BA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52" w:rsidRDefault="002C6752" w:rsidP="007A5BAC">
      <w:pPr>
        <w:spacing w:after="0" w:line="240" w:lineRule="auto"/>
      </w:pPr>
      <w:r>
        <w:separator/>
      </w:r>
    </w:p>
  </w:endnote>
  <w:endnote w:type="continuationSeparator" w:id="0">
    <w:p w:rsidR="002C6752" w:rsidRDefault="002C6752" w:rsidP="007A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52" w:rsidRDefault="002C6752" w:rsidP="007A5BAC">
      <w:pPr>
        <w:spacing w:after="0" w:line="240" w:lineRule="auto"/>
      </w:pPr>
      <w:r>
        <w:separator/>
      </w:r>
    </w:p>
  </w:footnote>
  <w:footnote w:type="continuationSeparator" w:id="0">
    <w:p w:rsidR="002C6752" w:rsidRDefault="002C6752" w:rsidP="007A5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09"/>
    <w:rsid w:val="000815E9"/>
    <w:rsid w:val="00187BC3"/>
    <w:rsid w:val="001D3D44"/>
    <w:rsid w:val="001F5C16"/>
    <w:rsid w:val="002C6752"/>
    <w:rsid w:val="003B0341"/>
    <w:rsid w:val="005C7CC6"/>
    <w:rsid w:val="0062500E"/>
    <w:rsid w:val="0063579C"/>
    <w:rsid w:val="00645264"/>
    <w:rsid w:val="00647054"/>
    <w:rsid w:val="006549B7"/>
    <w:rsid w:val="00710413"/>
    <w:rsid w:val="00755A09"/>
    <w:rsid w:val="007A5BAC"/>
    <w:rsid w:val="007D016F"/>
    <w:rsid w:val="00873687"/>
    <w:rsid w:val="009D47E0"/>
    <w:rsid w:val="009E03AC"/>
    <w:rsid w:val="00A51F5C"/>
    <w:rsid w:val="00B43609"/>
    <w:rsid w:val="00C83F4D"/>
    <w:rsid w:val="00CA0921"/>
    <w:rsid w:val="00CB595D"/>
    <w:rsid w:val="00E04792"/>
    <w:rsid w:val="00E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3723C-6C3E-4155-AB15-76F59C85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A0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6Colorida">
    <w:name w:val="List Table 6 Colorful"/>
    <w:basedOn w:val="Tabelanormal"/>
    <w:uiPriority w:val="51"/>
    <w:rsid w:val="00755A09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E047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0479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eladeGrade1Clara">
    <w:name w:val="Grid Table 1 Light"/>
    <w:basedOn w:val="Tabelanormal"/>
    <w:uiPriority w:val="46"/>
    <w:rsid w:val="00A51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7Colorida">
    <w:name w:val="List Table 7 Colorful"/>
    <w:basedOn w:val="Tabelanormal"/>
    <w:uiPriority w:val="52"/>
    <w:rsid w:val="00A51F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1Clara">
    <w:name w:val="List Table 1 Light"/>
    <w:basedOn w:val="Tabelanormal"/>
    <w:uiPriority w:val="46"/>
    <w:rsid w:val="00A51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7A5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BAC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A5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B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6335-633C-4C18-AE87-7B75C35E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RafaelAssis</dc:creator>
  <cp:keywords/>
  <dc:description/>
  <cp:lastModifiedBy>Izabela Ibraim</cp:lastModifiedBy>
  <cp:revision>9</cp:revision>
  <dcterms:created xsi:type="dcterms:W3CDTF">2018-09-27T02:08:00Z</dcterms:created>
  <dcterms:modified xsi:type="dcterms:W3CDTF">2018-12-29T02:26:00Z</dcterms:modified>
</cp:coreProperties>
</file>