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73FD9" w14:textId="6F95713E" w:rsidR="001D76C0" w:rsidRDefault="001D76C0" w:rsidP="00E076F0">
      <w:pPr>
        <w:widowControl/>
        <w:wordWrap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04E3">
        <w:rPr>
          <w:rFonts w:ascii="Times New Roman" w:hAnsi="Times New Roman" w:cs="Times New Roman"/>
          <w:b/>
          <w:sz w:val="30"/>
          <w:szCs w:val="30"/>
        </w:rPr>
        <w:t>Supporting Information</w:t>
      </w:r>
    </w:p>
    <w:p w14:paraId="7604AD2B" w14:textId="77777777" w:rsidR="006851A1" w:rsidRPr="006851A1" w:rsidRDefault="006851A1" w:rsidP="00E076F0">
      <w:pPr>
        <w:widowControl/>
        <w:wordWrap/>
        <w:autoSpaceDE/>
        <w:autoSpaceDN/>
        <w:spacing w:after="200" w:line="276" w:lineRule="auto"/>
        <w:jc w:val="center"/>
        <w:rPr>
          <w:rFonts w:ascii="Times New Roman" w:hAnsi="Times New Roman" w:cs="Times New Roman"/>
          <w:szCs w:val="20"/>
        </w:rPr>
      </w:pPr>
    </w:p>
    <w:p w14:paraId="35E4DCC0" w14:textId="25016DFA" w:rsidR="008D1C41" w:rsidRPr="00860501" w:rsidRDefault="00760F47" w:rsidP="00860501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  <w:r w:rsidRPr="00CF6865">
        <w:rPr>
          <w:rFonts w:ascii="Times New Roman" w:hAnsi="Times New Roman" w:cs="Times New Roman"/>
          <w:sz w:val="26"/>
          <w:szCs w:val="26"/>
        </w:rPr>
        <w:t>Table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0501">
        <w:rPr>
          <w:rFonts w:ascii="Times New Roman" w:hAnsi="Times New Roman" w:cs="Times New Roman"/>
          <w:sz w:val="26"/>
          <w:szCs w:val="26"/>
        </w:rPr>
        <w:t>S</w:t>
      </w:r>
      <w:r w:rsidR="00E72E96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CF6865">
        <w:rPr>
          <w:rFonts w:ascii="Times New Roman" w:hAnsi="Times New Roman" w:cs="Times New Roman"/>
          <w:sz w:val="26"/>
          <w:szCs w:val="26"/>
        </w:rPr>
        <w:t>.</w:t>
      </w:r>
      <w:r w:rsidR="0029005A">
        <w:rPr>
          <w:rFonts w:ascii="Times New Roman" w:hAnsi="Times New Roman" w:cs="Times New Roman"/>
          <w:sz w:val="26"/>
          <w:szCs w:val="26"/>
        </w:rPr>
        <w:t xml:space="preserve"> </w:t>
      </w:r>
      <w:r w:rsidR="0029005A" w:rsidRPr="0029005A">
        <w:rPr>
          <w:rFonts w:ascii="Times New Roman" w:hAnsi="Times New Roman" w:cs="Times New Roman"/>
          <w:sz w:val="26"/>
          <w:szCs w:val="26"/>
        </w:rPr>
        <w:t>Descriptive data of Calibration, LOD and LOQ of SCFAs obtained by GC-FID.</w:t>
      </w:r>
    </w:p>
    <w:tbl>
      <w:tblPr>
        <w:tblStyle w:val="2"/>
        <w:tblW w:w="11319" w:type="dxa"/>
        <w:tblLook w:val="04A0" w:firstRow="1" w:lastRow="0" w:firstColumn="1" w:lastColumn="0" w:noHBand="0" w:noVBand="1"/>
      </w:tblPr>
      <w:tblGrid>
        <w:gridCol w:w="3163"/>
        <w:gridCol w:w="2163"/>
        <w:gridCol w:w="1997"/>
        <w:gridCol w:w="1832"/>
        <w:gridCol w:w="2164"/>
      </w:tblGrid>
      <w:tr w:rsidR="0000547D" w:rsidRPr="00544D02" w14:paraId="38974A41" w14:textId="77777777" w:rsidTr="00C3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 w:val="restart"/>
            <w:noWrap/>
            <w:vAlign w:val="center"/>
          </w:tcPr>
          <w:p w14:paraId="2EA5B125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Concentration</w:t>
            </w:r>
          </w:p>
          <w:p w14:paraId="25899908" w14:textId="6259CFF5" w:rsidR="0000547D" w:rsidRPr="0043484F" w:rsidRDefault="0043484F" w:rsidP="00C308E2">
            <w:pPr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43484F">
              <w:rPr>
                <w:rFonts w:ascii="Times New Roman" w:eastAsia="맑은 고딕" w:hAnsi="Times New Roman" w:cs="Times New Roman"/>
                <w:b w:val="0"/>
                <w:color w:val="000000"/>
              </w:rPr>
              <w:t>(</w:t>
            </w:r>
            <w:r w:rsidRPr="0043484F">
              <w:rPr>
                <w:rFonts w:ascii="Times New Roman" w:hAnsi="Times New Roman" w:cs="Times New Roman"/>
                <w:b w:val="0"/>
              </w:rPr>
              <w:t>μg</w:t>
            </w:r>
            <w:r w:rsidR="0000547D" w:rsidRPr="0043484F">
              <w:rPr>
                <w:rFonts w:ascii="Times New Roman" w:eastAsia="맑은 고딕" w:hAnsi="Times New Roman" w:cs="Times New Roman"/>
                <w:b w:val="0"/>
                <w:color w:val="000000"/>
              </w:rPr>
              <w:t>/mL)</w:t>
            </w:r>
          </w:p>
        </w:tc>
        <w:tc>
          <w:tcPr>
            <w:tcW w:w="8156" w:type="dxa"/>
            <w:gridSpan w:val="4"/>
            <w:noWrap/>
            <w:vAlign w:val="center"/>
            <w:hideMark/>
          </w:tcPr>
          <w:p w14:paraId="2AC0916A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Analyte area/IS area</w:t>
            </w:r>
          </w:p>
        </w:tc>
      </w:tr>
      <w:tr w:rsidR="0000547D" w:rsidRPr="00544D02" w14:paraId="58CE21D6" w14:textId="77777777" w:rsidTr="00C3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  <w:noWrap/>
            <w:vAlign w:val="center"/>
          </w:tcPr>
          <w:p w14:paraId="1F0862AD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2163" w:type="dxa"/>
            <w:noWrap/>
            <w:vAlign w:val="center"/>
          </w:tcPr>
          <w:p w14:paraId="1FBE5021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b/>
                <w:color w:val="000000"/>
              </w:rPr>
              <w:t>Acetic acid</w:t>
            </w:r>
          </w:p>
        </w:tc>
        <w:tc>
          <w:tcPr>
            <w:tcW w:w="1997" w:type="dxa"/>
            <w:noWrap/>
            <w:vAlign w:val="center"/>
          </w:tcPr>
          <w:p w14:paraId="6314CE30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b/>
                <w:color w:val="000000"/>
              </w:rPr>
              <w:t>Propionic acid</w:t>
            </w:r>
          </w:p>
        </w:tc>
        <w:tc>
          <w:tcPr>
            <w:tcW w:w="1832" w:type="dxa"/>
            <w:noWrap/>
            <w:vAlign w:val="center"/>
          </w:tcPr>
          <w:p w14:paraId="3036FD3A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b/>
                <w:color w:val="000000"/>
              </w:rPr>
              <w:t>Butyric acid</w:t>
            </w:r>
          </w:p>
        </w:tc>
        <w:tc>
          <w:tcPr>
            <w:tcW w:w="2164" w:type="dxa"/>
            <w:noWrap/>
            <w:vAlign w:val="center"/>
          </w:tcPr>
          <w:p w14:paraId="489D623A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b/>
                <w:color w:val="000000"/>
              </w:rPr>
              <w:t>Valeric acid</w:t>
            </w:r>
          </w:p>
        </w:tc>
      </w:tr>
      <w:tr w:rsidR="0000547D" w:rsidRPr="00544D02" w14:paraId="78B1EC7B" w14:textId="77777777" w:rsidTr="00C308E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vAlign w:val="bottom"/>
          </w:tcPr>
          <w:p w14:paraId="76F4F59E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0.1</w:t>
            </w:r>
          </w:p>
        </w:tc>
        <w:tc>
          <w:tcPr>
            <w:tcW w:w="2163" w:type="dxa"/>
            <w:noWrap/>
            <w:vAlign w:val="bottom"/>
          </w:tcPr>
          <w:p w14:paraId="2E7F974D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0.336</w:t>
            </w:r>
          </w:p>
        </w:tc>
        <w:tc>
          <w:tcPr>
            <w:tcW w:w="1997" w:type="dxa"/>
            <w:noWrap/>
            <w:vAlign w:val="bottom"/>
          </w:tcPr>
          <w:p w14:paraId="6FDC23D6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0.155</w:t>
            </w:r>
          </w:p>
        </w:tc>
        <w:tc>
          <w:tcPr>
            <w:tcW w:w="1832" w:type="dxa"/>
            <w:noWrap/>
            <w:vAlign w:val="bottom"/>
          </w:tcPr>
          <w:p w14:paraId="6B57B1CA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0.110</w:t>
            </w:r>
          </w:p>
        </w:tc>
        <w:tc>
          <w:tcPr>
            <w:tcW w:w="2164" w:type="dxa"/>
            <w:noWrap/>
            <w:vAlign w:val="bottom"/>
          </w:tcPr>
          <w:p w14:paraId="1E4C85B3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0.108</w:t>
            </w:r>
          </w:p>
        </w:tc>
      </w:tr>
      <w:tr w:rsidR="0000547D" w:rsidRPr="00544D02" w14:paraId="6242BDD4" w14:textId="77777777" w:rsidTr="00C3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vAlign w:val="bottom"/>
            <w:hideMark/>
          </w:tcPr>
          <w:p w14:paraId="5CCA1D53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0.5</w:t>
            </w:r>
          </w:p>
        </w:tc>
        <w:tc>
          <w:tcPr>
            <w:tcW w:w="2163" w:type="dxa"/>
            <w:noWrap/>
            <w:vAlign w:val="center"/>
            <w:hideMark/>
          </w:tcPr>
          <w:p w14:paraId="50D3CFB2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0.345</w:t>
            </w:r>
          </w:p>
        </w:tc>
        <w:tc>
          <w:tcPr>
            <w:tcW w:w="1997" w:type="dxa"/>
            <w:noWrap/>
            <w:vAlign w:val="bottom"/>
            <w:hideMark/>
          </w:tcPr>
          <w:p w14:paraId="68D3B1A2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0.192</w:t>
            </w:r>
          </w:p>
        </w:tc>
        <w:tc>
          <w:tcPr>
            <w:tcW w:w="1832" w:type="dxa"/>
            <w:noWrap/>
            <w:vAlign w:val="bottom"/>
            <w:hideMark/>
          </w:tcPr>
          <w:p w14:paraId="1C52891E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0.123</w:t>
            </w:r>
          </w:p>
        </w:tc>
        <w:tc>
          <w:tcPr>
            <w:tcW w:w="2164" w:type="dxa"/>
            <w:noWrap/>
            <w:vAlign w:val="bottom"/>
            <w:hideMark/>
          </w:tcPr>
          <w:p w14:paraId="256301A4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0.142</w:t>
            </w:r>
          </w:p>
        </w:tc>
      </w:tr>
      <w:tr w:rsidR="0000547D" w:rsidRPr="00544D02" w14:paraId="30C8A2BF" w14:textId="77777777" w:rsidTr="00C308E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vAlign w:val="center"/>
            <w:hideMark/>
          </w:tcPr>
          <w:p w14:paraId="35795245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1</w:t>
            </w:r>
          </w:p>
        </w:tc>
        <w:tc>
          <w:tcPr>
            <w:tcW w:w="2163" w:type="dxa"/>
            <w:noWrap/>
            <w:vAlign w:val="center"/>
            <w:hideMark/>
          </w:tcPr>
          <w:p w14:paraId="0A55FC42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0.356</w:t>
            </w:r>
          </w:p>
        </w:tc>
        <w:tc>
          <w:tcPr>
            <w:tcW w:w="1997" w:type="dxa"/>
            <w:noWrap/>
            <w:vAlign w:val="bottom"/>
            <w:hideMark/>
          </w:tcPr>
          <w:p w14:paraId="1FBB25A1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0.229</w:t>
            </w:r>
          </w:p>
        </w:tc>
        <w:tc>
          <w:tcPr>
            <w:tcW w:w="1832" w:type="dxa"/>
            <w:noWrap/>
            <w:vAlign w:val="bottom"/>
            <w:hideMark/>
          </w:tcPr>
          <w:p w14:paraId="699F470F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0.144</w:t>
            </w:r>
          </w:p>
        </w:tc>
        <w:tc>
          <w:tcPr>
            <w:tcW w:w="2164" w:type="dxa"/>
            <w:noWrap/>
            <w:vAlign w:val="bottom"/>
            <w:hideMark/>
          </w:tcPr>
          <w:p w14:paraId="1E7605C9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0.164</w:t>
            </w:r>
          </w:p>
        </w:tc>
      </w:tr>
      <w:tr w:rsidR="0000547D" w:rsidRPr="00544D02" w14:paraId="26FA81E4" w14:textId="77777777" w:rsidTr="00C3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vAlign w:val="center"/>
            <w:hideMark/>
          </w:tcPr>
          <w:p w14:paraId="1C18521B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5</w:t>
            </w:r>
          </w:p>
        </w:tc>
        <w:tc>
          <w:tcPr>
            <w:tcW w:w="2163" w:type="dxa"/>
            <w:noWrap/>
            <w:vAlign w:val="center"/>
            <w:hideMark/>
          </w:tcPr>
          <w:p w14:paraId="6C128BAE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0.384</w:t>
            </w:r>
          </w:p>
        </w:tc>
        <w:tc>
          <w:tcPr>
            <w:tcW w:w="1997" w:type="dxa"/>
            <w:noWrap/>
            <w:vAlign w:val="bottom"/>
            <w:hideMark/>
          </w:tcPr>
          <w:p w14:paraId="1E85830E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0.355</w:t>
            </w:r>
          </w:p>
        </w:tc>
        <w:tc>
          <w:tcPr>
            <w:tcW w:w="1832" w:type="dxa"/>
            <w:noWrap/>
            <w:vAlign w:val="bottom"/>
            <w:hideMark/>
          </w:tcPr>
          <w:p w14:paraId="030178D8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0.271</w:t>
            </w:r>
          </w:p>
        </w:tc>
        <w:tc>
          <w:tcPr>
            <w:tcW w:w="2164" w:type="dxa"/>
            <w:noWrap/>
            <w:vAlign w:val="bottom"/>
            <w:hideMark/>
          </w:tcPr>
          <w:p w14:paraId="6A85B841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0.319</w:t>
            </w:r>
          </w:p>
        </w:tc>
      </w:tr>
      <w:tr w:rsidR="0000547D" w:rsidRPr="00544D02" w14:paraId="6B4B6CFE" w14:textId="77777777" w:rsidTr="00C308E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vAlign w:val="center"/>
            <w:hideMark/>
          </w:tcPr>
          <w:p w14:paraId="7355BE00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10</w:t>
            </w:r>
          </w:p>
        </w:tc>
        <w:tc>
          <w:tcPr>
            <w:tcW w:w="2163" w:type="dxa"/>
            <w:noWrap/>
            <w:vAlign w:val="center"/>
            <w:hideMark/>
          </w:tcPr>
          <w:p w14:paraId="3B66EC5A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0.413</w:t>
            </w:r>
          </w:p>
        </w:tc>
        <w:tc>
          <w:tcPr>
            <w:tcW w:w="1997" w:type="dxa"/>
            <w:noWrap/>
            <w:vAlign w:val="bottom"/>
            <w:hideMark/>
          </w:tcPr>
          <w:p w14:paraId="76861754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0.412</w:t>
            </w:r>
          </w:p>
        </w:tc>
        <w:tc>
          <w:tcPr>
            <w:tcW w:w="1832" w:type="dxa"/>
            <w:noWrap/>
            <w:vAlign w:val="bottom"/>
            <w:hideMark/>
          </w:tcPr>
          <w:p w14:paraId="1139DB2B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0.451</w:t>
            </w:r>
          </w:p>
        </w:tc>
        <w:tc>
          <w:tcPr>
            <w:tcW w:w="2164" w:type="dxa"/>
            <w:noWrap/>
            <w:vAlign w:val="bottom"/>
            <w:hideMark/>
          </w:tcPr>
          <w:p w14:paraId="7399B897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0.493</w:t>
            </w:r>
          </w:p>
        </w:tc>
      </w:tr>
      <w:tr w:rsidR="0000547D" w:rsidRPr="00544D02" w14:paraId="00B98F07" w14:textId="77777777" w:rsidTr="00C3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vAlign w:val="center"/>
            <w:hideMark/>
          </w:tcPr>
          <w:p w14:paraId="47A13B18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25</w:t>
            </w:r>
          </w:p>
        </w:tc>
        <w:tc>
          <w:tcPr>
            <w:tcW w:w="2163" w:type="dxa"/>
            <w:noWrap/>
            <w:vAlign w:val="center"/>
            <w:hideMark/>
          </w:tcPr>
          <w:p w14:paraId="0F64D413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0.568</w:t>
            </w:r>
          </w:p>
        </w:tc>
        <w:tc>
          <w:tcPr>
            <w:tcW w:w="1997" w:type="dxa"/>
            <w:noWrap/>
            <w:vAlign w:val="bottom"/>
            <w:hideMark/>
          </w:tcPr>
          <w:p w14:paraId="2A2893E7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0.776</w:t>
            </w:r>
          </w:p>
        </w:tc>
        <w:tc>
          <w:tcPr>
            <w:tcW w:w="1832" w:type="dxa"/>
            <w:noWrap/>
            <w:vAlign w:val="bottom"/>
            <w:hideMark/>
          </w:tcPr>
          <w:p w14:paraId="71BEC4D4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0.947</w:t>
            </w:r>
          </w:p>
        </w:tc>
        <w:tc>
          <w:tcPr>
            <w:tcW w:w="2164" w:type="dxa"/>
            <w:noWrap/>
            <w:vAlign w:val="bottom"/>
            <w:hideMark/>
          </w:tcPr>
          <w:p w14:paraId="3E91F6E5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0.990</w:t>
            </w:r>
          </w:p>
        </w:tc>
      </w:tr>
      <w:tr w:rsidR="0000547D" w:rsidRPr="00544D02" w14:paraId="7D87E567" w14:textId="77777777" w:rsidTr="00C308E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B0BF3B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 w:val="0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50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A52369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0.774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64C4472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1.393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6EA7FF6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1.731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D3BE332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1.833</w:t>
            </w:r>
          </w:p>
        </w:tc>
      </w:tr>
      <w:tr w:rsidR="0000547D" w:rsidRPr="00544D02" w14:paraId="5302AEA3" w14:textId="77777777" w:rsidTr="00C3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6178A484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6C4C3EC8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1.218</w:t>
            </w:r>
          </w:p>
        </w:tc>
        <w:tc>
          <w:tcPr>
            <w:tcW w:w="1997" w:type="dxa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14:paraId="44116EE6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2.598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14:paraId="6BD84B4A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3.455</w:t>
            </w:r>
          </w:p>
        </w:tc>
        <w:tc>
          <w:tcPr>
            <w:tcW w:w="2164" w:type="dxa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14:paraId="63CD38A3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 w:val="2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3.428</w:t>
            </w:r>
          </w:p>
        </w:tc>
      </w:tr>
      <w:tr w:rsidR="0000547D" w:rsidRPr="00544D02" w14:paraId="3374F09D" w14:textId="77777777" w:rsidTr="00C308E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tcBorders>
              <w:top w:val="double" w:sz="4" w:space="0" w:color="auto"/>
            </w:tcBorders>
            <w:noWrap/>
            <w:vAlign w:val="bottom"/>
            <w:hideMark/>
          </w:tcPr>
          <w:p w14:paraId="28F292DC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Standard Error</w:t>
            </w:r>
          </w:p>
        </w:tc>
        <w:tc>
          <w:tcPr>
            <w:tcW w:w="2163" w:type="dxa"/>
            <w:tcBorders>
              <w:top w:val="double" w:sz="4" w:space="0" w:color="auto"/>
            </w:tcBorders>
            <w:noWrap/>
            <w:vAlign w:val="bottom"/>
            <w:hideMark/>
          </w:tcPr>
          <w:p w14:paraId="7CF8CE1F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0.008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noWrap/>
            <w:vAlign w:val="bottom"/>
            <w:hideMark/>
          </w:tcPr>
          <w:p w14:paraId="7008710C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0.027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noWrap/>
            <w:vAlign w:val="bottom"/>
            <w:hideMark/>
          </w:tcPr>
          <w:p w14:paraId="0EE5C7E2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0.019</w:t>
            </w:r>
          </w:p>
        </w:tc>
        <w:tc>
          <w:tcPr>
            <w:tcW w:w="2164" w:type="dxa"/>
            <w:tcBorders>
              <w:top w:val="double" w:sz="4" w:space="0" w:color="auto"/>
            </w:tcBorders>
            <w:noWrap/>
            <w:vAlign w:val="bottom"/>
            <w:hideMark/>
          </w:tcPr>
          <w:p w14:paraId="2031D995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0.028</w:t>
            </w:r>
          </w:p>
        </w:tc>
      </w:tr>
      <w:tr w:rsidR="0000547D" w:rsidRPr="00544D02" w14:paraId="24A5ECB3" w14:textId="77777777" w:rsidTr="00C3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vAlign w:val="bottom"/>
            <w:hideMark/>
          </w:tcPr>
          <w:p w14:paraId="283F7574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Calibration Slop</w:t>
            </w:r>
          </w:p>
        </w:tc>
        <w:tc>
          <w:tcPr>
            <w:tcW w:w="2163" w:type="dxa"/>
            <w:noWrap/>
            <w:vAlign w:val="bottom"/>
            <w:hideMark/>
          </w:tcPr>
          <w:p w14:paraId="2589A262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0.0088</w:t>
            </w:r>
          </w:p>
        </w:tc>
        <w:tc>
          <w:tcPr>
            <w:tcW w:w="1997" w:type="dxa"/>
            <w:noWrap/>
            <w:vAlign w:val="bottom"/>
            <w:hideMark/>
          </w:tcPr>
          <w:p w14:paraId="2C2748C5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0.0241</w:t>
            </w:r>
          </w:p>
        </w:tc>
        <w:tc>
          <w:tcPr>
            <w:tcW w:w="1832" w:type="dxa"/>
            <w:noWrap/>
            <w:vAlign w:val="center"/>
            <w:hideMark/>
          </w:tcPr>
          <w:p w14:paraId="7A1F65C2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0.0333</w:t>
            </w:r>
          </w:p>
        </w:tc>
        <w:tc>
          <w:tcPr>
            <w:tcW w:w="2164" w:type="dxa"/>
            <w:noWrap/>
            <w:vAlign w:val="center"/>
            <w:hideMark/>
          </w:tcPr>
          <w:p w14:paraId="218FCC86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0.0331</w:t>
            </w:r>
          </w:p>
        </w:tc>
      </w:tr>
      <w:tr w:rsidR="0000547D" w:rsidRPr="00544D02" w14:paraId="416C61C3" w14:textId="77777777" w:rsidTr="00C308E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vAlign w:val="bottom"/>
            <w:hideMark/>
          </w:tcPr>
          <w:p w14:paraId="0C765577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LOD</w:t>
            </w:r>
          </w:p>
        </w:tc>
        <w:tc>
          <w:tcPr>
            <w:tcW w:w="2163" w:type="dxa"/>
            <w:noWrap/>
            <w:vAlign w:val="bottom"/>
            <w:hideMark/>
          </w:tcPr>
          <w:p w14:paraId="32B95FD1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3.00</w:t>
            </w:r>
          </w:p>
        </w:tc>
        <w:tc>
          <w:tcPr>
            <w:tcW w:w="1997" w:type="dxa"/>
            <w:noWrap/>
            <w:vAlign w:val="bottom"/>
            <w:hideMark/>
          </w:tcPr>
          <w:p w14:paraId="0C9DA780" w14:textId="4DCEF12B" w:rsidR="00824F2F" w:rsidRPr="00824F2F" w:rsidRDefault="00824F2F" w:rsidP="00824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3.70</w:t>
            </w:r>
          </w:p>
        </w:tc>
        <w:tc>
          <w:tcPr>
            <w:tcW w:w="1832" w:type="dxa"/>
            <w:noWrap/>
            <w:vAlign w:val="bottom"/>
            <w:hideMark/>
          </w:tcPr>
          <w:p w14:paraId="172F936C" w14:textId="3EE37788" w:rsidR="0000547D" w:rsidRPr="00544D02" w:rsidRDefault="0000547D" w:rsidP="00824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1.</w:t>
            </w:r>
            <w:r w:rsidR="00824F2F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2164" w:type="dxa"/>
            <w:noWrap/>
            <w:vAlign w:val="bottom"/>
            <w:hideMark/>
          </w:tcPr>
          <w:p w14:paraId="1737595F" w14:textId="46A0522F" w:rsidR="0000547D" w:rsidRPr="00544D02" w:rsidRDefault="0000547D" w:rsidP="00824F2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2.7</w:t>
            </w:r>
            <w:r w:rsidR="00824F2F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00547D" w:rsidRPr="00544D02" w14:paraId="0B974A5C" w14:textId="77777777" w:rsidTr="00C3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vAlign w:val="bottom"/>
            <w:hideMark/>
          </w:tcPr>
          <w:p w14:paraId="75EF3DEB" w14:textId="7AA60306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color w:val="000000"/>
              </w:rPr>
              <w:t>LOQ</w:t>
            </w:r>
          </w:p>
        </w:tc>
        <w:tc>
          <w:tcPr>
            <w:tcW w:w="2163" w:type="dxa"/>
            <w:noWrap/>
            <w:vAlign w:val="bottom"/>
            <w:hideMark/>
          </w:tcPr>
          <w:p w14:paraId="76275688" w14:textId="77777777" w:rsidR="0000547D" w:rsidRPr="00544D02" w:rsidRDefault="0000547D" w:rsidP="00C308E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9.09</w:t>
            </w:r>
          </w:p>
        </w:tc>
        <w:tc>
          <w:tcPr>
            <w:tcW w:w="1997" w:type="dxa"/>
            <w:noWrap/>
            <w:vAlign w:val="bottom"/>
            <w:hideMark/>
          </w:tcPr>
          <w:p w14:paraId="5E2F8A7A" w14:textId="675BAD76" w:rsidR="0000547D" w:rsidRPr="00544D02" w:rsidRDefault="0000547D" w:rsidP="00824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11.</w:t>
            </w:r>
            <w:r w:rsidR="00824F2F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832" w:type="dxa"/>
            <w:noWrap/>
            <w:vAlign w:val="bottom"/>
            <w:hideMark/>
          </w:tcPr>
          <w:p w14:paraId="60E059E3" w14:textId="7B8F5560" w:rsidR="0000547D" w:rsidRPr="00544D02" w:rsidRDefault="0000547D" w:rsidP="00824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5.7</w:t>
            </w:r>
            <w:r w:rsidR="00824F2F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64" w:type="dxa"/>
            <w:noWrap/>
            <w:vAlign w:val="bottom"/>
            <w:hideMark/>
          </w:tcPr>
          <w:p w14:paraId="19E54511" w14:textId="4044EB88" w:rsidR="0000547D" w:rsidRPr="00544D02" w:rsidRDefault="0000547D" w:rsidP="00824F2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</w:rPr>
            </w:pPr>
            <w:r w:rsidRPr="00544D02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8.</w:t>
            </w:r>
            <w:r w:rsidR="00824F2F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46</w:t>
            </w:r>
          </w:p>
        </w:tc>
      </w:tr>
    </w:tbl>
    <w:p w14:paraId="325694E6" w14:textId="77777777" w:rsidR="00225503" w:rsidRDefault="00225503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</w:p>
    <w:p w14:paraId="3E9AFCAB" w14:textId="77777777" w:rsidR="00225503" w:rsidRPr="00474979" w:rsidRDefault="00225503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</w:p>
    <w:p w14:paraId="5ADC000A" w14:textId="77777777" w:rsidR="00225503" w:rsidRDefault="00225503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</w:p>
    <w:p w14:paraId="44FA6A41" w14:textId="77777777" w:rsidR="00225503" w:rsidRDefault="00225503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</w:p>
    <w:p w14:paraId="55CB2BA9" w14:textId="77777777" w:rsidR="00225503" w:rsidRDefault="00225503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</w:p>
    <w:p w14:paraId="7BD0DEAB" w14:textId="77777777" w:rsidR="00521F2D" w:rsidRDefault="00521F2D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</w:p>
    <w:p w14:paraId="0FDED2AE" w14:textId="77777777" w:rsidR="00474979" w:rsidRDefault="00474979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</w:p>
    <w:p w14:paraId="72450765" w14:textId="77777777" w:rsidR="00474979" w:rsidRDefault="00474979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</w:p>
    <w:p w14:paraId="5D3991A5" w14:textId="77777777" w:rsidR="00474979" w:rsidRDefault="00474979">
      <w:pPr>
        <w:widowControl/>
        <w:wordWrap/>
        <w:autoSpaceDE/>
        <w:autoSpaceDN/>
        <w:rPr>
          <w:rFonts w:ascii="Times New Roman" w:hAnsi="Times New Roman" w:cs="Times New Roman" w:hint="eastAsia"/>
          <w:sz w:val="26"/>
          <w:szCs w:val="26"/>
        </w:rPr>
      </w:pPr>
    </w:p>
    <w:p w14:paraId="6F9F9DD8" w14:textId="743AD3DE" w:rsidR="00474979" w:rsidRDefault="00474979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Figure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F686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Calibration curves</w:t>
      </w:r>
      <w:r w:rsidRPr="0029005A">
        <w:rPr>
          <w:rFonts w:ascii="Times New Roman" w:hAnsi="Times New Roman" w:cs="Times New Roman"/>
          <w:sz w:val="26"/>
          <w:szCs w:val="26"/>
        </w:rPr>
        <w:t xml:space="preserve"> of</w:t>
      </w:r>
      <w:r>
        <w:rPr>
          <w:rFonts w:ascii="Times New Roman" w:hAnsi="Times New Roman" w:cs="Times New Roman"/>
          <w:sz w:val="26"/>
          <w:szCs w:val="26"/>
        </w:rPr>
        <w:t xml:space="preserve"> SCFAs</w:t>
      </w:r>
    </w:p>
    <w:p w14:paraId="59775550" w14:textId="77777777" w:rsidR="00474979" w:rsidRPr="00474979" w:rsidRDefault="00474979">
      <w:pPr>
        <w:widowControl/>
        <w:wordWrap/>
        <w:autoSpaceDE/>
        <w:autoSpaceDN/>
        <w:rPr>
          <w:rFonts w:ascii="Times New Roman" w:hAnsi="Times New Roman" w:cs="Times New Roman" w:hint="eastAsia"/>
          <w:sz w:val="26"/>
          <w:szCs w:val="26"/>
        </w:rPr>
      </w:pPr>
    </w:p>
    <w:p w14:paraId="2A3C70D1" w14:textId="07BF45CC" w:rsidR="008D420D" w:rsidRPr="000129FD" w:rsidRDefault="00B44CAC" w:rsidP="000F3E67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9472D05" wp14:editId="4B03DE07">
            <wp:extent cx="3600000" cy="2520000"/>
            <wp:effectExtent l="0" t="0" r="635" b="13970"/>
            <wp:docPr id="1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9A6D8D" wp14:editId="2B8C86D3">
            <wp:extent cx="3600000" cy="2520000"/>
            <wp:effectExtent l="0" t="0" r="635" b="13970"/>
            <wp:docPr id="2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372181" wp14:editId="10622C0C">
            <wp:extent cx="3600000" cy="2520000"/>
            <wp:effectExtent l="0" t="0" r="635" b="13970"/>
            <wp:docPr id="3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E56725" wp14:editId="17292CEA">
            <wp:extent cx="3600000" cy="2520000"/>
            <wp:effectExtent l="0" t="0" r="635" b="13970"/>
            <wp:docPr id="4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C0D4CB" w14:textId="77777777" w:rsidR="0079467C" w:rsidRPr="00474979" w:rsidRDefault="0079467C" w:rsidP="000F3E67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</w:p>
    <w:p w14:paraId="5FB06BE7" w14:textId="77777777" w:rsidR="0079467C" w:rsidRDefault="0079467C" w:rsidP="000F3E67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</w:p>
    <w:p w14:paraId="0E285603" w14:textId="77777777" w:rsidR="0079467C" w:rsidRDefault="0079467C" w:rsidP="000F3E67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</w:rPr>
      </w:pPr>
    </w:p>
    <w:p w14:paraId="208BF120" w14:textId="77777777" w:rsidR="00474979" w:rsidRDefault="00474979" w:rsidP="000F3E67">
      <w:pPr>
        <w:widowControl/>
        <w:wordWrap/>
        <w:autoSpaceDE/>
        <w:autoSpaceDN/>
        <w:rPr>
          <w:rFonts w:ascii="Times New Roman" w:hAnsi="Times New Roman" w:cs="Times New Roman" w:hint="eastAsia"/>
          <w:sz w:val="26"/>
          <w:szCs w:val="26"/>
        </w:rPr>
      </w:pPr>
    </w:p>
    <w:p w14:paraId="29190649" w14:textId="0B2E2023" w:rsidR="00A5185D" w:rsidRDefault="0029005A" w:rsidP="000F3E67">
      <w:pPr>
        <w:widowControl/>
        <w:wordWrap/>
        <w:autoSpaceDE/>
        <w:autoSpaceDN/>
        <w:rPr>
          <w:rFonts w:ascii="Times New Roman" w:hAnsi="Times New Roman" w:cs="Times New Roman" w:hint="eastAsia"/>
          <w:b/>
          <w:sz w:val="26"/>
          <w:szCs w:val="26"/>
        </w:rPr>
      </w:pPr>
      <w:r w:rsidRPr="00CF6865">
        <w:rPr>
          <w:rFonts w:ascii="Times New Roman" w:hAnsi="Times New Roman" w:cs="Times New Roman"/>
          <w:sz w:val="26"/>
          <w:szCs w:val="26"/>
        </w:rPr>
        <w:lastRenderedPageBreak/>
        <w:t>Table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 w:rsidR="00EA61BE">
        <w:rPr>
          <w:rFonts w:ascii="Times New Roman" w:hAnsi="Times New Roman" w:cs="Times New Roman"/>
          <w:sz w:val="26"/>
          <w:szCs w:val="26"/>
        </w:rPr>
        <w:t>2</w:t>
      </w:r>
      <w:r w:rsidRPr="00CF686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005A">
        <w:rPr>
          <w:rFonts w:ascii="Times New Roman" w:hAnsi="Times New Roman" w:cs="Times New Roman"/>
          <w:sz w:val="26"/>
          <w:szCs w:val="26"/>
        </w:rPr>
        <w:t>Descript</w:t>
      </w:r>
      <w:r w:rsidR="00474979">
        <w:rPr>
          <w:rFonts w:ascii="Times New Roman" w:hAnsi="Times New Roman" w:cs="Times New Roman"/>
          <w:sz w:val="26"/>
          <w:szCs w:val="26"/>
        </w:rPr>
        <w:t>ive data of recovery experiment</w:t>
      </w:r>
    </w:p>
    <w:tbl>
      <w:tblPr>
        <w:tblStyle w:val="5"/>
        <w:tblpPr w:leftFromText="142" w:rightFromText="142" w:vertAnchor="page" w:horzAnchor="margin" w:tblpY="1636"/>
        <w:tblW w:w="14343" w:type="dxa"/>
        <w:tblLayout w:type="fixed"/>
        <w:tblLook w:val="04A0" w:firstRow="1" w:lastRow="0" w:firstColumn="1" w:lastColumn="0" w:noHBand="0" w:noVBand="1"/>
      </w:tblPr>
      <w:tblGrid>
        <w:gridCol w:w="854"/>
        <w:gridCol w:w="989"/>
        <w:gridCol w:w="981"/>
        <w:gridCol w:w="1146"/>
        <w:gridCol w:w="1148"/>
        <w:gridCol w:w="830"/>
        <w:gridCol w:w="987"/>
        <w:gridCol w:w="1148"/>
        <w:gridCol w:w="1148"/>
        <w:gridCol w:w="830"/>
        <w:gridCol w:w="985"/>
        <w:gridCol w:w="1149"/>
        <w:gridCol w:w="1148"/>
        <w:gridCol w:w="988"/>
        <w:gridCol w:w="12"/>
      </w:tblGrid>
      <w:tr w:rsidR="00EA61BE" w:rsidRPr="001A45F4" w14:paraId="50EF0E12" w14:textId="77777777" w:rsidTr="00EA6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4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5B626DB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0"/>
                <w:szCs w:val="20"/>
              </w:rPr>
              <w:t>Sample</w:t>
            </w:r>
          </w:p>
          <w:p w14:paraId="6A17FFD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989" w:type="dxa"/>
            <w:vMerge w:val="restart"/>
            <w:shd w:val="clear" w:color="auto" w:fill="E7E6E6" w:themeFill="background2"/>
            <w:vAlign w:val="center"/>
          </w:tcPr>
          <w:p w14:paraId="35BEA65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2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2"/>
                <w:szCs w:val="20"/>
              </w:rPr>
              <w:t>Conc.</w:t>
            </w:r>
          </w:p>
          <w:p w14:paraId="6DFFF2C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2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2"/>
                <w:szCs w:val="20"/>
              </w:rPr>
              <w:t>(ug/mL)</w:t>
            </w:r>
          </w:p>
        </w:tc>
        <w:tc>
          <w:tcPr>
            <w:tcW w:w="4105" w:type="dxa"/>
            <w:gridSpan w:val="4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  <w:noWrap/>
            <w:vAlign w:val="center"/>
            <w:hideMark/>
          </w:tcPr>
          <w:p w14:paraId="0F12A035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0"/>
                <w:szCs w:val="20"/>
              </w:rPr>
              <w:t>Propionic acid</w:t>
            </w:r>
          </w:p>
        </w:tc>
        <w:tc>
          <w:tcPr>
            <w:tcW w:w="4113" w:type="dxa"/>
            <w:gridSpan w:val="4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  <w:noWrap/>
            <w:vAlign w:val="center"/>
            <w:hideMark/>
          </w:tcPr>
          <w:p w14:paraId="5898BCF0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0"/>
                <w:szCs w:val="20"/>
              </w:rPr>
              <w:t>Butyric acid</w:t>
            </w:r>
          </w:p>
        </w:tc>
        <w:tc>
          <w:tcPr>
            <w:tcW w:w="4282" w:type="dxa"/>
            <w:gridSpan w:val="5"/>
            <w:tcBorders>
              <w:left w:val="single" w:sz="2" w:space="0" w:color="7F7F7F" w:themeColor="text1" w:themeTint="80"/>
            </w:tcBorders>
            <w:shd w:val="clear" w:color="auto" w:fill="E7E6E6" w:themeFill="background2"/>
            <w:noWrap/>
            <w:vAlign w:val="center"/>
            <w:hideMark/>
          </w:tcPr>
          <w:p w14:paraId="7695190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0"/>
                <w:szCs w:val="20"/>
              </w:rPr>
              <w:t>Valeric acid</w:t>
            </w:r>
          </w:p>
        </w:tc>
      </w:tr>
      <w:tr w:rsidR="00EA61BE" w:rsidRPr="001A45F4" w14:paraId="32F8AC39" w14:textId="77777777" w:rsidTr="00EA61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7DFB963C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double" w:sz="4" w:space="0" w:color="auto"/>
            </w:tcBorders>
            <w:shd w:val="clear" w:color="auto" w:fill="E7E6E6" w:themeFill="background2"/>
          </w:tcPr>
          <w:p w14:paraId="37BF89D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4A18A5BF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Conc.</w:t>
            </w:r>
          </w:p>
          <w:p w14:paraId="2E9B6EA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(ug/mL)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1BF09D1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%</w:t>
            </w: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br/>
              <w:t>Recovery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78C82DF5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 xml:space="preserve">Average </w:t>
            </w: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br/>
              <w:t>% recovery</w:t>
            </w:r>
          </w:p>
        </w:tc>
        <w:tc>
          <w:tcPr>
            <w:tcW w:w="830" w:type="dxa"/>
            <w:tcBorders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shd w:val="clear" w:color="auto" w:fill="E7E6E6" w:themeFill="background2"/>
            <w:noWrap/>
            <w:vAlign w:val="center"/>
            <w:hideMark/>
          </w:tcPr>
          <w:p w14:paraId="32981AB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RSD</w:t>
            </w:r>
          </w:p>
          <w:p w14:paraId="104500E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(%)</w:t>
            </w:r>
          </w:p>
        </w:tc>
        <w:tc>
          <w:tcPr>
            <w:tcW w:w="987" w:type="dxa"/>
            <w:tcBorders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4240300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Conc.</w:t>
            </w:r>
          </w:p>
          <w:p w14:paraId="33803AEA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(ug/mL)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5960F4D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%</w:t>
            </w: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br/>
              <w:t>Recovery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779D5057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 xml:space="preserve">Average </w:t>
            </w: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br/>
              <w:t>% recovery</w:t>
            </w:r>
          </w:p>
        </w:tc>
        <w:tc>
          <w:tcPr>
            <w:tcW w:w="830" w:type="dxa"/>
            <w:tcBorders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shd w:val="clear" w:color="auto" w:fill="E7E6E6" w:themeFill="background2"/>
            <w:noWrap/>
            <w:vAlign w:val="center"/>
            <w:hideMark/>
          </w:tcPr>
          <w:p w14:paraId="692005F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RSD</w:t>
            </w:r>
          </w:p>
          <w:p w14:paraId="0C912E4C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(%)</w:t>
            </w:r>
          </w:p>
        </w:tc>
        <w:tc>
          <w:tcPr>
            <w:tcW w:w="985" w:type="dxa"/>
            <w:tcBorders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38A9C61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Conc.</w:t>
            </w:r>
          </w:p>
          <w:p w14:paraId="642242B0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(ug/mL)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1165595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%</w:t>
            </w: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br/>
              <w:t>Recovery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bottom w:val="double" w:sz="4" w:space="0" w:color="auto"/>
              <w:right w:val="single" w:sz="2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78204A2B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 xml:space="preserve">Average </w:t>
            </w: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br/>
              <w:t>% recovery</w:t>
            </w:r>
          </w:p>
        </w:tc>
        <w:tc>
          <w:tcPr>
            <w:tcW w:w="988" w:type="dxa"/>
            <w:tcBorders>
              <w:left w:val="single" w:sz="2" w:space="0" w:color="7F7F7F" w:themeColor="text1" w:themeTint="80"/>
              <w:bottom w:val="doub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9CA5A5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RSD (%)</w:t>
            </w:r>
          </w:p>
        </w:tc>
      </w:tr>
      <w:tr w:rsidR="00EA61BE" w:rsidRPr="001A45F4" w14:paraId="4F2550E4" w14:textId="77777777" w:rsidTr="00EA61BE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auto"/>
            </w:tcBorders>
            <w:noWrap/>
            <w:hideMark/>
          </w:tcPr>
          <w:p w14:paraId="08F3E0C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2CC2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95E7477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7A6EEF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100.40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A297B2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103.52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674F3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1.95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A566045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5.26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EB823DC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105.16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944A53C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104.72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983C17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1.33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A0F34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FA2B65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100.36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03A6B5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98.47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C33ED5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3.18</w:t>
            </w:r>
          </w:p>
        </w:tc>
      </w:tr>
      <w:tr w:rsidR="00EA61BE" w:rsidRPr="001A45F4" w14:paraId="1AF3171B" w14:textId="77777777" w:rsidTr="00EA61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14:paraId="659D0FB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5570FE5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AD9B95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5.12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DA88D8F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102.40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64B751A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17D82B3B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AFF468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5.35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E41AFEB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107.10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9067C0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8D1C29B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223A3E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4.69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C52B3F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93.82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BCF2B00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5B1A42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EA61BE" w:rsidRPr="001A45F4" w14:paraId="2EB10310" w14:textId="77777777" w:rsidTr="00EA61BE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14:paraId="7ACA1D5A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36D50EE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6A90AC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5.31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E0F7F3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106.20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3900B50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80EEDF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FCB871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5.15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E09D13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102.90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9AC522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2D8389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BFF1ECB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4.78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54D1ED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95.64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AA54127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0C1323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EA61BE" w:rsidRPr="001A45F4" w14:paraId="121872F5" w14:textId="77777777" w:rsidTr="00EA61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14:paraId="57CF396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43DB08C7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EC8FA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5.25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4F35C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105.00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3CF2420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CA9E41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CA0725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5.24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24E622B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104.84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418F62B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CA8B4B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F29122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5.07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5A9C41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101.45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CD5B95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E33538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EA61BE" w:rsidRPr="001A45F4" w14:paraId="0D15066B" w14:textId="77777777" w:rsidTr="00EA61BE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bottom w:val="single" w:sz="4" w:space="0" w:color="auto"/>
            </w:tcBorders>
            <w:noWrap/>
            <w:hideMark/>
          </w:tcPr>
          <w:p w14:paraId="4EFEDFD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F30B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75C0FD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5.18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1D818D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103.60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A3D243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6A2B8A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B92CFBC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5.18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A383CC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103.55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A819F0C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9BF851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360EB1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5.05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27AC3F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101.09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507AD0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85AB9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EA61BE" w:rsidRPr="001A45F4" w14:paraId="0563E39A" w14:textId="77777777" w:rsidTr="00EA61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auto"/>
            </w:tcBorders>
            <w:noWrap/>
            <w:hideMark/>
          </w:tcPr>
          <w:p w14:paraId="7AA3F7D5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792B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374B63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24.57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F7F7BA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98.28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8B7926F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102.75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5795B0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4.08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A5156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23.55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733A4D5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94.20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34735A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96.51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DE1287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1.75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1D977C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27.03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ED5006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108.13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C7C897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108.83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0B185BA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3.14</w:t>
            </w:r>
          </w:p>
        </w:tc>
      </w:tr>
      <w:tr w:rsidR="00EA61BE" w:rsidRPr="001A45F4" w14:paraId="3AA518FF" w14:textId="77777777" w:rsidTr="00EA61BE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14:paraId="641F32C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1BECFAF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D642E9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25.75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75D444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103.00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101152C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3A06C5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C69F2B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23.95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7923D6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95.80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049DB0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C6564A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8D24557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28.80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5BACDB5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115.21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A726DF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12F0CAE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EA61BE" w:rsidRPr="001A45F4" w14:paraId="25622510" w14:textId="77777777" w:rsidTr="00EA61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14:paraId="6ABCCBFF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67EADBE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03778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27.60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80D2F8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110.40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CE49AA5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90D6EB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5CC32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24.68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8B7D895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98.72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FFC9A2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8B1C13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4D99D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27.24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A14B96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108.98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819A9D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B96706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EA61BE" w:rsidRPr="001A45F4" w14:paraId="52978611" w14:textId="77777777" w:rsidTr="00EA61BE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14:paraId="413498E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19DA9157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1066BA7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25.58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E5CD69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102.32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AA1082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EC22A2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9D7717C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24.55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92963B0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98.20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3E20EE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262CE6B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395CD8A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26.56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FB0BEA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106.23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1E04CF40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98F896A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EA61BE" w:rsidRPr="001A45F4" w14:paraId="375E56D2" w14:textId="77777777" w:rsidTr="00EA61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bottom w:val="single" w:sz="4" w:space="0" w:color="auto"/>
            </w:tcBorders>
            <w:noWrap/>
            <w:hideMark/>
          </w:tcPr>
          <w:p w14:paraId="19FF1CDC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2DFD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853071C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24.94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444B7A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99.76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B476760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D55AD8F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AF01F2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23.91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8E779E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95.64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33C53E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1C6ACB2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800B75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26.40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8751F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105.60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86028C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092F0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EA61BE" w:rsidRPr="001A45F4" w14:paraId="2EC46B55" w14:textId="77777777" w:rsidTr="00EA61BE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auto"/>
            </w:tcBorders>
            <w:noWrap/>
            <w:hideMark/>
          </w:tcPr>
          <w:p w14:paraId="3935752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C4237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6E52B25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52.76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0B50B4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105.52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C7D63C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108.50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6A893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3.36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F1FBF5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54.05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FFBCF0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108.10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A41633B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108.38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988B0AB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2.33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BEE489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48.93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F64AD9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97.86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4644BA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99.86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6B8132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Cs w:val="20"/>
              </w:rPr>
              <w:t>3.76</w:t>
            </w:r>
          </w:p>
        </w:tc>
      </w:tr>
      <w:tr w:rsidR="00EA61BE" w:rsidRPr="001A45F4" w14:paraId="673FBF41" w14:textId="77777777" w:rsidTr="00EA61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14:paraId="4056686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89" w:type="dxa"/>
            <w:vMerge/>
            <w:shd w:val="clear" w:color="auto" w:fill="auto"/>
          </w:tcPr>
          <w:p w14:paraId="4DEF3C8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DF231C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54.95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F6D841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109.90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771B26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FD54AD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A41F5F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56.62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7546B7B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113.24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CAC441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7BC401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BF31B6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49.59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8700E7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99.18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DE804A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908876A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EA61BE" w:rsidRPr="001A45F4" w14:paraId="281F0E83" w14:textId="77777777" w:rsidTr="00EA61BE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14:paraId="139900F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89" w:type="dxa"/>
            <w:vMerge/>
            <w:shd w:val="clear" w:color="auto" w:fill="auto"/>
          </w:tcPr>
          <w:p w14:paraId="6FC71A8F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2D27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52.26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60018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104.52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626A48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381BF4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3930B0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53.79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B1A493A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107.58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A783FCA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233FCD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F771FB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48.45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807987F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96.90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672401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8127BAA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EA61BE" w:rsidRPr="001A45F4" w14:paraId="4ECA6CFA" w14:textId="77777777" w:rsidTr="00EA61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14:paraId="4A7C84B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89" w:type="dxa"/>
            <w:vMerge/>
            <w:shd w:val="clear" w:color="auto" w:fill="auto"/>
          </w:tcPr>
          <w:p w14:paraId="25FB509F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550A0D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57.38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136C047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114.76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C7B46C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056F1D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287E19A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53.05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1E6A265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106.10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17F0CF9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C579D1C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832EDD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49.07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4DA8965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98.14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ED5EE6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02822C2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EA61BE" w:rsidRPr="001A45F4" w14:paraId="6BF656DA" w14:textId="77777777" w:rsidTr="00EA61BE">
        <w:trPr>
          <w:gridAfter w:val="1"/>
          <w:wAfter w:w="1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bottom w:val="single" w:sz="4" w:space="0" w:color="auto"/>
            </w:tcBorders>
            <w:noWrap/>
            <w:hideMark/>
          </w:tcPr>
          <w:p w14:paraId="46C3A071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i w:val="0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EEDEEC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BEAF5B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53.89</w:t>
            </w:r>
          </w:p>
        </w:tc>
        <w:tc>
          <w:tcPr>
            <w:tcW w:w="1146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FE0B86E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107.78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B103D16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90448C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4683D87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53.44</w:t>
            </w:r>
          </w:p>
        </w:tc>
        <w:tc>
          <w:tcPr>
            <w:tcW w:w="1148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E0D31F8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106.88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B42CD55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CCC38B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1A830ED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53.62</w:t>
            </w:r>
          </w:p>
        </w:tc>
        <w:tc>
          <w:tcPr>
            <w:tcW w:w="1149" w:type="dxa"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C69BE59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1A45F4">
              <w:rPr>
                <w:rFonts w:ascii="Times New Roman" w:eastAsia="맑은 고딕" w:hAnsi="Times New Roman" w:cs="Times New Roman"/>
                <w:color w:val="000000"/>
                <w:sz w:val="22"/>
              </w:rPr>
              <w:t>107.24</w:t>
            </w:r>
          </w:p>
        </w:tc>
        <w:tc>
          <w:tcPr>
            <w:tcW w:w="1148" w:type="dxa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FB85CC3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CB6534" w14:textId="77777777" w:rsidR="00EA61BE" w:rsidRPr="001A45F4" w:rsidRDefault="00EA61BE" w:rsidP="00EA61B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</w:tbl>
    <w:p w14:paraId="41166031" w14:textId="77777777" w:rsidR="008933BE" w:rsidRDefault="008933BE" w:rsidP="000F3E67">
      <w:pPr>
        <w:widowControl/>
        <w:wordWrap/>
        <w:autoSpaceDE/>
        <w:autoSpaceDN/>
        <w:rPr>
          <w:rFonts w:ascii="Times New Roman" w:hAnsi="Times New Roman" w:cs="Times New Roman"/>
          <w:b/>
          <w:sz w:val="26"/>
          <w:szCs w:val="26"/>
        </w:rPr>
      </w:pPr>
    </w:p>
    <w:sectPr w:rsidR="008933BE" w:rsidSect="001D2672">
      <w:pgSz w:w="16840" w:h="11907" w:orient="landscape" w:code="9"/>
      <w:pgMar w:top="851" w:right="1701" w:bottom="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61DF9" w14:textId="77777777" w:rsidR="00FF24C2" w:rsidRDefault="00FF24C2" w:rsidP="00260D0C">
      <w:pPr>
        <w:spacing w:after="0" w:line="240" w:lineRule="auto"/>
      </w:pPr>
      <w:r>
        <w:separator/>
      </w:r>
    </w:p>
  </w:endnote>
  <w:endnote w:type="continuationSeparator" w:id="0">
    <w:p w14:paraId="428C7F88" w14:textId="77777777" w:rsidR="00FF24C2" w:rsidRDefault="00FF24C2" w:rsidP="0026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5A51D" w14:textId="77777777" w:rsidR="00FF24C2" w:rsidRDefault="00FF24C2" w:rsidP="00260D0C">
      <w:pPr>
        <w:spacing w:after="0" w:line="240" w:lineRule="auto"/>
      </w:pPr>
      <w:r>
        <w:separator/>
      </w:r>
    </w:p>
  </w:footnote>
  <w:footnote w:type="continuationSeparator" w:id="0">
    <w:p w14:paraId="7D0661C5" w14:textId="77777777" w:rsidR="00FF24C2" w:rsidRDefault="00FF24C2" w:rsidP="00260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AA"/>
    <w:rsid w:val="00001DEA"/>
    <w:rsid w:val="00002FC8"/>
    <w:rsid w:val="00004E4D"/>
    <w:rsid w:val="0000547D"/>
    <w:rsid w:val="000129FD"/>
    <w:rsid w:val="00041831"/>
    <w:rsid w:val="00081484"/>
    <w:rsid w:val="000A41F3"/>
    <w:rsid w:val="000B01AA"/>
    <w:rsid w:val="000B68AD"/>
    <w:rsid w:val="000C226F"/>
    <w:rsid w:val="000D091D"/>
    <w:rsid w:val="000E02B7"/>
    <w:rsid w:val="000F3E67"/>
    <w:rsid w:val="00102AAB"/>
    <w:rsid w:val="001046A1"/>
    <w:rsid w:val="00107D62"/>
    <w:rsid w:val="00111B40"/>
    <w:rsid w:val="00112140"/>
    <w:rsid w:val="00116F2B"/>
    <w:rsid w:val="001170C8"/>
    <w:rsid w:val="00124E17"/>
    <w:rsid w:val="00133D27"/>
    <w:rsid w:val="00170068"/>
    <w:rsid w:val="00176013"/>
    <w:rsid w:val="001762E4"/>
    <w:rsid w:val="00176D8A"/>
    <w:rsid w:val="001A45F4"/>
    <w:rsid w:val="001D2672"/>
    <w:rsid w:val="001D5243"/>
    <w:rsid w:val="001D76C0"/>
    <w:rsid w:val="00200E40"/>
    <w:rsid w:val="00217350"/>
    <w:rsid w:val="00221EE6"/>
    <w:rsid w:val="002247BF"/>
    <w:rsid w:val="00225503"/>
    <w:rsid w:val="00237332"/>
    <w:rsid w:val="002456BD"/>
    <w:rsid w:val="00260D0C"/>
    <w:rsid w:val="002769D8"/>
    <w:rsid w:val="00276EA8"/>
    <w:rsid w:val="00280015"/>
    <w:rsid w:val="00284EA1"/>
    <w:rsid w:val="0029005A"/>
    <w:rsid w:val="002925EF"/>
    <w:rsid w:val="002A2B6C"/>
    <w:rsid w:val="002C4537"/>
    <w:rsid w:val="00300359"/>
    <w:rsid w:val="00301C65"/>
    <w:rsid w:val="003025B7"/>
    <w:rsid w:val="00320861"/>
    <w:rsid w:val="0032267F"/>
    <w:rsid w:val="00345FE5"/>
    <w:rsid w:val="003463F9"/>
    <w:rsid w:val="00366EDC"/>
    <w:rsid w:val="0038364A"/>
    <w:rsid w:val="003C185E"/>
    <w:rsid w:val="003C33F3"/>
    <w:rsid w:val="003D3ADF"/>
    <w:rsid w:val="003D403F"/>
    <w:rsid w:val="003E45E3"/>
    <w:rsid w:val="003E53D5"/>
    <w:rsid w:val="003E68DD"/>
    <w:rsid w:val="0041234E"/>
    <w:rsid w:val="00422BAE"/>
    <w:rsid w:val="004330F5"/>
    <w:rsid w:val="0043484F"/>
    <w:rsid w:val="00474979"/>
    <w:rsid w:val="00491150"/>
    <w:rsid w:val="004A245C"/>
    <w:rsid w:val="004A323F"/>
    <w:rsid w:val="004D0986"/>
    <w:rsid w:val="004E1244"/>
    <w:rsid w:val="004F41DD"/>
    <w:rsid w:val="0050384A"/>
    <w:rsid w:val="005101F9"/>
    <w:rsid w:val="00511689"/>
    <w:rsid w:val="00521F2D"/>
    <w:rsid w:val="00545B18"/>
    <w:rsid w:val="00562A26"/>
    <w:rsid w:val="00573E72"/>
    <w:rsid w:val="0057570E"/>
    <w:rsid w:val="00575FEE"/>
    <w:rsid w:val="005C0821"/>
    <w:rsid w:val="005D45EC"/>
    <w:rsid w:val="005E2F7C"/>
    <w:rsid w:val="005F61AB"/>
    <w:rsid w:val="006110B9"/>
    <w:rsid w:val="00613D55"/>
    <w:rsid w:val="00624649"/>
    <w:rsid w:val="00643364"/>
    <w:rsid w:val="00654D4F"/>
    <w:rsid w:val="006851A1"/>
    <w:rsid w:val="00686A7D"/>
    <w:rsid w:val="006C4844"/>
    <w:rsid w:val="006D0FCB"/>
    <w:rsid w:val="006E6A73"/>
    <w:rsid w:val="00700D59"/>
    <w:rsid w:val="00707B6A"/>
    <w:rsid w:val="00707DEF"/>
    <w:rsid w:val="00760F47"/>
    <w:rsid w:val="007807A4"/>
    <w:rsid w:val="0079467C"/>
    <w:rsid w:val="007A1088"/>
    <w:rsid w:val="007C68C4"/>
    <w:rsid w:val="007C73D0"/>
    <w:rsid w:val="007F5D03"/>
    <w:rsid w:val="0080302C"/>
    <w:rsid w:val="00812DEB"/>
    <w:rsid w:val="00824F2F"/>
    <w:rsid w:val="0085011C"/>
    <w:rsid w:val="00854E99"/>
    <w:rsid w:val="00860501"/>
    <w:rsid w:val="00883F63"/>
    <w:rsid w:val="00887DFB"/>
    <w:rsid w:val="008933BE"/>
    <w:rsid w:val="00894328"/>
    <w:rsid w:val="008A797C"/>
    <w:rsid w:val="008C1787"/>
    <w:rsid w:val="008C494D"/>
    <w:rsid w:val="008D1C41"/>
    <w:rsid w:val="008D420D"/>
    <w:rsid w:val="008F4403"/>
    <w:rsid w:val="008F7863"/>
    <w:rsid w:val="009110B5"/>
    <w:rsid w:val="00951804"/>
    <w:rsid w:val="00951F81"/>
    <w:rsid w:val="0095510B"/>
    <w:rsid w:val="00970330"/>
    <w:rsid w:val="009A79EA"/>
    <w:rsid w:val="009C4A94"/>
    <w:rsid w:val="009F274A"/>
    <w:rsid w:val="009F7176"/>
    <w:rsid w:val="00A00E20"/>
    <w:rsid w:val="00A17E8B"/>
    <w:rsid w:val="00A5185D"/>
    <w:rsid w:val="00A550C6"/>
    <w:rsid w:val="00A60CC6"/>
    <w:rsid w:val="00A60DA8"/>
    <w:rsid w:val="00A65350"/>
    <w:rsid w:val="00A81E3A"/>
    <w:rsid w:val="00AB0343"/>
    <w:rsid w:val="00AB2DB9"/>
    <w:rsid w:val="00AC7201"/>
    <w:rsid w:val="00AD6713"/>
    <w:rsid w:val="00B01840"/>
    <w:rsid w:val="00B1092E"/>
    <w:rsid w:val="00B20566"/>
    <w:rsid w:val="00B242EC"/>
    <w:rsid w:val="00B2525B"/>
    <w:rsid w:val="00B37DDE"/>
    <w:rsid w:val="00B41C17"/>
    <w:rsid w:val="00B44CAC"/>
    <w:rsid w:val="00B47949"/>
    <w:rsid w:val="00B6690E"/>
    <w:rsid w:val="00BA52DA"/>
    <w:rsid w:val="00BA7838"/>
    <w:rsid w:val="00BB61C1"/>
    <w:rsid w:val="00BC0AE9"/>
    <w:rsid w:val="00BC5B92"/>
    <w:rsid w:val="00BC7D1D"/>
    <w:rsid w:val="00BE2FA2"/>
    <w:rsid w:val="00BF63AD"/>
    <w:rsid w:val="00C00D73"/>
    <w:rsid w:val="00C0147A"/>
    <w:rsid w:val="00C14422"/>
    <w:rsid w:val="00C16966"/>
    <w:rsid w:val="00C31749"/>
    <w:rsid w:val="00C454D2"/>
    <w:rsid w:val="00C4697C"/>
    <w:rsid w:val="00C75CEA"/>
    <w:rsid w:val="00C81D91"/>
    <w:rsid w:val="00CB7340"/>
    <w:rsid w:val="00CC1E12"/>
    <w:rsid w:val="00CE1147"/>
    <w:rsid w:val="00D1064A"/>
    <w:rsid w:val="00D130CB"/>
    <w:rsid w:val="00D15CCE"/>
    <w:rsid w:val="00D22AB2"/>
    <w:rsid w:val="00D24DC3"/>
    <w:rsid w:val="00D264B4"/>
    <w:rsid w:val="00D4642E"/>
    <w:rsid w:val="00D5747B"/>
    <w:rsid w:val="00D640BC"/>
    <w:rsid w:val="00D8529C"/>
    <w:rsid w:val="00D95326"/>
    <w:rsid w:val="00DB16D5"/>
    <w:rsid w:val="00DC1EBD"/>
    <w:rsid w:val="00DC60CF"/>
    <w:rsid w:val="00DC7F4E"/>
    <w:rsid w:val="00E076F0"/>
    <w:rsid w:val="00E11BF7"/>
    <w:rsid w:val="00E167AF"/>
    <w:rsid w:val="00E169D2"/>
    <w:rsid w:val="00E22237"/>
    <w:rsid w:val="00E328A9"/>
    <w:rsid w:val="00E41E77"/>
    <w:rsid w:val="00E45C10"/>
    <w:rsid w:val="00E704E3"/>
    <w:rsid w:val="00E72612"/>
    <w:rsid w:val="00E72E96"/>
    <w:rsid w:val="00E91BC6"/>
    <w:rsid w:val="00E9428F"/>
    <w:rsid w:val="00EA61BE"/>
    <w:rsid w:val="00EB69C5"/>
    <w:rsid w:val="00EC16E5"/>
    <w:rsid w:val="00EE5C0A"/>
    <w:rsid w:val="00F05930"/>
    <w:rsid w:val="00F1720E"/>
    <w:rsid w:val="00F40D5D"/>
    <w:rsid w:val="00F40E46"/>
    <w:rsid w:val="00F42575"/>
    <w:rsid w:val="00F82F7A"/>
    <w:rsid w:val="00F867D0"/>
    <w:rsid w:val="00F868A8"/>
    <w:rsid w:val="00F91CE8"/>
    <w:rsid w:val="00FB0CE8"/>
    <w:rsid w:val="00FC2985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EE1D1"/>
  <w15:chartTrackingRefBased/>
  <w15:docId w15:val="{A82ED1A8-2035-4BDC-BB70-51C9140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F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D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0D0C"/>
  </w:style>
  <w:style w:type="paragraph" w:styleId="a4">
    <w:name w:val="footer"/>
    <w:basedOn w:val="a"/>
    <w:link w:val="Char0"/>
    <w:uiPriority w:val="99"/>
    <w:unhideWhenUsed/>
    <w:rsid w:val="00260D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0D0C"/>
  </w:style>
  <w:style w:type="character" w:styleId="a5">
    <w:name w:val="Hyperlink"/>
    <w:basedOn w:val="a0"/>
    <w:uiPriority w:val="99"/>
    <w:semiHidden/>
    <w:unhideWhenUsed/>
    <w:rsid w:val="002925EF"/>
    <w:rPr>
      <w:color w:val="0000FF"/>
      <w:u w:val="single"/>
    </w:rPr>
  </w:style>
  <w:style w:type="character" w:customStyle="1" w:styleId="doi1">
    <w:name w:val="doi1"/>
    <w:basedOn w:val="a0"/>
    <w:rsid w:val="002925EF"/>
  </w:style>
  <w:style w:type="paragraph" w:customStyle="1" w:styleId="a6">
    <w:name w:val="바탕글"/>
    <w:basedOn w:val="a"/>
    <w:rsid w:val="00AD6713"/>
    <w:pPr>
      <w:snapToGrid w:val="0"/>
      <w:spacing w:after="0" w:line="384" w:lineRule="auto"/>
      <w:ind w:firstLine="2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D26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D2672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99"/>
    <w:rsid w:val="008D420D"/>
    <w:pPr>
      <w:spacing w:after="0" w:line="240" w:lineRule="auto"/>
      <w:jc w:val="left"/>
    </w:pPr>
    <w:rPr>
      <w:kern w:val="0"/>
      <w:sz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D852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C81D91"/>
    <w:rPr>
      <w:b/>
      <w:bCs/>
      <w:szCs w:val="20"/>
    </w:rPr>
  </w:style>
  <w:style w:type="table" w:styleId="3">
    <w:name w:val="Plain Table 3"/>
    <w:basedOn w:val="a1"/>
    <w:uiPriority w:val="43"/>
    <w:rsid w:val="00C00D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0129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a">
    <w:name w:val="annotation reference"/>
    <w:basedOn w:val="a0"/>
    <w:uiPriority w:val="99"/>
    <w:semiHidden/>
    <w:unhideWhenUsed/>
    <w:rsid w:val="003E53D5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3E53D5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3E53D5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E53D5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3E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BSI&#49436;&#50872;&#49436;&#48512;\Desktop\_SCFA\Result\Table%20-05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BSI&#49436;&#50872;&#49436;&#48512;\Desktop\_SCFA\Result\Table%20-05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BSI&#49436;&#50872;&#49436;&#48512;\Desktop\_SCFA\Result\Table%20-05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BSI&#49436;&#50872;&#49436;&#48512;\Desktop\_SCFA\Result\Table%20-05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Acetic acid</a:t>
            </a:r>
            <a:endParaRPr lang="ko-KR"/>
          </a:p>
        </c:rich>
      </c:tx>
      <c:layout>
        <c:manualLayout>
          <c:xMode val="edge"/>
          <c:yMode val="edge"/>
          <c:x val="0.3706041119860017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5.086483610963341E-2"/>
                  <c:y val="-1.5625000000000024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ko-KR"/>
                </a:p>
              </c:txPr>
            </c:trendlineLbl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[1]calibration!$B$5:$B$12</c:f>
              <c:numCache>
                <c:formatCode>General</c:formatCode>
                <c:ptCount val="8"/>
                <c:pt idx="0">
                  <c:v>0.1</c:v>
                </c:pt>
                <c:pt idx="1">
                  <c:v>0.5</c:v>
                </c:pt>
                <c:pt idx="2">
                  <c:v>1</c:v>
                </c:pt>
                <c:pt idx="3">
                  <c:v>5</c:v>
                </c:pt>
                <c:pt idx="4">
                  <c:v>10</c:v>
                </c:pt>
                <c:pt idx="5">
                  <c:v>25</c:v>
                </c:pt>
                <c:pt idx="6">
                  <c:v>50</c:v>
                </c:pt>
                <c:pt idx="7">
                  <c:v>100</c:v>
                </c:pt>
              </c:numCache>
            </c:numRef>
          </c:xVal>
          <c:yVal>
            <c:numRef>
              <c:f>[1]calibration!$D$5:$D$12</c:f>
              <c:numCache>
                <c:formatCode>General</c:formatCode>
                <c:ptCount val="8"/>
                <c:pt idx="0">
                  <c:v>0.33565275764225394</c:v>
                </c:pt>
                <c:pt idx="1">
                  <c:v>0.34462642457957271</c:v>
                </c:pt>
                <c:pt idx="2">
                  <c:v>0.35572698871837671</c:v>
                </c:pt>
                <c:pt idx="3">
                  <c:v>0.38381999273981304</c:v>
                </c:pt>
                <c:pt idx="4">
                  <c:v>0.41321642499876465</c:v>
                </c:pt>
                <c:pt idx="5">
                  <c:v>0.56849538203658179</c:v>
                </c:pt>
                <c:pt idx="6">
                  <c:v>0.7737173843165206</c:v>
                </c:pt>
                <c:pt idx="7">
                  <c:v>1.2177806696860471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4219008"/>
        <c:axId val="524224448"/>
      </c:scatterChart>
      <c:valAx>
        <c:axId val="524219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Concentration (ug/mL)</a:t>
                </a:r>
                <a:endParaRPr lang="ko-KR"/>
              </a:p>
            </c:rich>
          </c:tx>
          <c:layout>
            <c:manualLayout>
              <c:xMode val="edge"/>
              <c:yMode val="edge"/>
              <c:x val="0.37313108977816128"/>
              <c:y val="0.914820860158437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524224448"/>
        <c:crosses val="autoZero"/>
        <c:crossBetween val="midCat"/>
      </c:valAx>
      <c:valAx>
        <c:axId val="52422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Analyte area/ IS area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524219008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Propionic acid</a:t>
            </a:r>
            <a:endParaRPr lang="ko-K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altLang="ko-KR" baseline="0"/>
                      <a:t>y = 0.0241x + 0.1869</a:t>
                    </a:r>
                    <a:br>
                      <a:rPr lang="en-US" altLang="ko-KR" baseline="0"/>
                    </a:br>
                    <a:r>
                      <a:rPr lang="en-US" altLang="ko-KR" baseline="0"/>
                      <a:t>R² = 0.9992</a:t>
                    </a:r>
                    <a:endParaRPr lang="en-US" altLang="ko-KR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ko-KR"/>
                </a:p>
              </c:txPr>
            </c:trendlineLbl>
          </c:trendline>
          <c:xVal>
            <c:numRef>
              <c:f>[1]calibration!$B$5:$B$12</c:f>
              <c:numCache>
                <c:formatCode>General</c:formatCode>
                <c:ptCount val="8"/>
                <c:pt idx="0">
                  <c:v>0.1</c:v>
                </c:pt>
                <c:pt idx="1">
                  <c:v>0.5</c:v>
                </c:pt>
                <c:pt idx="2">
                  <c:v>1</c:v>
                </c:pt>
                <c:pt idx="3">
                  <c:v>5</c:v>
                </c:pt>
                <c:pt idx="4">
                  <c:v>10</c:v>
                </c:pt>
                <c:pt idx="5">
                  <c:v>25</c:v>
                </c:pt>
                <c:pt idx="6">
                  <c:v>50</c:v>
                </c:pt>
                <c:pt idx="7">
                  <c:v>100</c:v>
                </c:pt>
              </c:numCache>
            </c:numRef>
          </c:xVal>
          <c:yVal>
            <c:numRef>
              <c:f>[1]calibration!$F$5:$F$12</c:f>
              <c:numCache>
                <c:formatCode>General</c:formatCode>
                <c:ptCount val="8"/>
                <c:pt idx="0">
                  <c:v>0.1413936853743703</c:v>
                </c:pt>
                <c:pt idx="1">
                  <c:v>0.18674923694687554</c:v>
                </c:pt>
                <c:pt idx="2">
                  <c:v>0.22322007883130729</c:v>
                </c:pt>
                <c:pt idx="3">
                  <c:v>0.35527271077230238</c:v>
                </c:pt>
                <c:pt idx="4">
                  <c:v>0.41206070155981489</c:v>
                </c:pt>
                <c:pt idx="5">
                  <c:v>0.77646105568564994</c:v>
                </c:pt>
                <c:pt idx="6">
                  <c:v>1.3934314424272916</c:v>
                </c:pt>
                <c:pt idx="7">
                  <c:v>2.5976746774428303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4220096"/>
        <c:axId val="524221184"/>
      </c:scatterChart>
      <c:valAx>
        <c:axId val="524220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ko-KR" sz="1000" b="0" i="0" baseline="0">
                    <a:effectLst/>
                  </a:rPr>
                  <a:t>Concentration (ug/mL)</a:t>
                </a:r>
                <a:endParaRPr lang="ko-KR" altLang="ko-KR" sz="400">
                  <a:effectLst/>
                </a:endParaRPr>
              </a:p>
            </c:rich>
          </c:tx>
          <c:layout>
            <c:manualLayout>
              <c:xMode val="edge"/>
              <c:yMode val="edge"/>
              <c:x val="0.40748630105447348"/>
              <c:y val="0.910045662100456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524221184"/>
        <c:crosses val="autoZero"/>
        <c:crossBetween val="midCat"/>
      </c:valAx>
      <c:valAx>
        <c:axId val="52422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ko-KR" sz="1000" b="0" i="0" baseline="0">
                    <a:effectLst/>
                  </a:rPr>
                  <a:t>Analyte area/ IS area</a:t>
                </a:r>
                <a:endParaRPr lang="ko-KR" altLang="ko-KR" sz="4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5242200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Butyric acid</a:t>
            </a:r>
            <a:endParaRPr lang="ko-K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altLang="ko-KR" baseline="0"/>
                      <a:t>y = 0.0333x + 0.1061</a:t>
                    </a:r>
                  </a:p>
                  <a:p>
                    <a:pPr>
                      <a:defRPr/>
                    </a:pPr>
                    <a:r>
                      <a:rPr lang="en-US" altLang="ko-KR" baseline="0"/>
                      <a:t>R² = 0.9998</a:t>
                    </a:r>
                    <a:endParaRPr lang="en-US" altLang="ko-KR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ko-KR"/>
                </a:p>
              </c:txPr>
            </c:trendlineLbl>
          </c:trendline>
          <c:xVal>
            <c:numRef>
              <c:f>[1]calibration!$B$5:$B$12</c:f>
              <c:numCache>
                <c:formatCode>General</c:formatCode>
                <c:ptCount val="8"/>
                <c:pt idx="0">
                  <c:v>0.1</c:v>
                </c:pt>
                <c:pt idx="1">
                  <c:v>0.5</c:v>
                </c:pt>
                <c:pt idx="2">
                  <c:v>1</c:v>
                </c:pt>
                <c:pt idx="3">
                  <c:v>5</c:v>
                </c:pt>
                <c:pt idx="4">
                  <c:v>10</c:v>
                </c:pt>
                <c:pt idx="5">
                  <c:v>25</c:v>
                </c:pt>
                <c:pt idx="6">
                  <c:v>50</c:v>
                </c:pt>
                <c:pt idx="7">
                  <c:v>100</c:v>
                </c:pt>
              </c:numCache>
            </c:numRef>
          </c:xVal>
          <c:yVal>
            <c:numRef>
              <c:f>[1]calibration!$H$5:$H$12</c:f>
              <c:numCache>
                <c:formatCode>General</c:formatCode>
                <c:ptCount val="8"/>
                <c:pt idx="0">
                  <c:v>6.2328299609073115E-2</c:v>
                </c:pt>
                <c:pt idx="1">
                  <c:v>0.11718957060984403</c:v>
                </c:pt>
                <c:pt idx="2">
                  <c:v>0.14382283249633426</c:v>
                </c:pt>
                <c:pt idx="3">
                  <c:v>0.29949972774298939</c:v>
                </c:pt>
                <c:pt idx="4">
                  <c:v>0.45103136649884429</c:v>
                </c:pt>
                <c:pt idx="5">
                  <c:v>0.89120150581526481</c:v>
                </c:pt>
                <c:pt idx="6">
                  <c:v>1.7035484186547034</c:v>
                </c:pt>
                <c:pt idx="7">
                  <c:v>3.4549732736306482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4222816"/>
        <c:axId val="524221728"/>
      </c:scatterChart>
      <c:valAx>
        <c:axId val="524222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Concentration (ug/mL)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524221728"/>
        <c:crosses val="autoZero"/>
        <c:crossBetween val="midCat"/>
      </c:valAx>
      <c:valAx>
        <c:axId val="52422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Analyte area/ IS area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5242228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Valeric acid</a:t>
            </a:r>
            <a:endParaRPr lang="ko-K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altLang="ko-KR" baseline="0"/>
                      <a:t>y = 0.0331x + 0.1415</a:t>
                    </a:r>
                  </a:p>
                  <a:p>
                    <a:pPr>
                      <a:defRPr/>
                    </a:pPr>
                    <a:r>
                      <a:rPr lang="en-US" altLang="ko-KR" baseline="0"/>
                      <a:t>R² = 0.9995</a:t>
                    </a:r>
                    <a:endParaRPr lang="en-US" altLang="ko-KR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ko-KR"/>
                </a:p>
              </c:txPr>
            </c:trendlineLbl>
          </c:trendline>
          <c:xVal>
            <c:numRef>
              <c:f>[1]calibration!$B$5:$B$12</c:f>
              <c:numCache>
                <c:formatCode>General</c:formatCode>
                <c:ptCount val="8"/>
                <c:pt idx="0">
                  <c:v>0.1</c:v>
                </c:pt>
                <c:pt idx="1">
                  <c:v>0.5</c:v>
                </c:pt>
                <c:pt idx="2">
                  <c:v>1</c:v>
                </c:pt>
                <c:pt idx="3">
                  <c:v>5</c:v>
                </c:pt>
                <c:pt idx="4">
                  <c:v>10</c:v>
                </c:pt>
                <c:pt idx="5">
                  <c:v>25</c:v>
                </c:pt>
                <c:pt idx="6">
                  <c:v>50</c:v>
                </c:pt>
                <c:pt idx="7">
                  <c:v>100</c:v>
                </c:pt>
              </c:numCache>
            </c:numRef>
          </c:xVal>
          <c:yVal>
            <c:numRef>
              <c:f>[1]calibration!$J$5:$J$12</c:f>
              <c:numCache>
                <c:formatCode>General</c:formatCode>
                <c:ptCount val="8"/>
                <c:pt idx="0">
                  <c:v>7.1695313954341089E-2</c:v>
                </c:pt>
                <c:pt idx="1">
                  <c:v>0.11633745899747217</c:v>
                </c:pt>
                <c:pt idx="2">
                  <c:v>0.16448246589359775</c:v>
                </c:pt>
                <c:pt idx="3">
                  <c:v>0.31820888919139667</c:v>
                </c:pt>
                <c:pt idx="4">
                  <c:v>0.49308213048419597</c:v>
                </c:pt>
                <c:pt idx="5">
                  <c:v>0.98995937528714351</c:v>
                </c:pt>
                <c:pt idx="6">
                  <c:v>1.8334074043017063</c:v>
                </c:pt>
                <c:pt idx="7">
                  <c:v>3.427559124779183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4224992"/>
        <c:axId val="536699344"/>
      </c:scatterChart>
      <c:valAx>
        <c:axId val="524224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Concentration (ug/mL)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536699344"/>
        <c:crosses val="autoZero"/>
        <c:crossBetween val="midCat"/>
      </c:valAx>
      <c:valAx>
        <c:axId val="53669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Analyte area/ IS area</a:t>
                </a:r>
                <a:endParaRPr lang="ko-K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5242249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EFCF-224A-4467-A1DD-7A0C4DF88C9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3BEB5C8-7837-4A38-951E-05B9F691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나랫초이</dc:creator>
  <cp:keywords/>
  <dc:description/>
  <cp:lastModifiedBy>Windows User</cp:lastModifiedBy>
  <cp:revision>6</cp:revision>
  <cp:lastPrinted>2017-09-20T04:40:00Z</cp:lastPrinted>
  <dcterms:created xsi:type="dcterms:W3CDTF">2019-08-13T07:59:00Z</dcterms:created>
  <dcterms:modified xsi:type="dcterms:W3CDTF">2019-08-13T08:10:00Z</dcterms:modified>
</cp:coreProperties>
</file>